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4 Companion: Clinical Assessment, Interviewing, and Mental Status</w:t>
      </w:r>
    </w:p>
    <w:p>
      <w:pPr>
        <w:jc w:val="center"/>
      </w:pPr>
      <w:r>
        <w:rPr>
          <w:rFonts w:ascii="Aptos Display" w:hAnsi="Aptos Display"/>
          <w:b/>
          <w:color w:val="2AA7D6"/>
          <w:sz w:val="32"/>
        </w:rPr>
        <w:t>LCSW Workbook 4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engagement, interviewing, mental status, sensitive information, collateral data, health, medication, substance use, strengths, and person-in-environment assessment.</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4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4: Clinical Assessment, Interviewing, and Mental Status, including the integrated LCSW assessment sequence.</w:t>
            </w:r>
          </w:p>
        </w:tc>
      </w:tr>
    </w:tbl>
    <w:p>
      <w:pPr>
        <w:spacing w:after="20"/>
      </w:pPr>
    </w:p>
    <w:p>
      <w:pPr>
        <w:pStyle w:val="Heading1"/>
      </w:pPr>
      <w:r>
        <w:t>Learning Outcomes</w:t>
      </w:r>
    </w:p>
    <w:p>
      <w:pPr>
        <w:pStyle w:val="ListBullet"/>
        <w:spacing w:after="40"/>
        <w:ind w:left="360" w:hanging="216"/>
      </w:pPr>
      <w:r>
        <w:t>Clarify role, mandate, safety, and client perspective at the start of assessment.</w:t>
      </w:r>
    </w:p>
    <w:p>
      <w:pPr>
        <w:pStyle w:val="ListBullet"/>
        <w:spacing w:after="40"/>
        <w:ind w:left="360" w:hanging="216"/>
      </w:pPr>
      <w:r>
        <w:t>Use open, focused, reflective, clarifying, and direct questions appropriately.</w:t>
      </w:r>
    </w:p>
    <w:p>
      <w:pPr>
        <w:pStyle w:val="ListBullet"/>
        <w:spacing w:after="40"/>
        <w:ind w:left="360" w:hanging="216"/>
      </w:pPr>
      <w:r>
        <w:t>Document mental status findings behaviorally and compare with baseline.</w:t>
      </w:r>
    </w:p>
    <w:p>
      <w:pPr>
        <w:pStyle w:val="ListBullet"/>
        <w:spacing w:after="40"/>
        <w:ind w:left="360" w:hanging="216"/>
      </w:pPr>
      <w:r>
        <w:t>Integrate health, medication, substance, collateral, and environmental information.</w:t>
      </w:r>
    </w:p>
    <w:p>
      <w:pPr>
        <w:pStyle w:val="Heading1"/>
      </w:pPr>
      <w:r>
        <w:t>Voice and Presentation Direction</w:t>
      </w:r>
    </w:p>
    <w:p>
      <w:pPr>
        <w:pStyle w:val="ListBullet"/>
        <w:spacing w:after="40"/>
        <w:ind w:left="360" w:hanging="216"/>
      </w:pPr>
      <w:r>
        <w:t>Use collaborative and nonjudgmental wording.</w:t>
      </w:r>
    </w:p>
    <w:p>
      <w:pPr>
        <w:pStyle w:val="ListBullet"/>
        <w:spacing w:after="40"/>
        <w:ind w:left="360" w:hanging="216"/>
      </w:pPr>
      <w:r>
        <w:t>Name when direct questions are required for safety or precision.</w:t>
      </w:r>
    </w:p>
    <w:p>
      <w:pPr>
        <w:pStyle w:val="ListBullet"/>
        <w:spacing w:after="40"/>
        <w:ind w:left="360" w:hanging="216"/>
      </w:pPr>
      <w:r>
        <w:t>Separate observed behavior from interpretation.</w:t>
      </w:r>
    </w:p>
    <w:p>
      <w:pPr>
        <w:pStyle w:val="ListBullet"/>
        <w:spacing w:after="40"/>
        <w:ind w:left="360" w:hanging="216"/>
      </w:pPr>
      <w:r>
        <w:t>Close with the nine-step assessment sequence.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Model trauma-informed, accessible interviewing. Emphasize observation before inference and assessment before intervention.</w:t>
            </w:r>
          </w:p>
        </w:tc>
      </w:tr>
    </w:tbl>
    <w:p>
      <w:pPr>
        <w:spacing w:after="20"/>
      </w:pPr>
    </w:p>
    <w:p>
      <w:pPr>
        <w:pStyle w:val="Heading1"/>
      </w:pPr>
      <w:r>
        <w:t>Slide-by-Slide Script</w:t>
      </w:r>
    </w:p>
    <w:p>
      <w:pPr>
        <w:pStyle w:val="Heading2"/>
        <w:keepNext/>
      </w:pPr>
      <w:r>
        <w:t>Slide 1: Assessment Is Both Relational and Structured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Alliance and structured domains overlap in an assessment map.</w:t>
            </w:r>
          </w:p>
        </w:tc>
        <w:tc>
          <w:tcPr>
            <w:tcW w:type="dxa" w:w="5112"/>
            <w:shd w:fill="DCEFF6"/>
            <w:tcMar>
              <w:top w:w="90" w:type="dxa"/>
              <w:start w:w="110" w:type="dxa"/>
              <w:bottom w:w="90" w:type="dxa"/>
              <w:end w:w="110" w:type="dxa"/>
            </w:tcMar>
            <w:vAlign w:val="top"/>
          </w:tcPr>
          <w:p>
            <w:pPr>
              <w:keepNext/>
              <w:keepLines/>
            </w:pPr>
            <w:r>
              <w:rPr>
                <w:color w:val="243B53"/>
                <w:sz w:val="17"/>
              </w:rPr>
              <w:t>Engage While You Gather Decision-Critical Information</w:t>
            </w:r>
          </w:p>
        </w:tc>
      </w:tr>
    </w:tbl>
    <w:p>
      <w:pPr>
        <w:pStyle w:val="CTALabel"/>
        <w:keepNext/>
      </w:pPr>
      <w:r>
        <w:t>Narration</w:t>
      </w:r>
    </w:p>
    <w:p>
      <w:pPr>
        <w:pStyle w:val="CTANarration"/>
        <w:keepLines/>
        <w:ind w:left="259" w:right="173"/>
      </w:pPr>
      <w:r>
        <w:t>Clinical assessment is not a checklist performed after rapport is complete. Engagement itself provides information about trust, expectations, readiness, coercion, culture, communication, and the client’s experience of services. At the same time, rapport does not justify avoiding direct questions about danger, medical instability, substance use, or abuse when the facts support them. The goal is to gather enough reliable information to make the next decision while preserving dignity and participation. Workbook 4 emphasizes role clarity, trauma-informed pacing, accessible communication, mental status, functioning, strengths, needs, health, medication, substance use, collateral data, and person-in-environment barriers.</w:t>
      </w:r>
    </w:p>
    <w:p>
      <w:pPr>
        <w:pStyle w:val="Heading2"/>
        <w:keepNext/>
      </w:pPr>
      <w:r>
        <w:t>Slide 2: Use the Integrated Assessment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Nine assessment steps form a loop that can be revised as information changes.</w:t>
            </w:r>
          </w:p>
        </w:tc>
        <w:tc>
          <w:tcPr>
            <w:tcW w:type="dxa" w:w="5112"/>
            <w:shd w:fill="DCEFF6"/>
            <w:tcMar>
              <w:top w:w="90" w:type="dxa"/>
              <w:start w:w="110" w:type="dxa"/>
              <w:bottom w:w="90" w:type="dxa"/>
              <w:end w:w="110" w:type="dxa"/>
            </w:tcMar>
            <w:vAlign w:val="top"/>
          </w:tcPr>
          <w:p>
            <w:pPr>
              <w:keepNext/>
              <w:keepLines/>
            </w:pPr>
            <w:r>
              <w:rPr>
                <w:color w:val="243B53"/>
                <w:sz w:val="17"/>
              </w:rPr>
              <w:t>Role/Safety → Perspective → Engagement → Domains → Health/Context → Collateral → Missing Data → Plan → Revise</w:t>
            </w:r>
          </w:p>
        </w:tc>
      </w:tr>
    </w:tbl>
    <w:p>
      <w:pPr>
        <w:pStyle w:val="CTALabel"/>
        <w:keepNext/>
      </w:pPr>
      <w:r>
        <w:t>Narration</w:t>
      </w:r>
    </w:p>
    <w:p>
      <w:pPr>
        <w:pStyle w:val="CTANarration"/>
        <w:keepLines/>
        <w:ind w:left="259" w:right="173"/>
      </w:pPr>
      <w:r>
        <w:t>Clarify the social worker’s role, referral or mandate, and any immediate safety or basic-needs priority. Explain the purpose of the contact and invite the client or client system’s perspective. Use active listening, validation, accessible communication, and trauma-informed pacing. Assess symptoms, functioning, mental status, strengths, needs, barriers, resources, motivation, readiness, and resilience. Clarify health, medication, substance, developmental, cultural, and environmental factors. Obtain relevant collateral information or records within role and permission requirements. Identify the most important missing information and consult or coordinate as needed. Collaborate on the least restrictive safe treatment, service, resource, referral, advocacy, or discharge step. Document and revise the assessment as circumstances change.</w:t>
      </w:r>
    </w:p>
    <w:p>
      <w:pPr>
        <w:pStyle w:val="Heading2"/>
        <w:keepNext/>
      </w:pPr>
      <w:r>
        <w:t>Slide 3: Match the Interviewing Tool to the Task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Open, focused, reflective, clarifying, and direct questions point to different information needs.</w:t>
            </w:r>
          </w:p>
        </w:tc>
        <w:tc>
          <w:tcPr>
            <w:tcW w:type="dxa" w:w="5112"/>
            <w:shd w:fill="DCEFF6"/>
            <w:tcMar>
              <w:top w:w="90" w:type="dxa"/>
              <w:start w:w="110" w:type="dxa"/>
              <w:bottom w:w="90" w:type="dxa"/>
              <w:end w:w="110" w:type="dxa"/>
            </w:tcMar>
            <w:vAlign w:val="top"/>
          </w:tcPr>
          <w:p>
            <w:pPr>
              <w:keepNext/>
              <w:keepLines/>
            </w:pPr>
            <w:r>
              <w:rPr>
                <w:color w:val="243B53"/>
                <w:sz w:val="17"/>
              </w:rPr>
              <w:t>Broad for Story • Direct for Precision</w:t>
            </w:r>
          </w:p>
        </w:tc>
      </w:tr>
    </w:tbl>
    <w:p>
      <w:pPr>
        <w:pStyle w:val="CTALabel"/>
        <w:keepNext/>
      </w:pPr>
      <w:r>
        <w:t>Narration</w:t>
      </w:r>
    </w:p>
    <w:p>
      <w:pPr>
        <w:pStyle w:val="CTANarration"/>
        <w:keepLines/>
        <w:ind w:left="259" w:right="173"/>
      </w:pPr>
      <w:r>
        <w:t>Use open questions to understand the client’s story, priorities, and meaning. Use reflection to communicate tentative understanding and invite correction. Use clarification when language is vague, such as “I lose it” or “everything gets bad.” Use focused or closed questions for timing, amount, access, current symptoms, medication changes, or safety. Use direct questions when a statement suggests suicide, violence, abuse, intoxication, or another urgent concern. Avoid leading questions, multiple questions at once, jargon, unnecessary confrontation, and premature interpretation. The best interviewing response fits the information need while preserving choice and respect.</w:t>
      </w:r>
    </w:p>
    <w:p>
      <w:pPr>
        <w:pStyle w:val="Heading2"/>
        <w:keepNext/>
      </w:pPr>
      <w:r>
        <w:t>Slide 4: Use Mental Status as a Current Snapshot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MSE domains are shown beside baseline, culture, medical factors, and environment.</w:t>
            </w:r>
          </w:p>
        </w:tc>
        <w:tc>
          <w:tcPr>
            <w:tcW w:type="dxa" w:w="5112"/>
            <w:shd w:fill="DCEFF6"/>
            <w:tcMar>
              <w:top w:w="90" w:type="dxa"/>
              <w:start w:w="110" w:type="dxa"/>
              <w:bottom w:w="90" w:type="dxa"/>
              <w:end w:w="110" w:type="dxa"/>
            </w:tcMar>
            <w:vAlign w:val="top"/>
          </w:tcPr>
          <w:p>
            <w:pPr>
              <w:keepNext/>
              <w:keepLines/>
            </w:pPr>
            <w:r>
              <w:rPr>
                <w:color w:val="243B53"/>
                <w:sz w:val="17"/>
              </w:rPr>
              <w:t>Observe • Describe • Compare • Contextualize</w:t>
            </w:r>
          </w:p>
        </w:tc>
      </w:tr>
    </w:tbl>
    <w:p>
      <w:pPr>
        <w:pStyle w:val="CTALabel"/>
        <w:keepNext/>
      </w:pPr>
      <w:r>
        <w:t>Narration</w:t>
      </w:r>
    </w:p>
    <w:p>
      <w:pPr>
        <w:pStyle w:val="CTANarration"/>
        <w:keepLines/>
        <w:ind w:left="259" w:right="173"/>
      </w:pPr>
      <w:r>
        <w:t>The mental status examination describes current appearance, behavior, speech, mood, affect, thought process, thought content, perception, cognition, insight, and judgment. Document what was seen and heard before assigning meaning. Soft speech, delayed responses, or limited eye contact do not by themselves prove depression, deception, or poor insight. Compare new findings with baseline and consider language, culture, anxiety, disability, sleep, medication, substance use, pain, neurological change, and environmental stress. A sudden deviation from baseline may be more urgent than a familiar symptom label. Mental status informs the assessment; it does not replace history, collateral information, functioning, or person-in-environment analysis.</w:t>
      </w:r>
    </w:p>
    <w:p>
      <w:pPr>
        <w:pStyle w:val="Heading2"/>
        <w:keepNext/>
      </w:pPr>
      <w:r>
        <w:t>Slide 5: Integrate Collateral, Health, Medication, and Substance Data</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Client report, observation, records, family, medical providers, and service systems feed into one formulation.</w:t>
            </w:r>
          </w:p>
        </w:tc>
        <w:tc>
          <w:tcPr>
            <w:tcW w:type="dxa" w:w="5112"/>
            <w:shd w:fill="DCEFF6"/>
            <w:tcMar>
              <w:top w:w="90" w:type="dxa"/>
              <w:start w:w="110" w:type="dxa"/>
              <w:bottom w:w="90" w:type="dxa"/>
              <w:end w:w="110" w:type="dxa"/>
            </w:tcMar>
            <w:vAlign w:val="top"/>
          </w:tcPr>
          <w:p>
            <w:pPr>
              <w:keepNext/>
              <w:keepLines/>
            </w:pPr>
            <w:r>
              <w:rPr>
                <w:color w:val="243B53"/>
                <w:sz w:val="17"/>
              </w:rPr>
              <w:t>Source • Authority • Relevance • Reliability • Impact</w:t>
            </w:r>
          </w:p>
        </w:tc>
      </w:tr>
    </w:tbl>
    <w:p>
      <w:pPr>
        <w:pStyle w:val="CTALabel"/>
        <w:keepNext/>
      </w:pPr>
      <w:r>
        <w:t>Narration</w:t>
      </w:r>
    </w:p>
    <w:p>
      <w:pPr>
        <w:pStyle w:val="CTANarration"/>
        <w:keepLines/>
        <w:ind w:left="259" w:right="173"/>
      </w:pPr>
      <w:r>
        <w:t>Collateral information may come from family, schools, medical providers, records, agencies, or other sources. Clarify the purpose, authority, relevance, and reliability of each source, and do not treat one report as the complete truth. Health and medication assessment includes recent starts, stops, missed doses, side effects, adherence barriers, pain, sleep, pregnancy, injury, and access to care. Substance assessment should be neutral and behaviorally specific: what, how much, how often, in what context, with what consequences, and with what intoxication or withdrawal risk. The social worker assesses and coordinates; the social worker does not prescribe or direct medication changes.</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intervention before assessment, inference from behavior, full reliance on collateral, and medication advice.</w:t>
            </w:r>
          </w:p>
        </w:tc>
        <w:tc>
          <w:tcPr>
            <w:tcW w:type="dxa" w:w="5112"/>
            <w:shd w:fill="DCEFF6"/>
            <w:tcMar>
              <w:top w:w="90" w:type="dxa"/>
              <w:start w:w="110" w:type="dxa"/>
              <w:bottom w:w="90" w:type="dxa"/>
              <w:end w:w="110" w:type="dxa"/>
            </w:tcMar>
            <w:vAlign w:val="top"/>
          </w:tcPr>
          <w:p>
            <w:pPr>
              <w:keepNext/>
              <w:keepLines/>
            </w:pPr>
            <w:r>
              <w:rPr>
                <w:color w:val="243B53"/>
                <w:sz w:val="17"/>
              </w:rPr>
              <w:t>Describe Before Diagnosing; Assess Before Acting</w:t>
            </w:r>
          </w:p>
        </w:tc>
      </w:tr>
    </w:tbl>
    <w:p>
      <w:pPr>
        <w:pStyle w:val="CTALabel"/>
        <w:keepNext/>
      </w:pPr>
      <w:r>
        <w:t>Narration</w:t>
      </w:r>
    </w:p>
    <w:p>
      <w:pPr>
        <w:pStyle w:val="CTANarration"/>
        <w:keepLines/>
        <w:ind w:left="259" w:right="173"/>
      </w:pPr>
      <w:r>
        <w:t>Common traps include selecting treatment before clarifying safety or missing information; interpreting behavior instead of documenting it; assuming a referral label or prior diagnosis is current; avoiding direct risk questions to preserve rapport; accepting collateral information without considering source and authority; pressing for trauma detail before establishing relevance and choice; telling the client to stop or change medication; labeling substance use with stigmatizing language; and ignoring basic needs or access barriers. The strongest answer identifies the unanswered question that most affects safety, formulation, level of care, or service fit.</w:t>
      </w:r>
    </w:p>
    <w:p>
      <w:pPr>
        <w:pStyle w:val="Heading2"/>
        <w:keepNext/>
      </w:pPr>
      <w:r>
        <w:t>Slide 7: Mini Scenario: New Confusion During Intake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client with a recent medication change and unstable housing appears confused during intake.</w:t>
            </w:r>
          </w:p>
        </w:tc>
        <w:tc>
          <w:tcPr>
            <w:tcW w:type="dxa" w:w="5112"/>
            <w:shd w:fill="DCEFF6"/>
            <w:tcMar>
              <w:top w:w="90" w:type="dxa"/>
              <w:start w:w="110" w:type="dxa"/>
              <w:bottom w:w="90" w:type="dxa"/>
              <w:end w:w="110" w:type="dxa"/>
            </w:tcMar>
            <w:vAlign w:val="top"/>
          </w:tcPr>
          <w:p>
            <w:pPr>
              <w:keepNext/>
              <w:keepLines/>
            </w:pPr>
            <w:r>
              <w:rPr>
                <w:color w:val="243B53"/>
                <w:sz w:val="17"/>
              </w:rPr>
              <w:t>Assess Medical Risk and Baseline Before Routine Interviewing</w:t>
            </w:r>
          </w:p>
        </w:tc>
      </w:tr>
    </w:tbl>
    <w:p>
      <w:pPr>
        <w:pStyle w:val="CTALabel"/>
        <w:keepNext/>
      </w:pPr>
      <w:r>
        <w:t>Narration</w:t>
      </w:r>
    </w:p>
    <w:p>
      <w:pPr>
        <w:pStyle w:val="CTANarration"/>
        <w:keepLines/>
        <w:ind w:left="259" w:right="173"/>
      </w:pPr>
      <w:r>
        <w:t>A client arrives for an intake after a recent medication change and appears newly confused, unsteady, and unable to follow questions. The client is also staying in temporary housing. The first response is not to complete the full psychosocial history, diagnose a psychiatric disorder, or interpret the presentation as lack of motivation. Assess immediate safety, consciousness, recent medication and substance use, injury, medical symptoms, and baseline. Arrange prompt medical evaluation at the level required by severity and address transportation or other access barriers. Once medical stability is addressed, the social worker can continue the broader assessment and service plan.</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nine-step assessment worksheet leads into Workbook 4 practice.</w:t>
            </w:r>
          </w:p>
        </w:tc>
        <w:tc>
          <w:tcPr>
            <w:tcW w:type="dxa" w:w="5112"/>
            <w:shd w:fill="DCEFF6"/>
            <w:tcMar>
              <w:top w:w="90" w:type="dxa"/>
              <w:start w:w="110" w:type="dxa"/>
              <w:bottom w:w="90" w:type="dxa"/>
              <w:end w:w="110" w:type="dxa"/>
            </w:tcMar>
            <w:vAlign w:val="top"/>
          </w:tcPr>
          <w:p>
            <w:pPr>
              <w:keepNext/>
              <w:keepLines/>
            </w:pPr>
            <w:r>
              <w:rPr>
                <w:color w:val="243B53"/>
                <w:sz w:val="17"/>
              </w:rPr>
              <w:t>Known • Missing • Source • Urgency • Next Step</w:t>
            </w:r>
          </w:p>
        </w:tc>
      </w:tr>
    </w:tbl>
    <w:p>
      <w:pPr>
        <w:pStyle w:val="CTALabel"/>
        <w:keepNext/>
      </w:pPr>
      <w:r>
        <w:t>Narration</w:t>
      </w:r>
    </w:p>
    <w:p>
      <w:pPr>
        <w:pStyle w:val="CTANarration"/>
        <w:keepLines/>
        <w:ind w:left="259" w:right="173"/>
      </w:pPr>
      <w:r>
        <w:t>For each Workbook 4 vignette, write what is known, what is missing, who can provide the information, whether authority is needed, and how the answer changes urgency or the next step. In your error log, mark rapport-over-safety, observation-versus-inference, collateral-source errors, premature diagnosis, medication scope, substance-use assumptions, or ignored environmental barriers. Repeat the integrated assessment sequence until you can identify the most important missing information quickly.</w:t>
      </w:r>
    </w:p>
    <w:p>
      <w:pPr>
        <w:pStyle w:val="Heading1"/>
      </w:pPr>
      <w:r>
        <w:t>Audio-Only Adaptation Notes</w:t>
      </w:r>
    </w:p>
    <w:p>
      <w:pPr>
        <w:pStyle w:val="ListBullet"/>
        <w:spacing w:after="40"/>
        <w:ind w:left="360" w:hanging="216"/>
      </w:pPr>
      <w:r>
        <w:t>Pause after the nine-step sequence.</w:t>
      </w:r>
    </w:p>
    <w:p>
      <w:pPr>
        <w:pStyle w:val="ListBullet"/>
        <w:spacing w:after="40"/>
        <w:ind w:left="360" w:hanging="216"/>
      </w:pPr>
      <w:r>
        <w:t>Clearly distinguish mood from affect and observation from inference.</w:t>
      </w:r>
    </w:p>
    <w:p>
      <w:pPr>
        <w:pStyle w:val="ListBullet"/>
        <w:spacing w:after="40"/>
        <w:ind w:left="360" w:hanging="216"/>
      </w:pPr>
      <w:r>
        <w:t>Use “broad for story, direct for precision” as a verbal anchor.</w:t>
      </w:r>
    </w:p>
    <w:p>
      <w:pPr>
        <w:pStyle w:val="ListBullet"/>
        <w:spacing w:after="40"/>
        <w:ind w:left="360" w:hanging="216"/>
      </w:pPr>
      <w:r>
        <w:t>End with known, missing, source, urgency, and next step.</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candidates conduct focused, respectful assessment before selecting diagnosis, service, or intervention.</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4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4 Companion: Clinical Assessment, Interviewing, and Mental Status</dc:title>
  <dc:subject>CTA LCSW Workbook 4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