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343400" cy="981318"/>
            <wp:docPr id="1" name="Picture 1" descr="Clinical Training Academy horizontal logo" title="Clinical Training Academy logo"/>
            <wp:cNvGraphicFramePr>
              <a:graphicFrameLocks noChangeAspect="1"/>
            </wp:cNvGraphicFramePr>
            <a:graphic>
              <a:graphicData uri="http://schemas.openxmlformats.org/drawingml/2006/picture">
                <pic:pic>
                  <pic:nvPicPr>
                    <pic:cNvPr id="0" name="CTA_Horizontal_Logo.png"/>
                    <pic:cNvPicPr/>
                  </pic:nvPicPr>
                  <pic:blipFill>
                    <a:blip r:embed="rId11"/>
                    <a:stretch>
                      <a:fillRect/>
                    </a:stretch>
                  </pic:blipFill>
                  <pic:spPr>
                    <a:xfrm>
                      <a:off x="0" y="0"/>
                      <a:ext cx="4343400" cy="981318"/>
                    </a:xfrm>
                    <a:prstGeom prst="rect"/>
                  </pic:spPr>
                </pic:pic>
              </a:graphicData>
            </a:graphic>
          </wp:inline>
        </w:drawing>
      </w:r>
    </w:p>
    <w:p>
      <w:pPr>
        <w:pStyle w:val="Title"/>
        <w:jc w:val="center"/>
      </w:pPr>
      <w:r>
        <w:t>Workbook 5 Companion: Diagnosis, Medical Factors, and Psychopharmacology</w:t>
      </w:r>
    </w:p>
    <w:p>
      <w:pPr>
        <w:jc w:val="center"/>
      </w:pPr>
      <w:r>
        <w:rPr>
          <w:rFonts w:ascii="Aptos Display" w:hAnsi="Aptos Display"/>
          <w:b/>
          <w:color w:val="2AA7D6"/>
          <w:sz w:val="32"/>
        </w:rPr>
        <w:t>LCSW Workbook 5 Companion Multimedia Script</w:t>
      </w:r>
    </w:p>
    <w:p>
      <w:pPr>
        <w:jc w:val="center"/>
      </w:pPr>
      <w:r>
        <w:rPr>
          <w:color w:val="667085"/>
          <w:sz w:val="20"/>
        </w:rPr>
        <w:t>Version 1.0 • July 2026 • Ready-to-Record Script</w:t>
      </w:r>
    </w:p>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Production Purpose</w:t>
            </w:r>
          </w:p>
          <w:p>
            <w:pPr>
              <w:spacing w:after="0"/>
            </w:pPr>
            <w:r>
              <w:rPr>
                <w:color w:val="243B53"/>
                <w:sz w:val="20"/>
              </w:rPr>
              <w:t>Preview diagnostic reasoning that integrates safety, symptom pattern, chronology, medical and neurological factors, medication, substance use, person-in-environment context, client participation, and coordination.</w:t>
            </w:r>
          </w:p>
        </w:tc>
      </w:tr>
    </w:tbl>
    <w:p>
      <w:pPr>
        <w:spacing w:after="20"/>
      </w:pPr>
    </w:p>
    <w:p>
      <w:pPr>
        <w:pStyle w:val="Heading1"/>
      </w:pPr>
      <w:r>
        <w:t>Production Brief</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5112"/>
        <w:gridCol w:w="5112"/>
      </w:tblGrid>
      <w:tr>
        <w:trPr>
          <w:tblHeader w:val="true"/>
        </w:trPr>
        <w:tc>
          <w:tcPr>
            <w:tcW w:type="dxa" w:w="2448"/>
            <w:shd w:fill="17365D"/>
            <w:tcMar>
              <w:top w:w="90" w:type="dxa"/>
              <w:start w:w="110" w:type="dxa"/>
              <w:bottom w:w="90" w:type="dxa"/>
              <w:end w:w="110" w:type="dxa"/>
            </w:tcMar>
            <w:vAlign w:val="center"/>
          </w:tcPr>
          <w:p>
            <w:pPr>
              <w:jc w:val="center"/>
            </w:pPr>
            <w:r>
              <w:rPr>
                <w:b/>
                <w:color w:val="FFFFFF"/>
                <w:sz w:val="18"/>
              </w:rPr>
              <w:t>Field</w:t>
            </w:r>
          </w:p>
        </w:tc>
        <w:tc>
          <w:tcPr>
            <w:tcW w:type="dxa" w:w="8208"/>
            <w:shd w:fill="17365D"/>
            <w:tcMar>
              <w:top w:w="90" w:type="dxa"/>
              <w:start w:w="110" w:type="dxa"/>
              <w:bottom w:w="90" w:type="dxa"/>
              <w:end w:w="110" w:type="dxa"/>
            </w:tcMar>
            <w:vAlign w:val="center"/>
          </w:tcPr>
          <w:p>
            <w:pPr>
              <w:jc w:val="center"/>
            </w:pPr>
            <w:r>
              <w:rPr>
                <w:b/>
                <w:color w:val="FFFFFF"/>
                <w:sz w:val="18"/>
              </w:rPr>
              <w:t>Direction</w:t>
            </w:r>
          </w:p>
        </w:tc>
      </w:tr>
      <w:tr>
        <w:tc>
          <w:tcPr>
            <w:tcW w:type="dxa" w:w="2448"/>
            <w:tcMar>
              <w:top w:w="90" w:type="dxa"/>
              <w:start w:w="110" w:type="dxa"/>
              <w:bottom w:w="90" w:type="dxa"/>
              <w:end w:w="110" w:type="dxa"/>
            </w:tcMar>
            <w:vAlign w:val="top"/>
          </w:tcPr>
          <w:p>
            <w:pPr>
              <w:spacing w:after="40"/>
            </w:pPr>
            <w:r>
              <w:rPr>
                <w:color w:val="243B53"/>
                <w:sz w:val="17"/>
              </w:rPr>
              <w:t>Primary Audience</w:t>
            </w:r>
          </w:p>
        </w:tc>
        <w:tc>
          <w:tcPr>
            <w:tcW w:type="dxa" w:w="8208"/>
            <w:tcMar>
              <w:top w:w="90" w:type="dxa"/>
              <w:start w:w="110" w:type="dxa"/>
              <w:bottom w:w="90" w:type="dxa"/>
              <w:end w:w="110" w:type="dxa"/>
            </w:tcMar>
            <w:vAlign w:val="top"/>
          </w:tcPr>
          <w:p>
            <w:pPr>
              <w:spacing w:after="40"/>
            </w:pPr>
            <w:r>
              <w:rPr>
                <w:color w:val="243B53"/>
                <w:sz w:val="17"/>
              </w:rPr>
              <w:t>LCSW candidates completing the corresponding CTA workbook and question bank.</w:t>
            </w:r>
          </w:p>
        </w:tc>
      </w:tr>
      <w:tr>
        <w:tc>
          <w:tcPr>
            <w:tcW w:type="dxa" w:w="2448"/>
            <w:shd w:fill="F3F8FA"/>
            <w:tcMar>
              <w:top w:w="90" w:type="dxa"/>
              <w:start w:w="110" w:type="dxa"/>
              <w:bottom w:w="90" w:type="dxa"/>
              <w:end w:w="110" w:type="dxa"/>
            </w:tcMar>
            <w:vAlign w:val="top"/>
          </w:tcPr>
          <w:p>
            <w:pPr>
              <w:spacing w:after="40"/>
            </w:pPr>
            <w:r>
              <w:rPr>
                <w:color w:val="243B53"/>
                <w:sz w:val="17"/>
              </w:rPr>
              <w:t>Target Runtime</w:t>
            </w:r>
          </w:p>
        </w:tc>
        <w:tc>
          <w:tcPr>
            <w:tcW w:type="dxa" w:w="8208"/>
            <w:shd w:fill="F3F8FA"/>
            <w:tcMar>
              <w:top w:w="90" w:type="dxa"/>
              <w:start w:w="110" w:type="dxa"/>
              <w:bottom w:w="90" w:type="dxa"/>
              <w:end w:w="110" w:type="dxa"/>
            </w:tcMar>
            <w:vAlign w:val="top"/>
          </w:tcPr>
          <w:p>
            <w:pPr>
              <w:spacing w:after="40"/>
            </w:pPr>
            <w:r>
              <w:rPr>
                <w:color w:val="243B53"/>
                <w:sz w:val="17"/>
              </w:rPr>
              <w:t>Approximately 8-10 minutes</w:t>
            </w:r>
          </w:p>
        </w:tc>
      </w:tr>
      <w:tr>
        <w:tc>
          <w:tcPr>
            <w:tcW w:type="dxa" w:w="2448"/>
            <w:tcMar>
              <w:top w:w="90" w:type="dxa"/>
              <w:start w:w="110" w:type="dxa"/>
              <w:bottom w:w="90" w:type="dxa"/>
              <w:end w:w="110" w:type="dxa"/>
            </w:tcMar>
            <w:vAlign w:val="top"/>
          </w:tcPr>
          <w:p>
            <w:pPr>
              <w:spacing w:after="40"/>
            </w:pPr>
            <w:r>
              <w:rPr>
                <w:color w:val="243B53"/>
                <w:sz w:val="17"/>
              </w:rPr>
              <w:t>Delivery Format</w:t>
            </w:r>
          </w:p>
        </w:tc>
        <w:tc>
          <w:tcPr>
            <w:tcW w:type="dxa" w:w="8208"/>
            <w:tcMar>
              <w:top w:w="90" w:type="dxa"/>
              <w:start w:w="110" w:type="dxa"/>
              <w:bottom w:w="90" w:type="dxa"/>
              <w:end w:w="110" w:type="dxa"/>
            </w:tcMar>
            <w:vAlign w:val="top"/>
          </w:tcPr>
          <w:p>
            <w:pPr>
              <w:spacing w:after="40"/>
            </w:pPr>
            <w:r>
              <w:rPr>
                <w:color w:val="243B53"/>
                <w:sz w:val="17"/>
              </w:rPr>
              <w:t>CTA-branded narrated slides, captioned video, downloadable transcript, and audio-only version.</w:t>
            </w:r>
          </w:p>
        </w:tc>
      </w:tr>
      <w:tr>
        <w:tc>
          <w:tcPr>
            <w:tcW w:type="dxa" w:w="2448"/>
            <w:shd w:fill="F3F8FA"/>
            <w:tcMar>
              <w:top w:w="90" w:type="dxa"/>
              <w:start w:w="110" w:type="dxa"/>
              <w:bottom w:w="90" w:type="dxa"/>
              <w:end w:w="110" w:type="dxa"/>
            </w:tcMar>
            <w:vAlign w:val="top"/>
          </w:tcPr>
          <w:p>
            <w:pPr>
              <w:spacing w:after="40"/>
            </w:pPr>
            <w:r>
              <w:rPr>
                <w:color w:val="243B53"/>
                <w:sz w:val="17"/>
              </w:rPr>
              <w:t>Student Placement</w:t>
            </w:r>
          </w:p>
        </w:tc>
        <w:tc>
          <w:tcPr>
            <w:tcW w:type="dxa" w:w="8208"/>
            <w:shd w:fill="F3F8FA"/>
            <w:tcMar>
              <w:top w:w="90" w:type="dxa"/>
              <w:start w:w="110" w:type="dxa"/>
              <w:bottom w:w="90" w:type="dxa"/>
              <w:end w:w="110" w:type="dxa"/>
            </w:tcMar>
            <w:vAlign w:val="top"/>
          </w:tcPr>
          <w:p>
            <w:pPr>
              <w:spacing w:after="40"/>
            </w:pPr>
            <w:r>
              <w:rPr>
                <w:color w:val="243B53"/>
                <w:sz w:val="17"/>
              </w:rPr>
              <w:t>At the beginning of the LCSW Workbook 5 online module, before the workbook download and practice bank.</w:t>
            </w:r>
          </w:p>
        </w:tc>
      </w:tr>
      <w:tr>
        <w:tc>
          <w:tcPr>
            <w:tcW w:type="dxa" w:w="2448"/>
            <w:tcMar>
              <w:top w:w="90" w:type="dxa"/>
              <w:start w:w="110" w:type="dxa"/>
              <w:bottom w:w="90" w:type="dxa"/>
              <w:end w:w="110" w:type="dxa"/>
            </w:tcMar>
            <w:vAlign w:val="top"/>
          </w:tcPr>
          <w:p>
            <w:pPr>
              <w:spacing w:after="40"/>
            </w:pPr>
            <w:r>
              <w:rPr>
                <w:color w:val="243B53"/>
                <w:sz w:val="17"/>
              </w:rPr>
              <w:t>Source Alignment</w:t>
            </w:r>
          </w:p>
        </w:tc>
        <w:tc>
          <w:tcPr>
            <w:tcW w:type="dxa" w:w="8208"/>
            <w:tcMar>
              <w:top w:w="90" w:type="dxa"/>
              <w:start w:w="110" w:type="dxa"/>
              <w:bottom w:w="90" w:type="dxa"/>
              <w:end w:w="110" w:type="dxa"/>
            </w:tcMar>
            <w:vAlign w:val="top"/>
          </w:tcPr>
          <w:p>
            <w:pPr>
              <w:spacing w:after="40"/>
            </w:pPr>
            <w:r>
              <w:rPr>
                <w:color w:val="243B53"/>
                <w:sz w:val="17"/>
              </w:rPr>
              <w:t>CTA LCSW Workbook 5: Diagnosis, Medical Factors, and Psychopharmacology, including the nine-step integrated diagnostic and health reasoning sequence.</w:t>
            </w:r>
          </w:p>
        </w:tc>
      </w:tr>
    </w:tbl>
    <w:p>
      <w:pPr>
        <w:spacing w:after="20"/>
      </w:pPr>
    </w:p>
    <w:p>
      <w:pPr>
        <w:pStyle w:val="Heading1"/>
      </w:pPr>
      <w:r>
        <w:t>Learning Outcomes</w:t>
      </w:r>
    </w:p>
    <w:p>
      <w:pPr>
        <w:pStyle w:val="ListBullet"/>
        <w:spacing w:after="40"/>
        <w:ind w:left="360" w:hanging="216"/>
      </w:pPr>
      <w:r>
        <w:t>Differentiate working, provisional, differential, rule-out, and contextual formulations.</w:t>
      </w:r>
    </w:p>
    <w:p>
      <w:pPr>
        <w:pStyle w:val="ListBullet"/>
        <w:spacing w:after="40"/>
        <w:ind w:left="360" w:hanging="216"/>
      </w:pPr>
      <w:r>
        <w:t>Use chronology, baseline, impairment, and exclusions to compare explanations.</w:t>
      </w:r>
    </w:p>
    <w:p>
      <w:pPr>
        <w:pStyle w:val="ListBullet"/>
        <w:spacing w:after="40"/>
        <w:ind w:left="360" w:hanging="216"/>
      </w:pPr>
      <w:r>
        <w:t>Recognize medical, neurological, medication, and substance-related mimics or contributors.</w:t>
      </w:r>
    </w:p>
    <w:p>
      <w:pPr>
        <w:pStyle w:val="ListBullet"/>
        <w:spacing w:after="40"/>
        <w:ind w:left="360" w:hanging="216"/>
      </w:pPr>
      <w:r>
        <w:t>Connect diagnosis to access, level of care, client goals, and coordinated follow-up.</w:t>
      </w:r>
    </w:p>
    <w:p>
      <w:pPr>
        <w:pStyle w:val="Heading1"/>
      </w:pPr>
      <w:r>
        <w:t>Voice and Presentation Direction</w:t>
      </w:r>
    </w:p>
    <w:p>
      <w:pPr>
        <w:pStyle w:val="ListBullet"/>
        <w:spacing w:after="40"/>
        <w:ind w:left="360" w:hanging="216"/>
      </w:pPr>
      <w:r>
        <w:t>Avoid presenting diagnosis as certainty when data are incomplete.</w:t>
      </w:r>
    </w:p>
    <w:p>
      <w:pPr>
        <w:pStyle w:val="ListBullet"/>
        <w:spacing w:after="40"/>
        <w:ind w:left="360" w:hanging="216"/>
      </w:pPr>
      <w:r>
        <w:t>Name medical urgency before psychiatric interpretation.</w:t>
      </w:r>
    </w:p>
    <w:p>
      <w:pPr>
        <w:pStyle w:val="ListBullet"/>
        <w:spacing w:after="40"/>
        <w:ind w:left="360" w:hanging="216"/>
      </w:pPr>
      <w:r>
        <w:t>Repeat that social workers assess and coordinate rather than prescribe.</w:t>
      </w:r>
    </w:p>
    <w:p>
      <w:pPr>
        <w:pStyle w:val="ListBullet"/>
        <w:spacing w:after="40"/>
        <w:ind w:left="360" w:hanging="216"/>
      </w:pPr>
      <w:r>
        <w:t>Close with the nine diagnostic-health steps.</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FFF2CC"/>
            <w:tcMar>
              <w:top w:w="120" w:type="dxa"/>
              <w:start w:w="160" w:type="dxa"/>
              <w:bottom w:w="120" w:type="dxa"/>
              <w:end w:w="160" w:type="dxa"/>
            </w:tcMar>
          </w:tcPr>
          <w:p>
            <w:r>
              <w:rPr>
                <w:b/>
                <w:color w:val="17365D"/>
                <w:sz w:val="21"/>
              </w:rPr>
              <w:t>Recording Standard</w:t>
            </w:r>
          </w:p>
          <w:p>
            <w:pPr>
              <w:spacing w:after="0"/>
            </w:pPr>
            <w:r>
              <w:rPr>
                <w:color w:val="243B53"/>
                <w:sz w:val="20"/>
              </w:rPr>
              <w:t>Use diagnostic language cautiously. Emphasize differential assessment and social work scope rather than prescribing or premature labeling.</w:t>
            </w:r>
          </w:p>
        </w:tc>
      </w:tr>
    </w:tbl>
    <w:p>
      <w:pPr>
        <w:spacing w:after="20"/>
      </w:pPr>
    </w:p>
    <w:p>
      <w:pPr>
        <w:pStyle w:val="Heading1"/>
      </w:pPr>
      <w:r>
        <w:t>Slide-by-Slide Script</w:t>
      </w:r>
    </w:p>
    <w:p>
      <w:pPr>
        <w:pStyle w:val="Heading2"/>
        <w:keepNext/>
      </w:pPr>
      <w:r>
        <w:t>Slide 1: Diagnosis Is a Working Explanation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45-55 seconds</w:t>
            </w:r>
          </w:p>
        </w:tc>
        <w:tc>
          <w:tcPr>
            <w:tcW w:type="dxa" w:w="3528"/>
            <w:shd w:fill="F3F8FA"/>
            <w:tcMar>
              <w:top w:w="90" w:type="dxa"/>
              <w:start w:w="110" w:type="dxa"/>
              <w:bottom w:w="90" w:type="dxa"/>
              <w:end w:w="110" w:type="dxa"/>
            </w:tcMar>
            <w:vAlign w:val="top"/>
          </w:tcPr>
          <w:p>
            <w:pPr>
              <w:keepNext/>
              <w:keepLines/>
            </w:pPr>
            <w:r>
              <w:rPr>
                <w:color w:val="243B53"/>
                <w:sz w:val="17"/>
              </w:rPr>
              <w:t>Symptoms, chronology, function, exclusions, context, and client goals converge in a formulation.</w:t>
            </w:r>
          </w:p>
        </w:tc>
        <w:tc>
          <w:tcPr>
            <w:tcW w:type="dxa" w:w="5112"/>
            <w:shd w:fill="DCEFF6"/>
            <w:tcMar>
              <w:top w:w="90" w:type="dxa"/>
              <w:start w:w="110" w:type="dxa"/>
              <w:bottom w:w="90" w:type="dxa"/>
              <w:end w:w="110" w:type="dxa"/>
            </w:tcMar>
            <w:vAlign w:val="top"/>
          </w:tcPr>
          <w:p>
            <w:pPr>
              <w:keepNext/>
              <w:keepLines/>
            </w:pPr>
            <w:r>
              <w:rPr>
                <w:color w:val="243B53"/>
                <w:sz w:val="17"/>
              </w:rPr>
              <w:t>Pattern + Time + Impact + Exclusions + Context</w:t>
            </w:r>
          </w:p>
        </w:tc>
      </w:tr>
    </w:tbl>
    <w:p>
      <w:pPr>
        <w:pStyle w:val="CTALabel"/>
        <w:keepNext/>
      </w:pPr>
      <w:r>
        <w:t>Narration</w:t>
      </w:r>
    </w:p>
    <w:p>
      <w:pPr>
        <w:pStyle w:val="CTANarration"/>
        <w:keepLines/>
        <w:ind w:left="259" w:right="173"/>
      </w:pPr>
      <w:r>
        <w:t>Diagnostic reasoning organizes evidence; it should not replace assessment or client participation. The exam may present a familiar symptom pattern while also including medical, medication, substance, sleep, pain, trauma, grief, or environmental explanations. A diagnosis becomes stronger when the pattern, duration, severity, impairment, and exclusions are supported. It becomes weaker when the chronology is unclear, baseline has changed suddenly, or a competing health or substance factor has not been assessed. The social worker also considers how a working impression affects level of care, benefits, referrals, treatment, stigma, access, and the client’s understanding of the concern.</w:t>
      </w:r>
    </w:p>
    <w:p>
      <w:pPr>
        <w:pStyle w:val="Heading2"/>
        <w:keepNext/>
      </w:pPr>
      <w:r>
        <w:t>Slide 2: Use the Nine-Step Diagnostic-Health Sequence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85-95 seconds</w:t>
            </w:r>
          </w:p>
        </w:tc>
        <w:tc>
          <w:tcPr>
            <w:tcW w:type="dxa" w:w="3528"/>
            <w:shd w:fill="F3F8FA"/>
            <w:tcMar>
              <w:top w:w="90" w:type="dxa"/>
              <w:start w:w="110" w:type="dxa"/>
              <w:bottom w:w="90" w:type="dxa"/>
              <w:end w:w="110" w:type="dxa"/>
            </w:tcMar>
            <w:vAlign w:val="top"/>
          </w:tcPr>
          <w:p>
            <w:pPr>
              <w:keepNext/>
              <w:keepLines/>
            </w:pPr>
            <w:r>
              <w:rPr>
                <w:color w:val="243B53"/>
                <w:sz w:val="17"/>
              </w:rPr>
              <w:t>Nine steps move from safety and pattern to context, participation, and coordination.</w:t>
            </w:r>
          </w:p>
        </w:tc>
        <w:tc>
          <w:tcPr>
            <w:tcW w:type="dxa" w:w="5112"/>
            <w:shd w:fill="DCEFF6"/>
            <w:tcMar>
              <w:top w:w="90" w:type="dxa"/>
              <w:start w:w="110" w:type="dxa"/>
              <w:bottom w:w="90" w:type="dxa"/>
              <w:end w:w="110" w:type="dxa"/>
            </w:tcMar>
            <w:vAlign w:val="top"/>
          </w:tcPr>
          <w:p>
            <w:pPr>
              <w:keepNext/>
              <w:keepLines/>
            </w:pPr>
            <w:r>
              <w:rPr>
                <w:color w:val="243B53"/>
                <w:sz w:val="17"/>
              </w:rPr>
              <w:t>Safety • Pattern • Chronology • Medical/Medication • Substance • Differential • PIE • Client • Plan</w:t>
            </w:r>
          </w:p>
        </w:tc>
      </w:tr>
    </w:tbl>
    <w:p>
      <w:pPr>
        <w:pStyle w:val="CTALabel"/>
        <w:keepNext/>
      </w:pPr>
      <w:r>
        <w:t>Narration</w:t>
      </w:r>
    </w:p>
    <w:p>
      <w:pPr>
        <w:pStyle w:val="CTANarration"/>
        <w:keepLines/>
        <w:ind w:left="259" w:right="173"/>
      </w:pPr>
      <w:r>
        <w:t>Begin with safety and stability: immediate danger, altered consciousness, severe intoxication or withdrawal, acute medical concern, or inability to participate. Identify the presenting emotional, cognitive, behavioral, physical, relational, and functional pattern. Establish chronology and baseline. Review medical conditions, injury, pregnancy, pain, sleep, medication changes, interactions, side effects, and missed doses. Assess substance use and withdrawal risk. Compare diagnostic and contextual explanations and identify what separates them. Integrate housing, income, family, work, school, discrimination, health care, legal systems, and service access. Include the client’s understanding, priorities, and readiness. Then select the appropriate level of care, referral, consultation, resource, record review, or follow-up.</w:t>
      </w:r>
    </w:p>
    <w:p>
      <w:pPr>
        <w:pStyle w:val="Heading2"/>
        <w:keepNext/>
      </w:pPr>
      <w:r>
        <w:t>Slide 3: Use Status Terms Accurately</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Working, provisional, differential, rule-out, and contextual formulations appear on a continuum of certainty.</w:t>
            </w:r>
          </w:p>
        </w:tc>
        <w:tc>
          <w:tcPr>
            <w:tcW w:type="dxa" w:w="5112"/>
            <w:shd w:fill="DCEFF6"/>
            <w:tcMar>
              <w:top w:w="90" w:type="dxa"/>
              <w:start w:w="110" w:type="dxa"/>
              <w:bottom w:w="90" w:type="dxa"/>
              <w:end w:w="110" w:type="dxa"/>
            </w:tcMar>
            <w:vAlign w:val="top"/>
          </w:tcPr>
          <w:p>
            <w:pPr>
              <w:keepNext/>
              <w:keepLines/>
            </w:pPr>
            <w:r>
              <w:rPr>
                <w:color w:val="243B53"/>
                <w:sz w:val="17"/>
              </w:rPr>
              <w:t>State What Is Supported and What Remains Uncertain</w:t>
            </w:r>
          </w:p>
        </w:tc>
      </w:tr>
    </w:tbl>
    <w:p>
      <w:pPr>
        <w:pStyle w:val="CTALabel"/>
        <w:keepNext/>
      </w:pPr>
      <w:r>
        <w:t>Narration</w:t>
      </w:r>
    </w:p>
    <w:p>
      <w:pPr>
        <w:pStyle w:val="CTANarration"/>
        <w:keepLines/>
        <w:ind w:left="259" w:right="173"/>
      </w:pPr>
      <w:r>
        <w:t>A working diagnosis is the best current explanation and may change with new information. A provisional diagnosis signals that important criteria or exclusions are still being evaluated. A differential is the set of plausible alternatives that must be compared. A rule-out indicates that a condition requires further assessment rather than that it is already established. Contextual factors describe conditions affecting symptoms, functioning, treatment, or access and may be central even when they are not psychiatric disorders. The exam often rewards the answer that maintains appropriate uncertainty and seeks the information that would most change the formulation.</w:t>
      </w:r>
    </w:p>
    <w:p>
      <w:pPr>
        <w:pStyle w:val="Heading2"/>
        <w:keepNext/>
      </w:pPr>
      <w:r>
        <w:t>Slide 4: Medical, Neurological, Medication, and Substance Factors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Red flags lead to medical evaluation before routine psychotherapy or diagnosis.</w:t>
            </w:r>
          </w:p>
        </w:tc>
        <w:tc>
          <w:tcPr>
            <w:tcW w:type="dxa" w:w="5112"/>
            <w:shd w:fill="DCEFF6"/>
            <w:tcMar>
              <w:top w:w="90" w:type="dxa"/>
              <w:start w:w="110" w:type="dxa"/>
              <w:bottom w:w="90" w:type="dxa"/>
              <w:end w:w="110" w:type="dxa"/>
            </w:tcMar>
            <w:vAlign w:val="top"/>
          </w:tcPr>
          <w:p>
            <w:pPr>
              <w:keepNext/>
              <w:keepLines/>
            </w:pPr>
            <w:r>
              <w:rPr>
                <w:color w:val="243B53"/>
                <w:sz w:val="17"/>
              </w:rPr>
              <w:t>New, Fluctuating, Physical, or Time-Linked = Assess Health</w:t>
            </w:r>
          </w:p>
        </w:tc>
      </w:tr>
    </w:tbl>
    <w:p>
      <w:pPr>
        <w:pStyle w:val="CTALabel"/>
        <w:keepNext/>
      </w:pPr>
      <w:r>
        <w:t>Narration</w:t>
      </w:r>
    </w:p>
    <w:p>
      <w:pPr>
        <w:pStyle w:val="CTANarration"/>
        <w:keepLines/>
        <w:ind w:left="259" w:right="173"/>
      </w:pPr>
      <w:r>
        <w:t>New confusion, fluctuating alertness, seizure, head injury, sudden weakness, severe headache, fever with behavioral change, falls, or rapid decline can indicate a medical or neurological problem. Severe sedation, agitation, tremor, rigidity, rash, restlessness, slurred speech, or falls after a medication change may require prompt medical or prescriber evaluation. Altered consciousness, slowed breathing, collapse, overheating, chest pain, or inability to stay awake may require emergency response. Substance timing, dose, intoxication, withdrawal, and periods of abstinence can clarify whether symptoms are independent, induced, worsened, or maintained by use. Do not reduce a health signal to motivation or personality.</w:t>
      </w:r>
    </w:p>
    <w:p>
      <w:pPr>
        <w:pStyle w:val="Heading2"/>
        <w:keepNext/>
      </w:pPr>
      <w:r>
        <w:t>Slide 5: Psychopharmacology Within Social Work Scope</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70-80 seconds</w:t>
            </w:r>
          </w:p>
        </w:tc>
        <w:tc>
          <w:tcPr>
            <w:tcW w:type="dxa" w:w="3528"/>
            <w:shd w:fill="F3F8FA"/>
            <w:tcMar>
              <w:top w:w="90" w:type="dxa"/>
              <w:start w:w="110" w:type="dxa"/>
              <w:bottom w:w="90" w:type="dxa"/>
              <w:end w:w="110" w:type="dxa"/>
            </w:tcMar>
            <w:vAlign w:val="top"/>
          </w:tcPr>
          <w:p>
            <w:pPr>
              <w:keepNext/>
              <w:keepLines/>
            </w:pPr>
            <w:r>
              <w:rPr>
                <w:color w:val="243B53"/>
                <w:sz w:val="17"/>
              </w:rPr>
              <w:t>Medication purpose, benefit, effects, adherence barriers, prescriber communication, and access are mapped.</w:t>
            </w:r>
          </w:p>
        </w:tc>
        <w:tc>
          <w:tcPr>
            <w:tcW w:type="dxa" w:w="5112"/>
            <w:shd w:fill="DCEFF6"/>
            <w:tcMar>
              <w:top w:w="90" w:type="dxa"/>
              <w:start w:w="110" w:type="dxa"/>
              <w:bottom w:w="90" w:type="dxa"/>
              <w:end w:w="110" w:type="dxa"/>
            </w:tcMar>
            <w:vAlign w:val="top"/>
          </w:tcPr>
          <w:p>
            <w:pPr>
              <w:keepNext/>
              <w:keepLines/>
            </w:pPr>
            <w:r>
              <w:rPr>
                <w:color w:val="243B53"/>
                <w:sz w:val="17"/>
              </w:rPr>
              <w:t>Assess and Coordinate; Do Not Prescribe</w:t>
            </w:r>
          </w:p>
        </w:tc>
      </w:tr>
    </w:tbl>
    <w:p>
      <w:pPr>
        <w:pStyle w:val="CTALabel"/>
        <w:keepNext/>
      </w:pPr>
      <w:r>
        <w:t>Narration</w:t>
      </w:r>
    </w:p>
    <w:p>
      <w:pPr>
        <w:pStyle w:val="CTANarration"/>
        <w:keepLines/>
        <w:ind w:left="259" w:right="173"/>
      </w:pPr>
      <w:r>
        <w:t>The social worker obtains an accurate medication history, including prescription drugs, over-the-counter products, supplements, as-needed medications, and substances used for symptom relief. Ask about purpose, recent changes, perceived benefit, side effects, understanding, missed doses, cost, transportation, pharmacy access, stigma, literacy, and daily routine. Encourage communication with the prescriber and coordinate with authorization when needed. Do not tell the client to start, stop, increase, or decrease a medication. A medication concern may also require immediate safety planning, medical evaluation, or a higher level of care depending on severity.</w:t>
      </w:r>
    </w:p>
    <w:p>
      <w:pPr>
        <w:pStyle w:val="Heading2"/>
        <w:keepNext/>
      </w:pPr>
      <w:r>
        <w:t>Slide 6: Common Exam Traps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60-70 seconds</w:t>
            </w:r>
          </w:p>
        </w:tc>
        <w:tc>
          <w:tcPr>
            <w:tcW w:type="dxa" w:w="3528"/>
            <w:shd w:fill="F3F8FA"/>
            <w:tcMar>
              <w:top w:w="90" w:type="dxa"/>
              <w:start w:w="110" w:type="dxa"/>
              <w:bottom w:w="90" w:type="dxa"/>
              <w:end w:w="110" w:type="dxa"/>
            </w:tcMar>
            <w:vAlign w:val="top"/>
          </w:tcPr>
          <w:p>
            <w:pPr>
              <w:keepNext/>
              <w:keepLines/>
            </w:pPr>
            <w:r>
              <w:rPr>
                <w:color w:val="243B53"/>
                <w:sz w:val="17"/>
              </w:rPr>
              <w:t>Trap cards show diagnosis before task, ignored health barriers, prior-label reliance, and medication advice.</w:t>
            </w:r>
          </w:p>
        </w:tc>
        <w:tc>
          <w:tcPr>
            <w:tcW w:type="dxa" w:w="5112"/>
            <w:shd w:fill="DCEFF6"/>
            <w:tcMar>
              <w:top w:w="90" w:type="dxa"/>
              <w:start w:w="110" w:type="dxa"/>
              <w:bottom w:w="90" w:type="dxa"/>
              <w:end w:w="110" w:type="dxa"/>
            </w:tcMar>
            <w:vAlign w:val="top"/>
          </w:tcPr>
          <w:p>
            <w:pPr>
              <w:keepNext/>
              <w:keepLines/>
            </w:pPr>
            <w:r>
              <w:rPr>
                <w:color w:val="243B53"/>
                <w:sz w:val="17"/>
              </w:rPr>
              <w:t>Do Not Let a Familiar Label End the Assessment</w:t>
            </w:r>
          </w:p>
        </w:tc>
      </w:tr>
    </w:tbl>
    <w:p>
      <w:pPr>
        <w:pStyle w:val="CTALabel"/>
        <w:keepNext/>
      </w:pPr>
      <w:r>
        <w:t>Narration</w:t>
      </w:r>
    </w:p>
    <w:p>
      <w:pPr>
        <w:pStyle w:val="CTANarration"/>
        <w:keepLines/>
        <w:ind w:left="259" w:right="173"/>
      </w:pPr>
      <w:r>
        <w:t>Common traps include naming a likely diagnosis when the question asks what to do first; ignoring medical access, pain, sleep, transportation, housing, or medication barriers because the psychiatric label seems obvious; accepting a prior record diagnosis or positive screen without current assessment; pathologizing understandable responses to oppression, poverty, migration, caregiving, grief, or danger; using diagnosis to override self-determination without evidence of incapacity or emergency; telling a client to change medication; and making a referral without assessing eligibility, accessibility, cost, readiness, and follow-through.</w:t>
      </w:r>
    </w:p>
    <w:p>
      <w:pPr>
        <w:pStyle w:val="Heading2"/>
        <w:keepNext/>
      </w:pPr>
      <w:r>
        <w:t>Slide 7: Mini Scenario: Panic After High-Potency Cannabis</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75-85 seconds</w:t>
            </w:r>
          </w:p>
        </w:tc>
        <w:tc>
          <w:tcPr>
            <w:tcW w:type="dxa" w:w="3528"/>
            <w:shd w:fill="F3F8FA"/>
            <w:tcMar>
              <w:top w:w="90" w:type="dxa"/>
              <w:start w:w="110" w:type="dxa"/>
              <w:bottom w:w="90" w:type="dxa"/>
              <w:end w:w="110" w:type="dxa"/>
            </w:tcMar>
            <w:vAlign w:val="top"/>
          </w:tcPr>
          <w:p>
            <w:pPr>
              <w:keepNext/>
              <w:keepLines/>
            </w:pPr>
            <w:r>
              <w:rPr>
                <w:color w:val="243B53"/>
                <w:sz w:val="17"/>
              </w:rPr>
              <w:t>Panic episodes are mapped against cannabis use, abstinence, medical factors, and functioning.</w:t>
            </w:r>
          </w:p>
        </w:tc>
        <w:tc>
          <w:tcPr>
            <w:tcW w:type="dxa" w:w="5112"/>
            <w:shd w:fill="DCEFF6"/>
            <w:tcMar>
              <w:top w:w="90" w:type="dxa"/>
              <w:start w:w="110" w:type="dxa"/>
              <w:bottom w:w="90" w:type="dxa"/>
              <w:end w:w="110" w:type="dxa"/>
            </w:tcMar>
            <w:vAlign w:val="top"/>
          </w:tcPr>
          <w:p>
            <w:pPr>
              <w:keepNext/>
              <w:keepLines/>
            </w:pPr>
            <w:r>
              <w:rPr>
                <w:color w:val="243B53"/>
                <w:sz w:val="17"/>
              </w:rPr>
              <w:t>Clarify Timing and Competing Explanations Before Diagnosing</w:t>
            </w:r>
          </w:p>
        </w:tc>
      </w:tr>
    </w:tbl>
    <w:p>
      <w:pPr>
        <w:pStyle w:val="CTALabel"/>
        <w:keepNext/>
      </w:pPr>
      <w:r>
        <w:t>Narration</w:t>
      </w:r>
    </w:p>
    <w:p>
      <w:pPr>
        <w:pStyle w:val="CTANarration"/>
        <w:keepLines/>
        <w:ind w:left="259" w:right="173"/>
      </w:pPr>
      <w:r>
        <w:t>A college student reports panic episodes that occur mainly after using high-potency cannabis. The strongest next step is not to diagnose panic disorder immediately or simply advise the student to stop without assessment. Clarify the timing, amount, potency, other substances, medical symptoms, sleep, baseline anxiety, episodes during abstinence, functional impact, safety, and readiness to discuss use. The social worker can provide information, use motivational or harm-reduction strategies, and coordinate medical assessment when indicated. The diagnostic question remains open until the relationship between substance use and symptoms is better understood.</w:t>
      </w:r>
    </w:p>
    <w:p>
      <w:pPr>
        <w:pStyle w:val="Heading2"/>
        <w:keepNext/>
      </w:pPr>
      <w:r>
        <w:t>Slide 8: Study Direction</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408"/>
        <w:gridCol w:w="3408"/>
        <w:gridCol w:w="3408"/>
      </w:tblGrid>
      <w:tr>
        <w:trPr>
          <w:tblHeader w:val="true"/>
          <w:cantSplit/>
        </w:trPr>
        <w:tc>
          <w:tcPr>
            <w:tcW w:type="dxa" w:w="1440"/>
            <w:shd w:fill="17365D"/>
            <w:tcMar>
              <w:top w:w="90" w:type="dxa"/>
              <w:start w:w="110" w:type="dxa"/>
              <w:bottom w:w="90" w:type="dxa"/>
              <w:end w:w="110" w:type="dxa"/>
            </w:tcMar>
          </w:tcPr>
          <w:p>
            <w:pPr>
              <w:keepNext/>
              <w:keepLines/>
              <w:jc w:val="center"/>
            </w:pPr>
            <w:r>
              <w:rPr>
                <w:b/>
                <w:color w:val="FFFFFF"/>
                <w:sz w:val="17"/>
              </w:rPr>
              <w:t>Estimated Time</w:t>
            </w:r>
          </w:p>
        </w:tc>
        <w:tc>
          <w:tcPr>
            <w:tcW w:type="dxa" w:w="3528"/>
            <w:shd w:fill="17365D"/>
            <w:tcMar>
              <w:top w:w="90" w:type="dxa"/>
              <w:start w:w="110" w:type="dxa"/>
              <w:bottom w:w="90" w:type="dxa"/>
              <w:end w:w="110" w:type="dxa"/>
            </w:tcMar>
          </w:tcPr>
          <w:p>
            <w:pPr>
              <w:keepNext/>
              <w:keepLines/>
              <w:jc w:val="center"/>
            </w:pPr>
            <w:r>
              <w:rPr>
                <w:b/>
                <w:color w:val="FFFFFF"/>
                <w:sz w:val="17"/>
              </w:rPr>
              <w:t>Visual Direction</w:t>
            </w:r>
          </w:p>
        </w:tc>
        <w:tc>
          <w:tcPr>
            <w:tcW w:type="dxa" w:w="5112"/>
            <w:shd w:fill="17365D"/>
            <w:tcMar>
              <w:top w:w="90" w:type="dxa"/>
              <w:start w:w="110" w:type="dxa"/>
              <w:bottom w:w="90" w:type="dxa"/>
              <w:end w:w="110" w:type="dxa"/>
            </w:tcMar>
          </w:tcPr>
          <w:p>
            <w:pPr>
              <w:keepNext/>
              <w:keepLines/>
              <w:jc w:val="center"/>
            </w:pPr>
            <w:r>
              <w:rPr>
                <w:b/>
                <w:color w:val="FFFFFF"/>
                <w:sz w:val="17"/>
              </w:rPr>
              <w:t>On-Screen Text</w:t>
            </w:r>
          </w:p>
        </w:tc>
      </w:tr>
      <w:tr>
        <w:trPr>
          <w:cantSplit/>
        </w:trPr>
        <w:tc>
          <w:tcPr>
            <w:tcW w:type="dxa" w:w="1440"/>
            <w:shd w:fill="F3F8FA"/>
            <w:tcMar>
              <w:top w:w="90" w:type="dxa"/>
              <w:start w:w="110" w:type="dxa"/>
              <w:bottom w:w="90" w:type="dxa"/>
              <w:end w:w="110" w:type="dxa"/>
            </w:tcMar>
            <w:vAlign w:val="top"/>
          </w:tcPr>
          <w:p>
            <w:pPr>
              <w:keepNext/>
              <w:keepLines/>
            </w:pPr>
            <w:r>
              <w:rPr>
                <w:color w:val="243B53"/>
                <w:sz w:val="17"/>
              </w:rPr>
              <w:t>40-50 seconds</w:t>
            </w:r>
          </w:p>
        </w:tc>
        <w:tc>
          <w:tcPr>
            <w:tcW w:type="dxa" w:w="3528"/>
            <w:shd w:fill="F3F8FA"/>
            <w:tcMar>
              <w:top w:w="90" w:type="dxa"/>
              <w:start w:w="110" w:type="dxa"/>
              <w:bottom w:w="90" w:type="dxa"/>
              <w:end w:w="110" w:type="dxa"/>
            </w:tcMar>
            <w:vAlign w:val="top"/>
          </w:tcPr>
          <w:p>
            <w:pPr>
              <w:keepNext/>
              <w:keepLines/>
            </w:pPr>
            <w:r>
              <w:rPr>
                <w:color w:val="243B53"/>
                <w:sz w:val="17"/>
              </w:rPr>
              <w:t>A nine-step diagnostic worksheet leads into Workbook 5 practice.</w:t>
            </w:r>
          </w:p>
        </w:tc>
        <w:tc>
          <w:tcPr>
            <w:tcW w:type="dxa" w:w="5112"/>
            <w:shd w:fill="DCEFF6"/>
            <w:tcMar>
              <w:top w:w="90" w:type="dxa"/>
              <w:start w:w="110" w:type="dxa"/>
              <w:bottom w:w="90" w:type="dxa"/>
              <w:end w:w="110" w:type="dxa"/>
            </w:tcMar>
            <w:vAlign w:val="top"/>
          </w:tcPr>
          <w:p>
            <w:pPr>
              <w:keepNext/>
              <w:keepLines/>
            </w:pPr>
            <w:r>
              <w:rPr>
                <w:color w:val="243B53"/>
                <w:sz w:val="17"/>
              </w:rPr>
              <w:t>Pattern • Time • Baseline • Health • Substance • Differential • Context • Client • Plan</w:t>
            </w:r>
          </w:p>
        </w:tc>
      </w:tr>
    </w:tbl>
    <w:p>
      <w:pPr>
        <w:pStyle w:val="CTALabel"/>
        <w:keepNext/>
      </w:pPr>
      <w:r>
        <w:t>Narration</w:t>
      </w:r>
    </w:p>
    <w:p>
      <w:pPr>
        <w:pStyle w:val="CTANarration"/>
        <w:keepLines/>
        <w:ind w:left="259" w:right="173"/>
      </w:pPr>
      <w:r>
        <w:t>For each Workbook 5 vignette, complete the nine diagnostic-health steps and underline the fact that most weakens the obvious diagnosis. In your error log, mark premature labeling, missing chronology, ignored baseline, medical red flags, medication scope, substance timing, contextual pathologizing, or referral without access planning. Strong diagnostic answers state what is supported, what remains uncertain, and what information or coordination will resolve the uncertainty.</w:t>
      </w:r>
    </w:p>
    <w:p>
      <w:pPr>
        <w:pStyle w:val="Heading1"/>
      </w:pPr>
      <w:r>
        <w:t>Audio-Only Adaptation Notes</w:t>
      </w:r>
    </w:p>
    <w:p>
      <w:pPr>
        <w:pStyle w:val="ListBullet"/>
        <w:spacing w:after="40"/>
        <w:ind w:left="360" w:hanging="216"/>
      </w:pPr>
      <w:r>
        <w:t>Repeat the nine-step sequence near the close.</w:t>
      </w:r>
    </w:p>
    <w:p>
      <w:pPr>
        <w:pStyle w:val="ListBullet"/>
        <w:spacing w:after="40"/>
        <w:ind w:left="360" w:hanging="216"/>
      </w:pPr>
      <w:r>
        <w:t>Use “assess and coordinate; do not prescribe” as a verbal anchor.</w:t>
      </w:r>
    </w:p>
    <w:p>
      <w:pPr>
        <w:pStyle w:val="ListBullet"/>
        <w:spacing w:after="40"/>
        <w:ind w:left="360" w:hanging="216"/>
      </w:pPr>
      <w:r>
        <w:t>Pause after medical red flags.</w:t>
      </w:r>
    </w:p>
    <w:p>
      <w:pPr>
        <w:pStyle w:val="ListBullet"/>
        <w:spacing w:after="40"/>
        <w:ind w:left="360" w:hanging="216"/>
      </w:pPr>
      <w:r>
        <w:t>End with supported, uncertain, and next information.</w:t>
      </w:r>
    </w:p>
    <w:p>
      <w:pPr>
        <w:pStyle w:val="Heading1"/>
      </w:pPr>
      <w:r>
        <w:t>Recording Completion Checklist</w:t>
      </w:r>
    </w:p>
    <w:p>
      <w:pPr>
        <w:pStyle w:val="ListBullet"/>
        <w:spacing w:after="40"/>
        <w:ind w:left="360" w:hanging="216"/>
      </w:pPr>
      <w:r>
        <w:t>Narration matches the final slide order.</w:t>
      </w:r>
    </w:p>
    <w:p>
      <w:pPr>
        <w:pStyle w:val="ListBullet"/>
        <w:spacing w:after="40"/>
        <w:ind w:left="360" w:hanging="216"/>
      </w:pPr>
      <w:r>
        <w:t>Captions are synchronized and reviewed for clinical terminology.</w:t>
      </w:r>
    </w:p>
    <w:p>
      <w:pPr>
        <w:pStyle w:val="ListBullet"/>
        <w:spacing w:after="40"/>
        <w:ind w:left="360" w:hanging="216"/>
      </w:pPr>
      <w:r>
        <w:t>Transcript reflects the final recorded wording.</w:t>
      </w:r>
    </w:p>
    <w:p>
      <w:pPr>
        <w:pStyle w:val="ListBullet"/>
        <w:spacing w:after="40"/>
        <w:ind w:left="360" w:hanging="216"/>
      </w:pPr>
      <w:r>
        <w:t>Any screen demonstrations are verbally described for audio-only listeners.</w:t>
      </w:r>
    </w:p>
    <w:p>
      <w:pPr>
        <w:pStyle w:val="ListBullet"/>
        <w:spacing w:after="40"/>
        <w:ind w:left="360" w:hanging="216"/>
      </w:pPr>
      <w:r>
        <w:t>Volume is consistent and background noise is removed.</w:t>
      </w:r>
    </w:p>
    <w:p>
      <w:pPr>
        <w:pStyle w:val="ListBullet"/>
        <w:spacing w:after="40"/>
        <w:ind w:left="360" w:hanging="216"/>
      </w:pPr>
      <w:r>
        <w:t>Final video, transcript, captions, and MP3 use the same version number.</w:t>
      </w:r>
    </w:p>
    <w:p>
      <w:pPr>
        <w:pStyle w:val="ListBullet"/>
        <w:spacing w:after="40"/>
        <w:ind w:left="360" w:hanging="216"/>
      </w:pPr>
      <w:r>
        <w:t>The student’s next action is stated clearly at the end.</w:t>
      </w:r>
    </w:p>
    <w:tbl>
      <w:tblPr>
        <w:tblW w:type="auto" w:w="0"/>
        <w:jc w:val="center"/>
        <w:tblLayout w:type="fixed"/>
        <w:tblLook w:firstColumn="1" w:firstRow="1" w:lastColumn="0" w:lastRow="0" w:noHBand="0" w:noVBand="1" w:val="04A0"/>
        <w:tblBorders>
          <w:top w:val="single" w:sz="8" w:space="0" w:color="2AA7D6"/>
          <w:left w:val="single" w:sz="8" w:space="0" w:color="2AA7D6"/>
          <w:bottom w:val="single" w:sz="8" w:space="0" w:color="2AA7D6"/>
          <w:right w:val="single" w:sz="8" w:space="0" w:color="2AA7D6"/>
          <w:insideH w:val="single" w:sz="8" w:space="0" w:color="2AA7D6"/>
          <w:insideV w:val="single" w:sz="8" w:space="0" w:color="2AA7D6"/>
        </w:tblBorders>
      </w:tblPr>
      <w:tblGrid>
        <w:gridCol w:w="10080"/>
      </w:tblGrid>
      <w:tr>
        <w:trPr>
          <w:tblHeader w:val="true"/>
        </w:trPr>
        <w:tc>
          <w:tcPr>
            <w:tcW w:type="dxa" w:w="10224"/>
            <w:shd w:fill="DCEFF6"/>
            <w:tcMar>
              <w:top w:w="120" w:type="dxa"/>
              <w:start w:w="160" w:type="dxa"/>
              <w:bottom w:w="120" w:type="dxa"/>
              <w:end w:w="160" w:type="dxa"/>
            </w:tcMar>
          </w:tcPr>
          <w:p>
            <w:r>
              <w:rPr>
                <w:b/>
                <w:color w:val="17365D"/>
                <w:sz w:val="21"/>
              </w:rPr>
              <w:t>Closing Production Note</w:t>
            </w:r>
          </w:p>
          <w:p>
            <w:pPr>
              <w:spacing w:after="0"/>
            </w:pPr>
            <w:r>
              <w:rPr>
                <w:color w:val="243B53"/>
                <w:sz w:val="20"/>
              </w:rPr>
              <w:t>The recording should reinforce cautious differential reasoning and appropriate integration of health, medication, substance use, context, and client choice.</w:t>
            </w:r>
          </w:p>
        </w:tc>
      </w:tr>
    </w:tbl>
    <w:p>
      <w:pPr>
        <w:spacing w:after="20"/>
      </w:pPr>
    </w:p>
    <w:p>
      <w:pPr>
        <w:pStyle w:val="CTASmall"/>
        <w:jc w:val="center"/>
      </w:pPr>
      <w:r>
        <w:t>Educational exam-preparation content. CTA is not affiliated with or endorsed by the Association of Social Work Boards, Pearson VUE, the California Board of Behavioral Sciences, or any licensing or testing organization and does not guarantee examination passage.</w:t>
      </w:r>
    </w:p>
    <w:sectPr w:rsidR="00FC693F" w:rsidRPr="0006063C" w:rsidSect="00034616">
      <w:headerReference w:type="default" r:id="rId9"/>
      <w:footerReference w:type="default" r:id="rId10"/>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6"/>
      </w:rPr>
      <w:t xml:space="preserve">CTA LCSW Workbook 5 Companion Script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17365D"/>
        <w:sz w:val="16"/>
      </w:rPr>
      <w:t>CLINICAL TRAINING ACADEMY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243B53"/>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b/>
      <w:bCs/>
      <w:color w:val="243B5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Small">
    <w:name w:val="CTA Small"/>
    <w:rPr>
      <w:rFonts w:ascii="Aptos" w:hAnsi="Aptos"/>
      <w:b w:val="0"/>
      <w:color w:val="667085"/>
      <w:sz w:val="17"/>
    </w:rPr>
  </w:style>
  <w:style w:type="paragraph" w:customStyle="1" w:styleId="CTALabel">
    <w:name w:val="CTA Label"/>
    <w:rPr>
      <w:rFonts w:ascii="Aptos" w:hAnsi="Aptos"/>
      <w:b/>
      <w:color w:val="17365D"/>
      <w:sz w:val="18"/>
    </w:rPr>
  </w:style>
  <w:style w:type="paragraph" w:customStyle="1" w:styleId="CTANarration">
    <w:name w:val="CTA Narration"/>
    <w:rPr>
      <w:rFonts w:ascii="Aptos" w:hAnsi="Aptos"/>
      <w:b w:val="0"/>
      <w:color w:val="243B53"/>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5 Companion: Diagnosis, Medical Factors, and Psychopharmacology</dc:title>
  <dc:subject>CTA LCSW Workbook 5 Companion Multimedia Script</dc:subject>
  <dc:creator>Clinical Training Academy</dc:creator>
  <cp:keywords>LCSW, ASWB Clinical exam, workbook companion, exam preparation, narration script, Clinical Training Academy</cp:keywords>
  <dc:description>Ready-to-record workbook companion narration and slide production guide.</dc:description>
  <cp:lastModifiedBy>Clinical Training Academy</cp:lastModifiedBy>
  <cp:revision>1</cp:revision>
  <dcterms:created xsi:type="dcterms:W3CDTF">2013-12-23T23:15:00Z</dcterms:created>
  <dcterms:modified xsi:type="dcterms:W3CDTF">2013-12-23T23:15:00Z</dcterms:modified>
  <cp:category/>
</cp:coreProperties>
</file>