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6 Companion: Crisis, Abuse, and Risk Assessment</w:t>
      </w:r>
    </w:p>
    <w:p>
      <w:pPr>
        <w:jc w:val="center"/>
      </w:pPr>
      <w:r>
        <w:rPr>
          <w:rFonts w:ascii="Aptos Display" w:hAnsi="Aptos Display"/>
          <w:b/>
          <w:color w:val="2AA7D6"/>
          <w:sz w:val="32"/>
        </w:rPr>
        <w:t>LCSW Workbook 6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direct risk assessment, self-determination, capacity, abuse and neglect concerns, medical and substance emergencies, least restrictive care, accessible safety planning, and follow-up.</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6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6: Crisis, Abuse, and Risk Assessment, including the SAFE + REAL memory aid.</w:t>
            </w:r>
          </w:p>
        </w:tc>
      </w:tr>
    </w:tbl>
    <w:p>
      <w:pPr>
        <w:spacing w:after="20"/>
      </w:pPr>
    </w:p>
    <w:p>
      <w:pPr>
        <w:pStyle w:val="Heading1"/>
      </w:pPr>
      <w:r>
        <w:t>Learning Outcomes</w:t>
      </w:r>
    </w:p>
    <w:p>
      <w:pPr>
        <w:pStyle w:val="ListBullet"/>
        <w:spacing w:after="40"/>
        <w:ind w:left="360" w:hanging="216"/>
      </w:pPr>
      <w:r>
        <w:t>Use SAFE + REAL across suicide, violence, abuse, medical, substance, and displacement crises.</w:t>
      </w:r>
    </w:p>
    <w:p>
      <w:pPr>
        <w:pStyle w:val="ListBullet"/>
        <w:spacing w:after="40"/>
        <w:ind w:left="360" w:hanging="216"/>
      </w:pPr>
      <w:r>
        <w:t>Conduct direct risk assessment and formulate acuity.</w:t>
      </w:r>
    </w:p>
    <w:p>
      <w:pPr>
        <w:pStyle w:val="ListBullet"/>
        <w:spacing w:after="40"/>
        <w:ind w:left="360" w:hanging="216"/>
      </w:pPr>
      <w:r>
        <w:t>Balance self-determination, capacity, vulnerability, and protective duties.</w:t>
      </w:r>
    </w:p>
    <w:p>
      <w:pPr>
        <w:pStyle w:val="ListBullet"/>
        <w:spacing w:after="40"/>
        <w:ind w:left="360" w:hanging="216"/>
      </w:pPr>
      <w:r>
        <w:t>Select the least restrictive safe response with reachable resources and reassessment.</w:t>
      </w:r>
    </w:p>
    <w:p>
      <w:pPr>
        <w:pStyle w:val="Heading1"/>
      </w:pPr>
      <w:r>
        <w:t>Voice and Presentation Direction</w:t>
      </w:r>
    </w:p>
    <w:p>
      <w:pPr>
        <w:pStyle w:val="ListBullet"/>
        <w:spacing w:after="40"/>
        <w:ind w:left="360" w:hanging="216"/>
      </w:pPr>
      <w:r>
        <w:t>Model direct but non-alarmist safety questions.</w:t>
      </w:r>
    </w:p>
    <w:p>
      <w:pPr>
        <w:pStyle w:val="ListBullet"/>
        <w:spacing w:after="40"/>
        <w:ind w:left="360" w:hanging="216"/>
      </w:pPr>
      <w:r>
        <w:t>Do not equate every risk signal with hospitalization.</w:t>
      </w:r>
    </w:p>
    <w:p>
      <w:pPr>
        <w:pStyle w:val="ListBullet"/>
        <w:spacing w:after="40"/>
        <w:ind w:left="360" w:hanging="216"/>
      </w:pPr>
      <w:r>
        <w:t>Keep access and follow-through visible.</w:t>
      </w:r>
    </w:p>
    <w:p>
      <w:pPr>
        <w:pStyle w:val="ListBullet"/>
        <w:spacing w:after="40"/>
        <w:ind w:left="360" w:hanging="216"/>
      </w:pPr>
      <w:r>
        <w:t>Close with a realistic safety-plan check.</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calm, direct crisis language. Avoid graphic detail. Emphasize realistic plans, person-in-environment barriers, and supported duties.</w:t>
            </w:r>
          </w:p>
        </w:tc>
      </w:tr>
    </w:tbl>
    <w:p>
      <w:pPr>
        <w:spacing w:after="20"/>
      </w:pPr>
    </w:p>
    <w:p>
      <w:pPr>
        <w:pStyle w:val="Heading1"/>
      </w:pPr>
      <w:r>
        <w:t>Slide-by-Slide Script</w:t>
      </w:r>
    </w:p>
    <w:p>
      <w:pPr>
        <w:pStyle w:val="Heading2"/>
        <w:keepNext/>
      </w:pPr>
      <w:r>
        <w:t>Slide 1: Crisis Questions Test Sequence and Realism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Risk, capacity, environment, resources, and follow-up form a crisis pathway.</w:t>
            </w:r>
          </w:p>
        </w:tc>
        <w:tc>
          <w:tcPr>
            <w:tcW w:type="dxa" w:w="5112"/>
            <w:shd w:fill="DCEFF6"/>
            <w:tcMar>
              <w:top w:w="90" w:type="dxa"/>
              <w:start w:w="110" w:type="dxa"/>
              <w:bottom w:w="90" w:type="dxa"/>
              <w:end w:w="110" w:type="dxa"/>
            </w:tcMar>
            <w:vAlign w:val="top"/>
          </w:tcPr>
          <w:p>
            <w:pPr>
              <w:keepNext/>
              <w:keepLines/>
            </w:pPr>
            <w:r>
              <w:rPr>
                <w:color w:val="243B53"/>
                <w:sz w:val="17"/>
              </w:rPr>
              <w:t>Assess Directly, Then Match the Response</w:t>
            </w:r>
          </w:p>
        </w:tc>
      </w:tr>
    </w:tbl>
    <w:p>
      <w:pPr>
        <w:pStyle w:val="CTALabel"/>
        <w:keepNext/>
      </w:pPr>
      <w:r>
        <w:t>Narration</w:t>
      </w:r>
    </w:p>
    <w:p>
      <w:pPr>
        <w:pStyle w:val="CTANarration"/>
        <w:keepLines/>
        <w:ind w:left="259" w:right="173"/>
      </w:pPr>
      <w:r>
        <w:t>Crisis questions are not solved by choosing the most restrictive action or the most reassuring response. They test whether the social worker can identify urgency, ask direct questions, integrate person-in-environment conditions, preserve self-determination when possible, and select a response that is both safe and realistic. Housing, language, transportation, caregiving, technology, discrimination, health care, and service availability may determine whether a safety plan can actually be used. The goal is not to eliminate all uncertainty. It is to gather enough information to choose the least restrictive response that adequately addresses the level of danger and to ensure handoff and reassessment.</w:t>
      </w:r>
    </w:p>
    <w:p>
      <w:pPr>
        <w:pStyle w:val="Heading2"/>
        <w:keepNext/>
      </w:pPr>
      <w:r>
        <w:t>Slide 2: Use SAFE + REAL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80-90 seconds</w:t>
            </w:r>
          </w:p>
        </w:tc>
        <w:tc>
          <w:tcPr>
            <w:tcW w:type="dxa" w:w="3528"/>
            <w:shd w:fill="F3F8FA"/>
            <w:tcMar>
              <w:top w:w="90" w:type="dxa"/>
              <w:start w:w="110" w:type="dxa"/>
              <w:bottom w:w="90" w:type="dxa"/>
              <w:end w:w="110" w:type="dxa"/>
            </w:tcMar>
            <w:vAlign w:val="top"/>
          </w:tcPr>
          <w:p>
            <w:pPr>
              <w:keepNext/>
              <w:keepLines/>
            </w:pPr>
            <w:r>
              <w:rPr>
                <w:color w:val="243B53"/>
                <w:sz w:val="17"/>
              </w:rPr>
              <w:t>SAFE and REAL form an eight-step crisis sequence.</w:t>
            </w:r>
          </w:p>
        </w:tc>
        <w:tc>
          <w:tcPr>
            <w:tcW w:type="dxa" w:w="5112"/>
            <w:shd w:fill="DCEFF6"/>
            <w:tcMar>
              <w:top w:w="90" w:type="dxa"/>
              <w:start w:w="110" w:type="dxa"/>
              <w:bottom w:w="90" w:type="dxa"/>
              <w:end w:w="110" w:type="dxa"/>
            </w:tcMar>
            <w:vAlign w:val="top"/>
          </w:tcPr>
          <w:p>
            <w:pPr>
              <w:keepNext/>
              <w:keepLines/>
            </w:pPr>
            <w:r>
              <w:rPr>
                <w:color w:val="243B53"/>
                <w:sz w:val="17"/>
              </w:rPr>
              <w:t>Stabilize • Assess • Formulate • Execute • Resources • Engage • Access • Link</w:t>
            </w:r>
          </w:p>
        </w:tc>
      </w:tr>
    </w:tbl>
    <w:p>
      <w:pPr>
        <w:pStyle w:val="CTALabel"/>
        <w:keepNext/>
      </w:pPr>
      <w:r>
        <w:t>Narration</w:t>
      </w:r>
    </w:p>
    <w:p>
      <w:pPr>
        <w:pStyle w:val="CTANarration"/>
        <w:keepLines/>
        <w:ind w:left="259" w:right="173"/>
      </w:pPr>
      <w:r>
        <w:t>S means stabilize immediate danger and medical instability. A means assess directly and specifically. F means formulate risk in person-in-environment context. E means execute the least restrictive safe response. Then use REAL. R asks whether resources are reachable and appropriate. E engages the client or client system in the plan. A addresses access, language, disability, cost, transportation, technology, and caregiving. L links the client to help, follows up, and reassesses. This sequence applies across suicide, self-harm, violence, abuse, neglect, overdose, intoxication, withdrawal, self-neglect, disaster, displacement, and homelessness. The exact action changes, but direct assessment and realistic follow-through remain constant.</w:t>
      </w:r>
    </w:p>
    <w:p>
      <w:pPr>
        <w:pStyle w:val="Heading2"/>
        <w:keepNext/>
      </w:pPr>
      <w:r>
        <w:t>Slide 3: Ask Directly and Formulate Acuity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Ideation, intent, plan, means, behavior, history, protective factors, and environment appear in a risk formulation.</w:t>
            </w:r>
          </w:p>
        </w:tc>
        <w:tc>
          <w:tcPr>
            <w:tcW w:type="dxa" w:w="5112"/>
            <w:shd w:fill="DCEFF6"/>
            <w:tcMar>
              <w:top w:w="90" w:type="dxa"/>
              <w:start w:w="110" w:type="dxa"/>
              <w:bottom w:w="90" w:type="dxa"/>
              <w:end w:w="110" w:type="dxa"/>
            </w:tcMar>
            <w:vAlign w:val="top"/>
          </w:tcPr>
          <w:p>
            <w:pPr>
              <w:keepNext/>
              <w:keepLines/>
            </w:pPr>
            <w:r>
              <w:rPr>
                <w:color w:val="243B53"/>
                <w:sz w:val="17"/>
              </w:rPr>
              <w:t>Specific Questions Produce Safer Decisions</w:t>
            </w:r>
          </w:p>
        </w:tc>
      </w:tr>
    </w:tbl>
    <w:p>
      <w:pPr>
        <w:pStyle w:val="CTALabel"/>
        <w:keepNext/>
      </w:pPr>
      <w:r>
        <w:t>Narration</w:t>
      </w:r>
    </w:p>
    <w:p>
      <w:pPr>
        <w:pStyle w:val="CTANarration"/>
        <w:keepLines/>
        <w:ind w:left="259" w:right="173"/>
      </w:pPr>
      <w:r>
        <w:t>When a client expresses hopelessness, burdensomeness, a wish not to wake up, violent intent, abuse, or another warning sign, ask direct questions. Clarify current thoughts, intent, plan, access to means, preparations, recent behavior, frequency, controllability, triggers, prior attempts or violence, intoxication, psychosis, sleep loss, and protective factors. Formulation also includes the person’s ability to participate, the safety of the environment, access to help, caregiving responsibilities, and barriers to using the plan. A denial of current intent does not erase all risk, and the presence of thoughts does not automatically require hospitalization. Match the response to acuity and feasibility.</w:t>
      </w:r>
    </w:p>
    <w:p>
      <w:pPr>
        <w:pStyle w:val="Heading2"/>
        <w:keepNext/>
      </w:pPr>
      <w:r>
        <w:t>Slide 4: Self-Determination, Capacity, and Least Restrictive Care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Client choice is balanced with decision-specific capacity, danger, vulnerability, and available alternatives.</w:t>
            </w:r>
          </w:p>
        </w:tc>
        <w:tc>
          <w:tcPr>
            <w:tcW w:type="dxa" w:w="5112"/>
            <w:shd w:fill="DCEFF6"/>
            <w:tcMar>
              <w:top w:w="90" w:type="dxa"/>
              <w:start w:w="110" w:type="dxa"/>
              <w:bottom w:w="90" w:type="dxa"/>
              <w:end w:w="110" w:type="dxa"/>
            </w:tcMar>
            <w:vAlign w:val="top"/>
          </w:tcPr>
          <w:p>
            <w:pPr>
              <w:keepNext/>
              <w:keepLines/>
            </w:pPr>
            <w:r>
              <w:rPr>
                <w:color w:val="243B53"/>
                <w:sz w:val="17"/>
              </w:rPr>
              <w:t>Protect Without Using More Control Than Necessary</w:t>
            </w:r>
          </w:p>
        </w:tc>
      </w:tr>
    </w:tbl>
    <w:p>
      <w:pPr>
        <w:pStyle w:val="CTALabel"/>
        <w:keepNext/>
      </w:pPr>
      <w:r>
        <w:t>Narration</w:t>
      </w:r>
    </w:p>
    <w:p>
      <w:pPr>
        <w:pStyle w:val="CTANarration"/>
        <w:keepLines/>
        <w:ind w:left="259" w:right="173"/>
      </w:pPr>
      <w:r>
        <w:t>Adults ordinarily retain the right to make choices that professionals dislike. Assess whether the client understands the situation, appreciates likely consequences, can reason about options, and can communicate a choice when capacity is relevant. Do not assume incapacity because a decision appears risky, because the client is older, unhoused, disabled, or living with a diagnosis. At the same time, immediate danger, inability to care for basic needs, severe impairment, medical instability, or a supported protective duty may require action. Choose the least restrictive effective response and involve the client in the plan to the greatest extent possible.</w:t>
      </w:r>
    </w:p>
    <w:p>
      <w:pPr>
        <w:pStyle w:val="Heading2"/>
        <w:keepNext/>
      </w:pPr>
      <w:r>
        <w:t>Slide 5: Abuse, Medical, Substance, and Environmental Crises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Different crisis categories lead to assessment, protection, medical care, shelter, or coordinated services.</w:t>
            </w:r>
          </w:p>
        </w:tc>
        <w:tc>
          <w:tcPr>
            <w:tcW w:type="dxa" w:w="5112"/>
            <w:shd w:fill="DCEFF6"/>
            <w:tcMar>
              <w:top w:w="90" w:type="dxa"/>
              <w:start w:w="110" w:type="dxa"/>
              <w:bottom w:w="90" w:type="dxa"/>
              <w:end w:w="110" w:type="dxa"/>
            </w:tcMar>
            <w:vAlign w:val="top"/>
          </w:tcPr>
          <w:p>
            <w:pPr>
              <w:keepNext/>
              <w:keepLines/>
            </w:pPr>
            <w:r>
              <w:rPr>
                <w:color w:val="243B53"/>
                <w:sz w:val="17"/>
              </w:rPr>
              <w:t>Use the Duty Supplied by the Item and Address Access</w:t>
            </w:r>
          </w:p>
        </w:tc>
      </w:tr>
    </w:tbl>
    <w:p>
      <w:pPr>
        <w:pStyle w:val="CTALabel"/>
        <w:keepNext/>
      </w:pPr>
      <w:r>
        <w:t>Narration</w:t>
      </w:r>
    </w:p>
    <w:p>
      <w:pPr>
        <w:pStyle w:val="CTANarration"/>
        <w:keepLines/>
        <w:ind w:left="259" w:right="173"/>
      </w:pPr>
      <w:r>
        <w:t>Abuse, neglect, exploitation, intimate partner violence, stalking, sexual assault, overdose, withdrawal, and medical instability require category-specific assessment. Follow the legal duty provided by the question or use jurisdiction-neutral ethical reasoning when none is supplied. Do not import a local rule into a national item. In intimate partner violence, assess danger, coercion, safe communication, technology risks, children, pets, shelter access, and the client’s choices. In overdose, dangerous withdrawal, altered consciousness, or severe physical symptoms, medical response may precede routine psychosocial work. In homelessness or disaster, integrate safety with shelter, medication, communication, transportation, and continuity.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housing before suicide assessment, generic referral, coercion, and delayed medical response.</w:t>
            </w:r>
          </w:p>
        </w:tc>
        <w:tc>
          <w:tcPr>
            <w:tcW w:type="dxa" w:w="5112"/>
            <w:shd w:fill="DCEFF6"/>
            <w:tcMar>
              <w:top w:w="90" w:type="dxa"/>
              <w:start w:w="110" w:type="dxa"/>
              <w:bottom w:w="90" w:type="dxa"/>
              <w:end w:w="110" w:type="dxa"/>
            </w:tcMar>
            <w:vAlign w:val="top"/>
          </w:tcPr>
          <w:p>
            <w:pPr>
              <w:keepNext/>
              <w:keepLines/>
            </w:pPr>
            <w:r>
              <w:rPr>
                <w:color w:val="243B53"/>
                <w:sz w:val="17"/>
              </w:rPr>
              <w:t>Urgency First; Access Makes the Plan Real</w:t>
            </w:r>
          </w:p>
        </w:tc>
      </w:tr>
    </w:tbl>
    <w:p>
      <w:pPr>
        <w:pStyle w:val="CTALabel"/>
        <w:keepNext/>
      </w:pPr>
      <w:r>
        <w:t>Narration</w:t>
      </w:r>
    </w:p>
    <w:p>
      <w:pPr>
        <w:pStyle w:val="CTANarration"/>
        <w:keepLines/>
        <w:ind w:left="259" w:right="173"/>
      </w:pPr>
      <w:r>
        <w:t>Common traps include addressing housing before assessing a death wish, ignoring medical instability, overriding an adult survivor’s choices without a supported basis, assuming refusal ends services, importing jurisdiction-specific law, using consultation instead of an urgent action, relying on a promise or no-harm contract instead of assessment, and giving a generic referral without checking availability, eligibility, language, transportation, cost, safety, and follow-up. Another trap is choosing hospitalization for every risk signal or avoiding hospitalization when the person cannot remain safe. The response must fit acuity.</w:t>
      </w:r>
    </w:p>
    <w:p>
      <w:pPr>
        <w:pStyle w:val="Heading2"/>
        <w:keepNext/>
      </w:pPr>
      <w:r>
        <w:t>Slide 7: Mini Scenario: Housing Loss and Passive Death Wish</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Housing loss, passive death wish, direct assessment, resources, and follow-up appear in sequence.</w:t>
            </w:r>
          </w:p>
        </w:tc>
        <w:tc>
          <w:tcPr>
            <w:tcW w:type="dxa" w:w="5112"/>
            <w:shd w:fill="DCEFF6"/>
            <w:tcMar>
              <w:top w:w="90" w:type="dxa"/>
              <w:start w:w="110" w:type="dxa"/>
              <w:bottom w:w="90" w:type="dxa"/>
              <w:end w:w="110" w:type="dxa"/>
            </w:tcMar>
            <w:vAlign w:val="top"/>
          </w:tcPr>
          <w:p>
            <w:pPr>
              <w:keepNext/>
              <w:keepLines/>
            </w:pPr>
            <w:r>
              <w:rPr>
                <w:color w:val="243B53"/>
                <w:sz w:val="17"/>
              </w:rPr>
              <w:t>Assess Suicide Risk Before Finalizing the Housing Plan</w:t>
            </w:r>
          </w:p>
        </w:tc>
      </w:tr>
    </w:tbl>
    <w:p>
      <w:pPr>
        <w:pStyle w:val="CTALabel"/>
        <w:keepNext/>
      </w:pPr>
      <w:r>
        <w:t>Narration</w:t>
      </w:r>
    </w:p>
    <w:p>
      <w:pPr>
        <w:pStyle w:val="CTANarration"/>
        <w:keepLines/>
        <w:ind w:left="259" w:right="173"/>
      </w:pPr>
      <w:r>
        <w:t>A client who recently lost housing says, “I cannot do this anymore. I wish I would not wake up.” Housing assistance is important, but the statement requires direct suicide assessment before the social worker can determine disposition. Ask about active thoughts, intent, plan, means, recent behavior, substance use, protective factors, and the ability to remain safe. Then integrate housing, transportation, phone access, medication, supports, and reachable crisis resources into the least restrictive safe plan. Confirm the handoff and schedule reassessment. The strong answer addresses both the immediate risk signal and the environmental crisis rather than choosing one and ignoring the other.</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SAFE + REAL worksheet leads into the Workbook 6 practice bank.</w:t>
            </w:r>
          </w:p>
        </w:tc>
        <w:tc>
          <w:tcPr>
            <w:tcW w:type="dxa" w:w="5112"/>
            <w:shd w:fill="DCEFF6"/>
            <w:tcMar>
              <w:top w:w="90" w:type="dxa"/>
              <w:start w:w="110" w:type="dxa"/>
              <w:bottom w:w="90" w:type="dxa"/>
              <w:end w:w="110" w:type="dxa"/>
            </w:tcMar>
            <w:vAlign w:val="top"/>
          </w:tcPr>
          <w:p>
            <w:pPr>
              <w:keepNext/>
              <w:keepLines/>
            </w:pPr>
            <w:r>
              <w:rPr>
                <w:color w:val="243B53"/>
                <w:sz w:val="17"/>
              </w:rPr>
              <w:t>Danger • Questions • Acuity • Least Restrictive Plan • Reachability • Follow-Up</w:t>
            </w:r>
          </w:p>
        </w:tc>
      </w:tr>
    </w:tbl>
    <w:p>
      <w:pPr>
        <w:pStyle w:val="CTALabel"/>
        <w:keepNext/>
      </w:pPr>
      <w:r>
        <w:t>Narration</w:t>
      </w:r>
    </w:p>
    <w:p>
      <w:pPr>
        <w:pStyle w:val="CTANarration"/>
        <w:keepLines/>
        <w:ind w:left="259" w:right="173"/>
      </w:pPr>
      <w:r>
        <w:t>For each Workbook 6 vignette, identify the immediate danger or medical issue, the direct questions required, the person-in-environment factors that change acuity, the least restrictive safe response, whether the resources are reachable, and who will follow up. In your error log, mark urgency, sequence, capacity, self-determination, legal-versus-clinical reasoning, access, or handoff. A safety plan is only as strong as the client’s ability and opportunity to use it under stress.</w:t>
      </w:r>
    </w:p>
    <w:p>
      <w:pPr>
        <w:pStyle w:val="Heading1"/>
      </w:pPr>
      <w:r>
        <w:t>Audio-Only Adaptation Notes</w:t>
      </w:r>
    </w:p>
    <w:p>
      <w:pPr>
        <w:pStyle w:val="ListBullet"/>
        <w:spacing w:after="40"/>
        <w:ind w:left="360" w:hanging="216"/>
      </w:pPr>
      <w:r>
        <w:t>Spell out SAFE + REAL slowly.</w:t>
      </w:r>
    </w:p>
    <w:p>
      <w:pPr>
        <w:pStyle w:val="ListBullet"/>
        <w:spacing w:after="40"/>
        <w:ind w:left="360" w:hanging="216"/>
      </w:pPr>
      <w:r>
        <w:t>Pause after the direct-risk domains.</w:t>
      </w:r>
    </w:p>
    <w:p>
      <w:pPr>
        <w:pStyle w:val="ListBullet"/>
        <w:spacing w:after="40"/>
        <w:ind w:left="360" w:hanging="216"/>
      </w:pPr>
      <w:r>
        <w:t>Use “least restrictive safe response” as a verbal anchor.</w:t>
      </w:r>
    </w:p>
    <w:p>
      <w:pPr>
        <w:pStyle w:val="ListBullet"/>
        <w:spacing w:after="40"/>
        <w:ind w:left="360" w:hanging="216"/>
      </w:pPr>
      <w:r>
        <w:t>End with the realistic safety-plan check.</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strengthen direct assessment, proportionate crisis response, person-in-environment planning, and continuity.</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6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6 Companion: Crisis, Abuse, and Risk Assessment</dc:title>
  <dc:subject>CTA LCSW Workbook 6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