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8 Companion: Clinical Interventions and Trauma-Informed Practice</w:t>
      </w:r>
    </w:p>
    <w:p>
      <w:pPr>
        <w:jc w:val="center"/>
      </w:pPr>
      <w:r>
        <w:rPr>
          <w:rFonts w:ascii="Aptos Display" w:hAnsi="Aptos Display"/>
          <w:b/>
          <w:color w:val="2AA7D6"/>
          <w:sz w:val="32"/>
        </w:rPr>
        <w:t>LCSW Workbook 8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intervention selection by formulation, urgency, target mechanism, readiness, trauma-informed timing, culture, access, competence, and response data.</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8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8: Clinical Interventions and Trauma-Informed Practice, including the FITS intervention sequence.</w:t>
            </w:r>
          </w:p>
        </w:tc>
      </w:tr>
    </w:tbl>
    <w:p>
      <w:pPr>
        <w:spacing w:after="20"/>
      </w:pPr>
    </w:p>
    <w:p>
      <w:pPr>
        <w:pStyle w:val="Heading1"/>
      </w:pPr>
      <w:r>
        <w:t>Learning Outcomes</w:t>
      </w:r>
    </w:p>
    <w:p>
      <w:pPr>
        <w:pStyle w:val="ListBullet"/>
        <w:spacing w:after="40"/>
        <w:ind w:left="360" w:hanging="216"/>
      </w:pPr>
      <w:r>
        <w:t>Use FITS to select and order interventions.</w:t>
      </w:r>
    </w:p>
    <w:p>
      <w:pPr>
        <w:pStyle w:val="ListBullet"/>
        <w:spacing w:after="40"/>
        <w:ind w:left="360" w:hanging="216"/>
      </w:pPr>
      <w:r>
        <w:t>Differentiate trauma-informed care, cognitive-behavioral methods, DBT-informed skills, motivational interviewing, psychoeducation, grief support, and harm reduction.</w:t>
      </w:r>
    </w:p>
    <w:p>
      <w:pPr>
        <w:pStyle w:val="ListBullet"/>
        <w:spacing w:after="40"/>
        <w:ind w:left="360" w:hanging="216"/>
      </w:pPr>
      <w:r>
        <w:t>Adapt interventions to development, culture, language, disability, readiness, and access.</w:t>
      </w:r>
    </w:p>
    <w:p>
      <w:pPr>
        <w:pStyle w:val="ListBullet"/>
        <w:spacing w:after="40"/>
        <w:ind w:left="360" w:hanging="216"/>
      </w:pPr>
      <w:r>
        <w:t>Reassess ineffective or inaccessible interventions without blaming the client.</w:t>
      </w:r>
    </w:p>
    <w:p>
      <w:pPr>
        <w:pStyle w:val="Heading1"/>
      </w:pPr>
      <w:r>
        <w:t>Voice and Presentation Direction</w:t>
      </w:r>
    </w:p>
    <w:p>
      <w:pPr>
        <w:pStyle w:val="ListBullet"/>
        <w:spacing w:after="40"/>
        <w:ind w:left="360" w:hanging="216"/>
      </w:pPr>
      <w:r>
        <w:t>Name the target mechanism before the technique.</w:t>
      </w:r>
    </w:p>
    <w:p>
      <w:pPr>
        <w:pStyle w:val="ListBullet"/>
        <w:spacing w:after="40"/>
        <w:ind w:left="360" w:hanging="216"/>
      </w:pPr>
      <w:r>
        <w:t>Avoid detailed trauma narratives.</w:t>
      </w:r>
    </w:p>
    <w:p>
      <w:pPr>
        <w:pStyle w:val="ListBullet"/>
        <w:spacing w:after="40"/>
        <w:ind w:left="360" w:hanging="216"/>
      </w:pPr>
      <w:r>
        <w:t>Keep client choice and readiness visible.</w:t>
      </w:r>
    </w:p>
    <w:p>
      <w:pPr>
        <w:pStyle w:val="ListBullet"/>
        <w:spacing w:after="40"/>
        <w:ind w:left="360" w:hanging="216"/>
      </w:pPr>
      <w:r>
        <w:t>Close with the FITS worksheet.</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mechanism-based language rather than technique promotion. Emphasize stabilization, choice, accessibility, scope, and evaluation.</w:t>
            </w:r>
          </w:p>
        </w:tc>
      </w:tr>
    </w:tbl>
    <w:p>
      <w:pPr>
        <w:spacing w:after="20"/>
      </w:pPr>
    </w:p>
    <w:p>
      <w:pPr>
        <w:pStyle w:val="Heading1"/>
      </w:pPr>
      <w:r>
        <w:t>Slide-by-Slide Script</w:t>
      </w:r>
    </w:p>
    <w:p>
      <w:pPr>
        <w:pStyle w:val="Heading2"/>
        <w:keepNext/>
      </w:pPr>
      <w:r>
        <w:t>Slide 1: Intervention Questions Test Fit and Timing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Formulation, urgency, mechanism, suitability, and response check form a selection pathway.</w:t>
            </w:r>
          </w:p>
        </w:tc>
        <w:tc>
          <w:tcPr>
            <w:tcW w:type="dxa" w:w="5112"/>
            <w:shd w:fill="DCEFF6"/>
            <w:tcMar>
              <w:top w:w="90" w:type="dxa"/>
              <w:start w:w="110" w:type="dxa"/>
              <w:bottom w:w="90" w:type="dxa"/>
              <w:end w:w="110" w:type="dxa"/>
            </w:tcMar>
            <w:vAlign w:val="top"/>
          </w:tcPr>
          <w:p>
            <w:pPr>
              <w:keepNext/>
              <w:keepLines/>
            </w:pPr>
            <w:r>
              <w:rPr>
                <w:color w:val="243B53"/>
                <w:sz w:val="17"/>
              </w:rPr>
              <w:t>Technique Name Is Not Enough</w:t>
            </w:r>
          </w:p>
        </w:tc>
      </w:tr>
    </w:tbl>
    <w:p>
      <w:pPr>
        <w:pStyle w:val="CTALabel"/>
        <w:keepNext/>
      </w:pPr>
      <w:r>
        <w:t>Narration</w:t>
      </w:r>
    </w:p>
    <w:p>
      <w:pPr>
        <w:pStyle w:val="CTANarration"/>
        <w:keepLines/>
        <w:ind w:left="259" w:right="173"/>
      </w:pPr>
      <w:r>
        <w:t>Several answer choices may name evidence-informed interventions. The best answer is the one that fits the current formulation, level of urgency, maintaining mechanism, readiness, culture, development, access, client preference, and social worker competence. A familiar method can still be wrong if the client needs stabilization, medical care, a resource intervention, or a higher level of care first. A method can also be clinically appropriate in theory but unusable because of language, disability, cost, transportation, technology, or service availability. Workbook 8 teaches you to select the function and timing of intervention rather than simply recognizing technique names.</w:t>
      </w:r>
    </w:p>
    <w:p>
      <w:pPr>
        <w:pStyle w:val="Heading2"/>
        <w:keepNext/>
      </w:pPr>
      <w:r>
        <w:t>Slide 2: Use FITS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FITS steps form an intervention selection loop.</w:t>
            </w:r>
          </w:p>
        </w:tc>
        <w:tc>
          <w:tcPr>
            <w:tcW w:type="dxa" w:w="5112"/>
            <w:shd w:fill="DCEFF6"/>
            <w:tcMar>
              <w:top w:w="90" w:type="dxa"/>
              <w:start w:w="110" w:type="dxa"/>
              <w:bottom w:w="90" w:type="dxa"/>
              <w:end w:w="110" w:type="dxa"/>
            </w:tcMar>
            <w:vAlign w:val="top"/>
          </w:tcPr>
          <w:p>
            <w:pPr>
              <w:keepNext/>
              <w:keepLines/>
            </w:pPr>
            <w:r>
              <w:rPr>
                <w:color w:val="243B53"/>
                <w:sz w:val="17"/>
              </w:rPr>
              <w:t>Formulation • Immediacy • Target • Suitability • Response Check</w:t>
            </w:r>
          </w:p>
        </w:tc>
      </w:tr>
    </w:tbl>
    <w:p>
      <w:pPr>
        <w:pStyle w:val="CTALabel"/>
        <w:keepNext/>
      </w:pPr>
      <w:r>
        <w:t>Narration</w:t>
      </w:r>
    </w:p>
    <w:p>
      <w:pPr>
        <w:pStyle w:val="CTANarration"/>
        <w:keepLines/>
        <w:ind w:left="259" w:right="173"/>
      </w:pPr>
      <w:r>
        <w:t>F means formulate the problem in person-in-environment context. I means check immediacy: safety, medical stability, severe impairment, basic needs, and level of care. T means identify the target mechanism, such as avoidance, distorted appraisal, skill deficit, ambivalence, reinforcement, dysregulation, grief, isolation, or an environmental barrier. S means evaluate suitability, including readiness, culture, development, language, disability, health literacy, access, preference, evidence, and competence. The response check asks how you will know the intervention is helping. FITS keeps the technique connected to the reason for using it and to the data that will guide continuation or revision.</w:t>
      </w:r>
    </w:p>
    <w:p>
      <w:pPr>
        <w:pStyle w:val="Heading2"/>
        <w:keepNext/>
      </w:pPr>
      <w:r>
        <w:t>Slide 3: Trauma-Informed Care and Stabilization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Safety, transparency, choice, collaboration, pacing, and stabilization precede deeper processing.</w:t>
            </w:r>
          </w:p>
        </w:tc>
        <w:tc>
          <w:tcPr>
            <w:tcW w:type="dxa" w:w="5112"/>
            <w:shd w:fill="DCEFF6"/>
            <w:tcMar>
              <w:top w:w="90" w:type="dxa"/>
              <w:start w:w="110" w:type="dxa"/>
              <w:bottom w:w="90" w:type="dxa"/>
              <w:end w:w="110" w:type="dxa"/>
            </w:tcMar>
            <w:vAlign w:val="top"/>
          </w:tcPr>
          <w:p>
            <w:pPr>
              <w:keepNext/>
              <w:keepLines/>
            </w:pPr>
            <w:r>
              <w:rPr>
                <w:color w:val="243B53"/>
                <w:sz w:val="17"/>
              </w:rPr>
              <w:t>Reduce Re-Traumatization and Restore Choice</w:t>
            </w:r>
          </w:p>
        </w:tc>
      </w:tr>
    </w:tbl>
    <w:p>
      <w:pPr>
        <w:pStyle w:val="CTALabel"/>
        <w:keepNext/>
      </w:pPr>
      <w:r>
        <w:t>Narration</w:t>
      </w:r>
    </w:p>
    <w:p>
      <w:pPr>
        <w:pStyle w:val="CTANarration"/>
        <w:keepLines/>
        <w:ind w:left="259" w:right="173"/>
      </w:pPr>
      <w:r>
        <w:t>Trauma-informed care is an approach rather than one branded method. It recognizes trauma effects, supports safety and transparency, restores meaningful choice, collaborates on pacing, and reduces avoidable re-traumatization. A trauma disclosure does not automatically mean the next step is detailed processing. Assess current danger, regulation, sleep, substance use, support, dissociation, medical needs, housing, and the client’s readiness and goals. Orienting, grounding, crisis planning, resource support, and a predictable treatment frame may come first. Deeper exposure or trauma processing requires adequate stabilization, informed participation, competence, and monitoring.</w:t>
      </w:r>
    </w:p>
    <w:p>
      <w:pPr>
        <w:pStyle w:val="Heading2"/>
        <w:keepNext/>
      </w:pPr>
      <w:r>
        <w:t>Slide 4: Match the Mechanism to the Method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Maintaining mechanisms connect to cognitive, behavioral, DBT-informed, MI, psychoeducation, grief, and harm-reduction functions.</w:t>
            </w:r>
          </w:p>
        </w:tc>
        <w:tc>
          <w:tcPr>
            <w:tcW w:type="dxa" w:w="5112"/>
            <w:shd w:fill="DCEFF6"/>
            <w:tcMar>
              <w:top w:w="90" w:type="dxa"/>
              <w:start w:w="110" w:type="dxa"/>
              <w:bottom w:w="90" w:type="dxa"/>
              <w:end w:w="110" w:type="dxa"/>
            </w:tcMar>
            <w:vAlign w:val="top"/>
          </w:tcPr>
          <w:p>
            <w:pPr>
              <w:keepNext/>
              <w:keepLines/>
            </w:pPr>
            <w:r>
              <w:rPr>
                <w:color w:val="243B53"/>
                <w:sz w:val="17"/>
              </w:rPr>
              <w:t>Choose the Method Because of What It Changes</w:t>
            </w:r>
          </w:p>
        </w:tc>
      </w:tr>
    </w:tbl>
    <w:p>
      <w:pPr>
        <w:pStyle w:val="CTALabel"/>
        <w:keepNext/>
      </w:pPr>
      <w:r>
        <w:t>Narration</w:t>
      </w:r>
    </w:p>
    <w:p>
      <w:pPr>
        <w:pStyle w:val="CTANarration"/>
        <w:keepLines/>
        <w:ind w:left="259" w:right="173"/>
      </w:pPr>
      <w:r>
        <w:t>Cognitive methods examine appraisals and beliefs. Behavioral methods use activation, exposure, reinforcement, rehearsal, and skill practice. DBT-informed strategies address mindfulness, distress tolerance, emotion regulation, interpersonal effectiveness, and behavioral chains. Motivational interviewing fits ambivalence or externally pressured change. Psychoeducation improves understandable knowledge, and teach-back checks comprehension. Grief support may focus on meaning, connection, functioning, and adaptation without pathologizing expected mourning. Harm reduction seeks realistic risk reduction and engagement when abstinence is not the client’s current goal. The method should match the mechanism and stage rather than the social worker’s preference.</w:t>
      </w:r>
    </w:p>
    <w:p>
      <w:pPr>
        <w:pStyle w:val="Heading2"/>
        <w:keepNext/>
      </w:pPr>
      <w:r>
        <w:t>Slide 5: Adapt for Person-in-Environment and Access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Development, culture, language, disability, strengths, resources, and structural barriers alter intervention delivery.</w:t>
            </w:r>
          </w:p>
        </w:tc>
        <w:tc>
          <w:tcPr>
            <w:tcW w:type="dxa" w:w="5112"/>
            <w:shd w:fill="DCEFF6"/>
            <w:tcMar>
              <w:top w:w="90" w:type="dxa"/>
              <w:start w:w="110" w:type="dxa"/>
              <w:bottom w:w="90" w:type="dxa"/>
              <w:end w:w="110" w:type="dxa"/>
            </w:tcMar>
            <w:vAlign w:val="top"/>
          </w:tcPr>
          <w:p>
            <w:pPr>
              <w:keepNext/>
              <w:keepLines/>
            </w:pPr>
            <w:r>
              <w:rPr>
                <w:color w:val="243B53"/>
                <w:sz w:val="17"/>
              </w:rPr>
              <w:t>Adapt the Delivery and Measure the Result</w:t>
            </w:r>
          </w:p>
        </w:tc>
      </w:tr>
    </w:tbl>
    <w:p>
      <w:pPr>
        <w:pStyle w:val="CTALabel"/>
        <w:keepNext/>
      </w:pPr>
      <w:r>
        <w:t>Narration</w:t>
      </w:r>
    </w:p>
    <w:p>
      <w:pPr>
        <w:pStyle w:val="CTANarration"/>
        <w:keepLines/>
        <w:ind w:left="259" w:right="173"/>
      </w:pPr>
      <w:r>
        <w:t>Intervention fit includes how the service is delivered. Adjust language, pace, materials, homework, setting, technology, participant involvement, and coordination based on development, culture, disability, neurodiversity, health literacy, caregiving, work, housing, transportation, cost, and safety. Use interpreters and accessibility supports appropriately. Integrate strengths, community resources, advocacy, and health care when environmental barriers maintain symptoms or prevent participation. Do not label an inaccessible intervention ineffective until implementation and access have been assessed. Then define how the adaptation will be evaluated through symptoms, functioning, participation, client experience, or resource outcomes.</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technique before target, trauma processing during dysregulation, ambivalence-as-defiance, and evidence-without-fit.</w:t>
            </w:r>
          </w:p>
        </w:tc>
        <w:tc>
          <w:tcPr>
            <w:tcW w:type="dxa" w:w="5112"/>
            <w:shd w:fill="DCEFF6"/>
            <w:tcMar>
              <w:top w:w="90" w:type="dxa"/>
              <w:start w:w="110" w:type="dxa"/>
              <w:bottom w:w="90" w:type="dxa"/>
              <w:end w:w="110" w:type="dxa"/>
            </w:tcMar>
            <w:vAlign w:val="top"/>
          </w:tcPr>
          <w:p>
            <w:pPr>
              <w:keepNext/>
              <w:keepLines/>
            </w:pPr>
            <w:r>
              <w:rPr>
                <w:color w:val="243B53"/>
                <w:sz w:val="17"/>
              </w:rPr>
              <w:t>Mechanism Before Technique Name</w:t>
            </w:r>
          </w:p>
        </w:tc>
      </w:tr>
    </w:tbl>
    <w:p>
      <w:pPr>
        <w:pStyle w:val="CTALabel"/>
        <w:keepNext/>
      </w:pPr>
      <w:r>
        <w:t>Narration</w:t>
      </w:r>
    </w:p>
    <w:p>
      <w:pPr>
        <w:pStyle w:val="CTANarration"/>
        <w:keepLines/>
        <w:ind w:left="259" w:right="173"/>
      </w:pPr>
      <w:r>
        <w:t>Common traps include choosing a named method before identifying the target; processing trauma while the client is acutely dysregulated; treating ambivalence as defiance; assuming “evidence-based” means automatically appropriate; giving information without checking understanding; ignoring functional and environmental needs during grief or depression; attempting specialized treatment outside competence; repeating an intervention without reassessment; and blaming the client when access or implementation failed. Strong answers connect the method to the formulation, readiness, access, competence, and a measurable response.</w:t>
      </w:r>
    </w:p>
    <w:p>
      <w:pPr>
        <w:pStyle w:val="Heading2"/>
        <w:keepNext/>
      </w:pPr>
      <w:r>
        <w:t>Slide 7: Mini Scenario: Trauma Disclosure and Withdrawal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client becomes quiet after a trauma question; options show pressure, avoidance, and trauma-informed pacing.</w:t>
            </w:r>
          </w:p>
        </w:tc>
        <w:tc>
          <w:tcPr>
            <w:tcW w:type="dxa" w:w="5112"/>
            <w:shd w:fill="DCEFF6"/>
            <w:tcMar>
              <w:top w:w="90" w:type="dxa"/>
              <w:start w:w="110" w:type="dxa"/>
              <w:bottom w:w="90" w:type="dxa"/>
              <w:end w:w="110" w:type="dxa"/>
            </w:tcMar>
            <w:vAlign w:val="top"/>
          </w:tcPr>
          <w:p>
            <w:pPr>
              <w:keepNext/>
              <w:keepLines/>
            </w:pPr>
            <w:r>
              <w:rPr>
                <w:color w:val="243B53"/>
                <w:sz w:val="17"/>
              </w:rPr>
              <w:t>Acknowledge, Restore Choice, and Assess Readiness</w:t>
            </w:r>
          </w:p>
        </w:tc>
      </w:tr>
    </w:tbl>
    <w:p>
      <w:pPr>
        <w:pStyle w:val="CTALabel"/>
        <w:keepNext/>
      </w:pPr>
      <w:r>
        <w:t>Narration</w:t>
      </w:r>
    </w:p>
    <w:p>
      <w:pPr>
        <w:pStyle w:val="CTANarration"/>
        <w:keepLines/>
        <w:ind w:left="259" w:right="173"/>
      </w:pPr>
      <w:r>
        <w:t>A client becomes quiet and avoids eye contact when asked about childhood abuse. The next step is not to insist on completing the history or to change the subject permanently. A trauma-informed response acknowledges possible discomfort, explains the purpose of the question, reminds the client of choice, and offers options about whether and how to continue. The social worker assesses current safety, regulation, support, and the information actually needed for the immediate decision. This protects engagement and reduces avoidable re-traumatization while keeping assessment purposeful. Later work can proceed when the client is adequately stabilized and informed.</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FITS worksheet leads into the Workbook 8 question bank.</w:t>
            </w:r>
          </w:p>
        </w:tc>
        <w:tc>
          <w:tcPr>
            <w:tcW w:type="dxa" w:w="5112"/>
            <w:shd w:fill="DCEFF6"/>
            <w:tcMar>
              <w:top w:w="90" w:type="dxa"/>
              <w:start w:w="110" w:type="dxa"/>
              <w:bottom w:w="90" w:type="dxa"/>
              <w:end w:w="110" w:type="dxa"/>
            </w:tcMar>
            <w:vAlign w:val="top"/>
          </w:tcPr>
          <w:p>
            <w:pPr>
              <w:keepNext/>
              <w:keepLines/>
            </w:pPr>
            <w:r>
              <w:rPr>
                <w:color w:val="243B53"/>
                <w:sz w:val="17"/>
              </w:rPr>
              <w:t>Formulation • Urgency • Target • Suitability • Measure</w:t>
            </w:r>
          </w:p>
        </w:tc>
      </w:tr>
    </w:tbl>
    <w:p>
      <w:pPr>
        <w:pStyle w:val="CTALabel"/>
        <w:keepNext/>
      </w:pPr>
      <w:r>
        <w:t>Narration</w:t>
      </w:r>
    </w:p>
    <w:p>
      <w:pPr>
        <w:pStyle w:val="CTANarration"/>
        <w:keepLines/>
        <w:ind w:left="259" w:right="173"/>
      </w:pPr>
      <w:r>
        <w:t>For each Workbook 8 vignette, write the formulation, immediate priority, target mechanism, intervention function, suitability and access check, and response measure. In your error log, mark technique-before-target, premature trauma processing, ignored readiness, inaccessible delivery, competence limits, or failure to reassess. The aim is to explain why the intervention fits now and how you will know whether it should continue, change, or escalate.</w:t>
      </w:r>
    </w:p>
    <w:p>
      <w:pPr>
        <w:pStyle w:val="Heading1"/>
      </w:pPr>
      <w:r>
        <w:t>Audio-Only Adaptation Notes</w:t>
      </w:r>
    </w:p>
    <w:p>
      <w:pPr>
        <w:pStyle w:val="ListBullet"/>
        <w:spacing w:after="40"/>
        <w:ind w:left="360" w:hanging="216"/>
      </w:pPr>
      <w:r>
        <w:t>Spell out FITS once and repeat it near the close.</w:t>
      </w:r>
    </w:p>
    <w:p>
      <w:pPr>
        <w:pStyle w:val="ListBullet"/>
        <w:spacing w:after="40"/>
        <w:ind w:left="360" w:hanging="216"/>
      </w:pPr>
      <w:r>
        <w:t>Use “mechanism before technique name” as a verbal anchor.</w:t>
      </w:r>
    </w:p>
    <w:p>
      <w:pPr>
        <w:pStyle w:val="ListBullet"/>
        <w:spacing w:after="40"/>
        <w:ind w:left="360" w:hanging="216"/>
      </w:pPr>
      <w:r>
        <w:t>Avoid detailed trauma examples.</w:t>
      </w:r>
    </w:p>
    <w:p>
      <w:pPr>
        <w:pStyle w:val="ListBullet"/>
        <w:spacing w:after="40"/>
        <w:ind w:left="360" w:hanging="216"/>
      </w:pPr>
      <w:r>
        <w:t>End with formulation, urgency, target, suitability, and measure.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move candidates from recognizing techniques to selecting, adapting, and evaluating interventions responsibly.</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8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8 Companion: Clinical Interventions and Trauma-Informed Practice</dc:title>
  <dc:subject>CTA LCSW Workbook 8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