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9 Companion: Family, Couple, Group, and Parenting Interventions</w:t>
      </w:r>
    </w:p>
    <w:p>
      <w:pPr>
        <w:jc w:val="center"/>
      </w:pPr>
      <w:r>
        <w:rPr>
          <w:rFonts w:ascii="Aptos Display" w:hAnsi="Aptos Display"/>
          <w:b/>
          <w:color w:val="2AA7D6"/>
          <w:sz w:val="32"/>
        </w:rPr>
        <w:t>LCSW Workbook 9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deliberate client-system selection, family and caregiver participation, couple safety, group fit and process, parenting support, referral coordination, and continuity.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9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9: Family, Couple, Group, and Parenting Interventions.</w:t>
            </w:r>
          </w:p>
        </w:tc>
      </w:tr>
    </w:tbl>
    <w:p>
      <w:pPr>
        <w:spacing w:after="20"/>
      </w:pPr>
    </w:p>
    <w:p>
      <w:pPr>
        <w:pStyle w:val="Heading1"/>
      </w:pPr>
      <w:r>
        <w:t>Learning Outcomes</w:t>
      </w:r>
    </w:p>
    <w:p>
      <w:pPr>
        <w:pStyle w:val="ListBullet"/>
        <w:spacing w:after="40"/>
        <w:ind w:left="360" w:hanging="216"/>
      </w:pPr>
      <w:r>
        <w:t>Select the individual, family, couple, caregiver, group, team, or community level deliberately.</w:t>
      </w:r>
    </w:p>
    <w:p>
      <w:pPr>
        <w:pStyle w:val="ListBullet"/>
        <w:spacing w:after="40"/>
        <w:ind w:left="360" w:hanging="216"/>
      </w:pPr>
      <w:r>
        <w:t>Protect voluntariness, safety, and information boundaries when involving others.</w:t>
      </w:r>
    </w:p>
    <w:p>
      <w:pPr>
        <w:pStyle w:val="ListBullet"/>
        <w:spacing w:after="40"/>
        <w:ind w:left="360" w:hanging="216"/>
      </w:pPr>
      <w:r>
        <w:t>Apply group screening, stage, facilitation, and repair principles.</w:t>
      </w:r>
    </w:p>
    <w:p>
      <w:pPr>
        <w:pStyle w:val="ListBullet"/>
        <w:spacing w:after="40"/>
        <w:ind w:left="360" w:hanging="216"/>
      </w:pPr>
      <w:r>
        <w:t>Coordinate accessible referrals and services with assigned follow-up.</w:t>
      </w:r>
    </w:p>
    <w:p>
      <w:pPr>
        <w:pStyle w:val="Heading1"/>
      </w:pPr>
      <w:r>
        <w:t>Voice and Presentation Direction</w:t>
      </w:r>
    </w:p>
    <w:p>
      <w:pPr>
        <w:pStyle w:val="ListBullet"/>
        <w:spacing w:after="40"/>
        <w:ind w:left="360" w:hanging="216"/>
      </w:pPr>
      <w:r>
        <w:t>Do not assume family involvement is always helpful.</w:t>
      </w:r>
    </w:p>
    <w:p>
      <w:pPr>
        <w:pStyle w:val="ListBullet"/>
        <w:spacing w:after="40"/>
        <w:ind w:left="360" w:hanging="216"/>
      </w:pPr>
      <w:r>
        <w:t>Name coercion and unsafe disclosure when relevant.</w:t>
      </w:r>
    </w:p>
    <w:p>
      <w:pPr>
        <w:pStyle w:val="ListBullet"/>
        <w:spacing w:after="40"/>
        <w:ind w:left="360" w:hanging="216"/>
      </w:pPr>
      <w:r>
        <w:t>Keep basic needs and resources visible.</w:t>
      </w:r>
    </w:p>
    <w:p>
      <w:pPr>
        <w:pStyle w:val="ListBullet"/>
        <w:spacing w:after="40"/>
        <w:ind w:left="360" w:hanging="216"/>
      </w:pPr>
      <w:r>
        <w:t>Close with a client-system selection routine.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inclusive definitions of family and careful attention to consent, safety, power, confidentiality, culture, access, and role clarity.</w:t>
            </w:r>
          </w:p>
        </w:tc>
      </w:tr>
    </w:tbl>
    <w:p>
      <w:pPr>
        <w:spacing w:after="20"/>
      </w:pPr>
    </w:p>
    <w:p>
      <w:pPr>
        <w:pStyle w:val="Heading1"/>
      </w:pPr>
      <w:r>
        <w:t>Slide-by-Slide Script</w:t>
      </w:r>
    </w:p>
    <w:p>
      <w:pPr>
        <w:pStyle w:val="Heading2"/>
        <w:keepNext/>
      </w:pPr>
      <w:r>
        <w:t>Slide 1: Select the Client System Deliberately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Individual, family, couple, caregiver, group, team, network, and community levels appear as options.</w:t>
            </w:r>
          </w:p>
        </w:tc>
        <w:tc>
          <w:tcPr>
            <w:tcW w:type="dxa" w:w="5112"/>
            <w:shd w:fill="DCEFF6"/>
            <w:tcMar>
              <w:top w:w="90" w:type="dxa"/>
              <w:start w:w="110" w:type="dxa"/>
              <w:bottom w:w="90" w:type="dxa"/>
              <w:end w:w="110" w:type="dxa"/>
            </w:tcMar>
            <w:vAlign w:val="top"/>
          </w:tcPr>
          <w:p>
            <w:pPr>
              <w:keepNext/>
              <w:keepLines/>
            </w:pPr>
            <w:r>
              <w:rPr>
                <w:color w:val="243B53"/>
                <w:sz w:val="17"/>
              </w:rPr>
              <w:t>Choose the Smallest Effective Level That Fits the Goal</w:t>
            </w:r>
          </w:p>
        </w:tc>
      </w:tr>
    </w:tbl>
    <w:p>
      <w:pPr>
        <w:pStyle w:val="CTALabel"/>
        <w:keepNext/>
      </w:pPr>
      <w:r>
        <w:t>Narration</w:t>
      </w:r>
    </w:p>
    <w:p>
      <w:pPr>
        <w:pStyle w:val="CTANarration"/>
        <w:keepLines/>
        <w:ind w:left="259" w:right="173"/>
      </w:pPr>
      <w:r>
        <w:t>Many social work questions cannot be solved by choosing only an individual psychotherapy technique. The target may involve family roles, parenting, caregiving, couple interaction, group support, school or health teams, service networks, or community barriers. Select the client system based on the goal, safety, voluntariness, maintaining pattern, and the smallest effective level of intervention. More participants do not automatically produce a better plan. Clarify who the client is, who is participating, whose consent or authorization is needed, what information can be shared, and how power differences may affect disclosure or choice.</w:t>
      </w:r>
    </w:p>
    <w:p>
      <w:pPr>
        <w:pStyle w:val="Heading2"/>
        <w:keepNext/>
      </w:pPr>
      <w:r>
        <w:t>Slide 2: Family and Caregiver Participation Must Fit the Situation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Client choice, family definition, role, support, burden, safety, and basic needs form a family-participation map.</w:t>
            </w:r>
          </w:p>
        </w:tc>
        <w:tc>
          <w:tcPr>
            <w:tcW w:type="dxa" w:w="5112"/>
            <w:shd w:fill="DCEFF6"/>
            <w:tcMar>
              <w:top w:w="90" w:type="dxa"/>
              <w:start w:w="110" w:type="dxa"/>
              <w:bottom w:w="90" w:type="dxa"/>
              <w:end w:w="110" w:type="dxa"/>
            </w:tcMar>
            <w:vAlign w:val="top"/>
          </w:tcPr>
          <w:p>
            <w:pPr>
              <w:keepNext/>
              <w:keepLines/>
            </w:pPr>
            <w:r>
              <w:rPr>
                <w:color w:val="243B53"/>
                <w:sz w:val="17"/>
              </w:rPr>
              <w:t>Ask Who the Client Considers Family and What Involvement Would Help</w:t>
            </w:r>
          </w:p>
        </w:tc>
      </w:tr>
    </w:tbl>
    <w:p>
      <w:pPr>
        <w:pStyle w:val="CTALabel"/>
        <w:keepNext/>
      </w:pPr>
      <w:r>
        <w:t>Narration</w:t>
      </w:r>
    </w:p>
    <w:p>
      <w:pPr>
        <w:pStyle w:val="CTANarration"/>
        <w:keepLines/>
        <w:ind w:left="259" w:right="173"/>
      </w:pPr>
      <w:r>
        <w:t>Family or caregiver involvement can improve support, understanding, adherence, parenting, safety, and continuity, but it should not be assumed. Ask whom the client considers family and what role, if any, the client wants them to have. Assess caregiving burden, development, family hierarchy, culture, conflict, housing, food, health, transportation, and other practical conditions that shape interaction. Clarify confidentiality and individual-contact policies. Family conflict may be partly maintained by an environmental crisis, so communication training alone may be premature when housing, safety, or medical needs are urgent.</w:t>
      </w:r>
    </w:p>
    <w:p>
      <w:pPr>
        <w:pStyle w:val="Heading2"/>
        <w:keepNext/>
      </w:pPr>
      <w:r>
        <w:t>Slide 3: Couple and Family Safety Comes Before Conjoint Process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safety gate appears before joint disclosure, communication work, or mediation.</w:t>
            </w:r>
          </w:p>
        </w:tc>
        <w:tc>
          <w:tcPr>
            <w:tcW w:type="dxa" w:w="5112"/>
            <w:shd w:fill="DCEFF6"/>
            <w:tcMar>
              <w:top w:w="90" w:type="dxa"/>
              <w:start w:w="110" w:type="dxa"/>
              <w:bottom w:w="90" w:type="dxa"/>
              <w:end w:w="110" w:type="dxa"/>
            </w:tcMar>
            <w:vAlign w:val="top"/>
          </w:tcPr>
          <w:p>
            <w:pPr>
              <w:keepNext/>
              <w:keepLines/>
            </w:pPr>
            <w:r>
              <w:rPr>
                <w:color w:val="243B53"/>
                <w:sz w:val="17"/>
              </w:rPr>
              <w:t>Assess Coercion, Retaliation, and Voluntariness First</w:t>
            </w:r>
          </w:p>
        </w:tc>
      </w:tr>
    </w:tbl>
    <w:p>
      <w:pPr>
        <w:pStyle w:val="CTALabel"/>
        <w:keepNext/>
      </w:pPr>
      <w:r>
        <w:t>Narration</w:t>
      </w:r>
    </w:p>
    <w:p>
      <w:pPr>
        <w:pStyle w:val="CTANarration"/>
        <w:keepLines/>
        <w:ind w:left="259" w:right="173"/>
      </w:pPr>
      <w:r>
        <w:t>Conjoint work is not automatically appropriate because the problem occurs in a relationship. Assess threats, coercive control, violence, stalking, intimidation, unsafe disclosure, severe instability, substance risk, and whether each person can participate voluntarily. Do not encourage immediate honesty in front of a partner when disclosure may increase danger. Clarify treatment format, confidentiality expectations, and the purpose of any individual contacts. A relational or family lens should not flatten power differences or assign equal responsibility for abuse. Safety and informed participation determine whether joint work, separate services, or another level of care is appropriate.</w:t>
      </w:r>
    </w:p>
    <w:p>
      <w:pPr>
        <w:pStyle w:val="Heading2"/>
        <w:keepNext/>
      </w:pPr>
      <w:r>
        <w:t>Slide 4: Group Screening, Stage, and Facilitation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Group purpose, readiness, composition, norms, stage, cohesion, conflict, and repair appear in sequence.</w:t>
            </w:r>
          </w:p>
        </w:tc>
        <w:tc>
          <w:tcPr>
            <w:tcW w:type="dxa" w:w="5112"/>
            <w:shd w:fill="DCEFF6"/>
            <w:tcMar>
              <w:top w:w="90" w:type="dxa"/>
              <w:start w:w="110" w:type="dxa"/>
              <w:bottom w:w="90" w:type="dxa"/>
              <w:end w:w="110" w:type="dxa"/>
            </w:tcMar>
            <w:vAlign w:val="top"/>
          </w:tcPr>
          <w:p>
            <w:pPr>
              <w:keepNext/>
              <w:keepLines/>
            </w:pPr>
            <w:r>
              <w:rPr>
                <w:color w:val="243B53"/>
                <w:sz w:val="17"/>
              </w:rPr>
              <w:t>Screen for Fit Before Using the Group</w:t>
            </w:r>
          </w:p>
        </w:tc>
      </w:tr>
    </w:tbl>
    <w:p>
      <w:pPr>
        <w:pStyle w:val="CTALabel"/>
        <w:keepNext/>
      </w:pPr>
      <w:r>
        <w:t>Narration</w:t>
      </w:r>
    </w:p>
    <w:p>
      <w:pPr>
        <w:pStyle w:val="CTANarration"/>
        <w:keepLines/>
        <w:ind w:left="259" w:right="173"/>
      </w:pPr>
      <w:r>
        <w:t>Group treatment requires a clear purpose and screening for readiness, goals, safety, cognitive and emotional capacity, communication needs, culture, language, accessibility, and compatibility with group structure. Explain confidentiality limits, expectations, attendance, and voluntary participation. Early groups need orientation and predictable norms. Middle-stage groups work on cohesion, feedback, conflict, and task. Later stages consolidate learning, address ending, and connect gains to life outside the group. The facilitator monitors monopolizing, withdrawal, scapegoating, exclusion, ruptures, and accessibility. A group is not simply an efficient substitute for individual care.</w:t>
      </w:r>
    </w:p>
    <w:p>
      <w:pPr>
        <w:pStyle w:val="Heading2"/>
        <w:keepNext/>
      </w:pPr>
      <w:r>
        <w:t>Slide 5: Parenting, Referral, Teams, and Community Resources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Parent coaching, school teams, referrals, service networks, and community advocacy connect to client goals.</w:t>
            </w:r>
          </w:p>
        </w:tc>
        <w:tc>
          <w:tcPr>
            <w:tcW w:type="dxa" w:w="5112"/>
            <w:shd w:fill="DCEFF6"/>
            <w:tcMar>
              <w:top w:w="90" w:type="dxa"/>
              <w:start w:w="110" w:type="dxa"/>
              <w:bottom w:w="90" w:type="dxa"/>
              <w:end w:w="110" w:type="dxa"/>
            </w:tcMar>
            <w:vAlign w:val="top"/>
          </w:tcPr>
          <w:p>
            <w:pPr>
              <w:keepNext/>
              <w:keepLines/>
            </w:pPr>
            <w:r>
              <w:rPr>
                <w:color w:val="243B53"/>
                <w:sz w:val="17"/>
              </w:rPr>
              <w:t>Coordinate the System Without Losing the Client</w:t>
            </w:r>
          </w:p>
        </w:tc>
      </w:tr>
    </w:tbl>
    <w:p>
      <w:pPr>
        <w:pStyle w:val="CTALabel"/>
        <w:keepNext/>
      </w:pPr>
      <w:r>
        <w:t>Narration</w:t>
      </w:r>
    </w:p>
    <w:p>
      <w:pPr>
        <w:pStyle w:val="CTANarration"/>
        <w:keepLines/>
        <w:ind w:left="259" w:right="173"/>
      </w:pPr>
      <w:r>
        <w:t>Parenting and caregiver interventions may include developmentally appropriate expectations, routines, reinforcement, modeling, rehearsal, emotion coaching, and support for caregiver stress. Referrals should match eligibility, availability, cost, transportation, language, disability, technology, safety, and client preference. Interdisciplinary teams require role clarity, consent, relevant information, independent judgment, and assigned follow-up. In schools, health care, permanency, end-of-life, and community settings, the social worker keeps the client or client system involved and ensures that responsibility does not disappear between professionals or agencies.</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automatic family involvement, group without screening, communication before safety, and referral without access.</w:t>
            </w:r>
          </w:p>
        </w:tc>
        <w:tc>
          <w:tcPr>
            <w:tcW w:type="dxa" w:w="5112"/>
            <w:shd w:fill="DCEFF6"/>
            <w:tcMar>
              <w:top w:w="90" w:type="dxa"/>
              <w:start w:w="110" w:type="dxa"/>
              <w:bottom w:w="90" w:type="dxa"/>
              <w:end w:w="110" w:type="dxa"/>
            </w:tcMar>
            <w:vAlign w:val="top"/>
          </w:tcPr>
          <w:p>
            <w:pPr>
              <w:keepNext/>
              <w:keepLines/>
            </w:pPr>
            <w:r>
              <w:rPr>
                <w:color w:val="243B53"/>
                <w:sz w:val="17"/>
              </w:rPr>
              <w:t>More Participants or Services Is Not Automatically Better</w:t>
            </w:r>
          </w:p>
        </w:tc>
      </w:tr>
    </w:tbl>
    <w:p>
      <w:pPr>
        <w:pStyle w:val="CTALabel"/>
        <w:keepNext/>
      </w:pPr>
      <w:r>
        <w:t>Narration</w:t>
      </w:r>
    </w:p>
    <w:p>
      <w:pPr>
        <w:pStyle w:val="CTANarration"/>
        <w:keepLines/>
        <w:ind w:left="259" w:right="173"/>
      </w:pPr>
      <w:r>
        <w:t>Common traps include involving family without client choice or authority, beginning conjoint communication work before assessing violence or coercion, using a group because it is available without screening for fit, treating a silent member as resistant, giving parenting advice without assessing development or basic needs, sharing team information beyond what is relevant, assuming a referral is complete when a number is provided, and labeling missed services as poor motivation before checking access. Strong answers select the client system deliberately and preserve safety, participation, role clarity, and continuity.</w:t>
      </w:r>
    </w:p>
    <w:p>
      <w:pPr>
        <w:pStyle w:val="Heading2"/>
        <w:keepNext/>
      </w:pPr>
      <w:r>
        <w:t>Slide 7: Mini Scenario: Family Conflict During Housing Instability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An eviction notice, escalating arguments, parenting stress, and housing resources appear in one plan.</w:t>
            </w:r>
          </w:p>
        </w:tc>
        <w:tc>
          <w:tcPr>
            <w:tcW w:type="dxa" w:w="5112"/>
            <w:shd w:fill="DCEFF6"/>
            <w:tcMar>
              <w:top w:w="90" w:type="dxa"/>
              <w:start w:w="110" w:type="dxa"/>
              <w:bottom w:w="90" w:type="dxa"/>
              <w:end w:w="110" w:type="dxa"/>
            </w:tcMar>
            <w:vAlign w:val="top"/>
          </w:tcPr>
          <w:p>
            <w:pPr>
              <w:keepNext/>
              <w:keepLines/>
            </w:pPr>
            <w:r>
              <w:rPr>
                <w:color w:val="243B53"/>
                <w:sz w:val="17"/>
              </w:rPr>
              <w:t>Address the Environmental Crisis Before Communication Training Alone</w:t>
            </w:r>
          </w:p>
        </w:tc>
      </w:tr>
    </w:tbl>
    <w:p>
      <w:pPr>
        <w:pStyle w:val="CTALabel"/>
        <w:keepNext/>
      </w:pPr>
      <w:r>
        <w:t>Narration</w:t>
      </w:r>
    </w:p>
    <w:p>
      <w:pPr>
        <w:pStyle w:val="CTANarration"/>
        <w:keepLines/>
        <w:ind w:left="259" w:right="173"/>
      </w:pPr>
      <w:r>
        <w:t>A family reports escalating arguments after receiving an eviction notice. Beginning communication training alone misses the immediate environmental crisis. The social worker first clarifies safety, the timing of housing loss, children’s needs, transportation, eligibility, and the family’s priorities. The worker mobilizes accessible resources and assigns follow-up. Communication, parenting, and coping interventions can then be integrated into the coordinated plan. The strong answer does not reduce the problem to family dysfunction or treat housing as separate from clinical work. It selects the family and service-network levels because both are necessary.</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client-system worksheet leads into Workbook 9 practice.</w:t>
            </w:r>
          </w:p>
        </w:tc>
        <w:tc>
          <w:tcPr>
            <w:tcW w:type="dxa" w:w="5112"/>
            <w:shd w:fill="DCEFF6"/>
            <w:tcMar>
              <w:top w:w="90" w:type="dxa"/>
              <w:start w:w="110" w:type="dxa"/>
              <w:bottom w:w="90" w:type="dxa"/>
              <w:end w:w="110" w:type="dxa"/>
            </w:tcMar>
            <w:vAlign w:val="top"/>
          </w:tcPr>
          <w:p>
            <w:pPr>
              <w:keepNext/>
              <w:keepLines/>
            </w:pPr>
            <w:r>
              <w:rPr>
                <w:color w:val="243B53"/>
                <w:sz w:val="17"/>
              </w:rPr>
              <w:t>Goal • System Level • Safety • Participation • Access • Role • Follow-Up</w:t>
            </w:r>
          </w:p>
        </w:tc>
      </w:tr>
    </w:tbl>
    <w:p>
      <w:pPr>
        <w:pStyle w:val="CTALabel"/>
        <w:keepNext/>
      </w:pPr>
      <w:r>
        <w:t>Narration</w:t>
      </w:r>
    </w:p>
    <w:p>
      <w:pPr>
        <w:pStyle w:val="CTANarration"/>
        <w:keepLines/>
        <w:ind w:left="259" w:right="173"/>
      </w:pPr>
      <w:r>
        <w:t>For each Workbook 9 vignette, identify the goal, the smallest effective client-system level, safety and voluntariness, who should participate, what access barriers exist, what information may be shared, and who owns follow-up. In your error log, mark automatic family involvement, missed power differences, group-fit errors, parenting without assessment, team-role confusion, or referral without continuity. The best answer coordinates people and systems while preserving the client’s voice.</w:t>
      </w:r>
    </w:p>
    <w:p>
      <w:pPr>
        <w:pStyle w:val="Heading1"/>
      </w:pPr>
      <w:r>
        <w:t>Audio-Only Adaptation Notes</w:t>
      </w:r>
    </w:p>
    <w:p>
      <w:pPr>
        <w:pStyle w:val="ListBullet"/>
        <w:spacing w:after="40"/>
        <w:ind w:left="360" w:hanging="216"/>
      </w:pPr>
      <w:r>
        <w:t>Use “smallest effective level” as a verbal anchor.</w:t>
      </w:r>
    </w:p>
    <w:p>
      <w:pPr>
        <w:pStyle w:val="ListBullet"/>
        <w:spacing w:after="40"/>
        <w:ind w:left="360" w:hanging="216"/>
      </w:pPr>
      <w:r>
        <w:t>Pause after the couple-safety gate.</w:t>
      </w:r>
    </w:p>
    <w:p>
      <w:pPr>
        <w:pStyle w:val="ListBullet"/>
        <w:spacing w:after="40"/>
        <w:ind w:left="360" w:hanging="216"/>
      </w:pPr>
      <w:r>
        <w:t>Describe group stages in plain language.</w:t>
      </w:r>
    </w:p>
    <w:p>
      <w:pPr>
        <w:pStyle w:val="ListBullet"/>
        <w:spacing w:after="40"/>
        <w:ind w:left="360" w:hanging="216"/>
      </w:pPr>
      <w:r>
        <w:t>End with goal, level, safety, participation, access, and follow-up.</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help candidates select and coordinate family, couple, group, caregiver, team, and community interventions without sacrificing safety or client participation.</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9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9 Companion: Family, Couple, Group, and Parenting Interventions</dc:title>
  <dc:subject>CTA LCSW Workbook 9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