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10 Companion: Case Management, Advocacy, Resources, and Collaboration</w:t>
      </w:r>
    </w:p>
    <w:p>
      <w:pPr>
        <w:jc w:val="center"/>
      </w:pPr>
      <w:r>
        <w:rPr>
          <w:rFonts w:ascii="Aptos Display" w:hAnsi="Aptos Display"/>
          <w:b/>
          <w:color w:val="2AA7D6"/>
          <w:sz w:val="32"/>
        </w:rPr>
        <w:t>LCSW Workbook 10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accountable coordination across clinical, medical, educational, legal, housing, benefits, disability, family, and community systems while preserving choice, privacy, access, and continuity.</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LCSW Workbook 10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 10: Case Management, Advocacy, Resources, and Collaboration, including the BRIDGE coordination sequence.</w:t>
            </w:r>
          </w:p>
        </w:tc>
      </w:tr>
    </w:tbl>
    <w:p>
      <w:pPr>
        <w:spacing w:after="20"/>
      </w:pPr>
    </w:p>
    <w:p>
      <w:pPr>
        <w:pStyle w:val="Heading1"/>
      </w:pPr>
      <w:r>
        <w:t>Learning Outcomes</w:t>
      </w:r>
    </w:p>
    <w:p>
      <w:pPr>
        <w:pStyle w:val="ListBullet"/>
        <w:spacing w:after="40"/>
        <w:ind w:left="360" w:hanging="216"/>
      </w:pPr>
      <w:r>
        <w:t>Use BRIDGE to turn referrals into accountable coordination.</w:t>
      </w:r>
    </w:p>
    <w:p>
      <w:pPr>
        <w:pStyle w:val="ListBullet"/>
        <w:spacing w:after="40"/>
        <w:ind w:left="360" w:hanging="216"/>
      </w:pPr>
      <w:r>
        <w:t>Prioritize needs and map systems, barriers, authority, and responsibility.</w:t>
      </w:r>
    </w:p>
    <w:p>
      <w:pPr>
        <w:pStyle w:val="ListBullet"/>
        <w:spacing w:after="40"/>
        <w:ind w:left="360" w:hanging="216"/>
      </w:pPr>
      <w:r>
        <w:t>Match resources to eligibility, accessibility, acceptability, logistics, and preference.</w:t>
      </w:r>
    </w:p>
    <w:p>
      <w:pPr>
        <w:pStyle w:val="ListBullet"/>
        <w:spacing w:after="40"/>
        <w:ind w:left="360" w:hanging="216"/>
      </w:pPr>
      <w:r>
        <w:t>Select advocacy and collaboration actions at the correct level.</w:t>
      </w:r>
    </w:p>
    <w:p>
      <w:pPr>
        <w:pStyle w:val="Heading1"/>
      </w:pPr>
      <w:r>
        <w:t>Voice and Presentation Direction</w:t>
      </w:r>
    </w:p>
    <w:p>
      <w:pPr>
        <w:pStyle w:val="ListBullet"/>
        <w:spacing w:after="40"/>
        <w:ind w:left="360" w:hanging="216"/>
      </w:pPr>
      <w:r>
        <w:t>Do not equate a referral list with completed case management.</w:t>
      </w:r>
    </w:p>
    <w:p>
      <w:pPr>
        <w:pStyle w:val="ListBullet"/>
        <w:spacing w:after="40"/>
        <w:ind w:left="360" w:hanging="216"/>
      </w:pPr>
      <w:r>
        <w:t>Keep client participation and consent visible.</w:t>
      </w:r>
    </w:p>
    <w:p>
      <w:pPr>
        <w:pStyle w:val="ListBullet"/>
        <w:spacing w:after="40"/>
        <w:ind w:left="360" w:hanging="216"/>
      </w:pPr>
      <w:r>
        <w:t>Name who owns the next step.</w:t>
      </w:r>
    </w:p>
    <w:p>
      <w:pPr>
        <w:pStyle w:val="ListBullet"/>
        <w:spacing w:after="40"/>
        <w:ind w:left="360" w:hanging="216"/>
      </w:pPr>
      <w:r>
        <w:t>Close with BRIDGE and continuity.</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practical systems language. Emphasize assigned responsibility, warm handoffs, least intrusive advocacy, minimum necessary disclosure, and follow-up.</w:t>
            </w:r>
          </w:p>
        </w:tc>
      </w:tr>
    </w:tbl>
    <w:p>
      <w:pPr>
        <w:spacing w:after="20"/>
      </w:pPr>
    </w:p>
    <w:p>
      <w:pPr>
        <w:pStyle w:val="Heading1"/>
      </w:pPr>
      <w:r>
        <w:t>Slide-by-Slide Script</w:t>
      </w:r>
    </w:p>
    <w:p>
      <w:pPr>
        <w:pStyle w:val="Heading2"/>
        <w:keepNext/>
      </w:pPr>
      <w:r>
        <w:t>Slide 1: Coordination Is More Than Giving a Referral</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45-55 seconds</w:t>
            </w:r>
          </w:p>
        </w:tc>
        <w:tc>
          <w:tcPr>
            <w:tcW w:type="dxa" w:w="3528"/>
            <w:shd w:fill="F3F8FA"/>
            <w:tcMar>
              <w:top w:w="90" w:type="dxa"/>
              <w:start w:w="110" w:type="dxa"/>
              <w:bottom w:w="90" w:type="dxa"/>
              <w:end w:w="110" w:type="dxa"/>
            </w:tcMar>
            <w:vAlign w:val="top"/>
          </w:tcPr>
          <w:p>
            <w:pPr>
              <w:keepNext/>
              <w:keepLines/>
            </w:pPr>
            <w:r>
              <w:rPr>
                <w:color w:val="243B53"/>
                <w:sz w:val="17"/>
              </w:rPr>
              <w:t>Need, client goal, system map, access, handoff, responsibility, and outcome form a bridge.</w:t>
            </w:r>
          </w:p>
        </w:tc>
        <w:tc>
          <w:tcPr>
            <w:tcW w:type="dxa" w:w="5112"/>
            <w:shd w:fill="DCEFF6"/>
            <w:tcMar>
              <w:top w:w="90" w:type="dxa"/>
              <w:start w:w="110" w:type="dxa"/>
              <w:bottom w:w="90" w:type="dxa"/>
              <w:end w:w="110" w:type="dxa"/>
            </w:tcMar>
            <w:vAlign w:val="top"/>
          </w:tcPr>
          <w:p>
            <w:pPr>
              <w:keepNext/>
              <w:keepLines/>
            </w:pPr>
            <w:r>
              <w:rPr>
                <w:color w:val="243B53"/>
                <w:sz w:val="17"/>
              </w:rPr>
              <w:t>A Referral Is Complete Only When Access and Responsibility Are Clear</w:t>
            </w:r>
          </w:p>
        </w:tc>
      </w:tr>
    </w:tbl>
    <w:p>
      <w:pPr>
        <w:pStyle w:val="CTALabel"/>
        <w:keepNext/>
      </w:pPr>
      <w:r>
        <w:t>Narration</w:t>
      </w:r>
    </w:p>
    <w:p>
      <w:pPr>
        <w:pStyle w:val="CTANarration"/>
        <w:keepLines/>
        <w:ind w:left="259" w:right="173"/>
      </w:pPr>
      <w:r>
        <w:t>ASWB-style questions may offer several helpful agencies or professionals. The strongest answer is usually the next coordinated step that matches urgency, client choice, access, authority, and role. Case management links assessment, planning, counseling, resource mobilization, advocacy, monitoring, and continuity. It is clinical when housing, health, caregiving, poverty, discrimination, or organizational barriers maintain distress or prevent treatment. Providing a phone number does not establish eligibility, accessibility, entry, or benefit. The social worker must clarify who is responsible for the next step and how the client will be supported if the service does not work.</w:t>
      </w:r>
    </w:p>
    <w:p>
      <w:pPr>
        <w:pStyle w:val="Heading2"/>
        <w:keepNext/>
      </w:pPr>
      <w:r>
        <w:t>Slide 2: Use BRIDGE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80-90 seconds</w:t>
            </w:r>
          </w:p>
        </w:tc>
        <w:tc>
          <w:tcPr>
            <w:tcW w:type="dxa" w:w="3528"/>
            <w:shd w:fill="F3F8FA"/>
            <w:tcMar>
              <w:top w:w="90" w:type="dxa"/>
              <w:start w:w="110" w:type="dxa"/>
              <w:bottom w:w="90" w:type="dxa"/>
              <w:end w:w="110" w:type="dxa"/>
            </w:tcMar>
            <w:vAlign w:val="top"/>
          </w:tcPr>
          <w:p>
            <w:pPr>
              <w:keepNext/>
              <w:keepLines/>
            </w:pPr>
            <w:r>
              <w:rPr>
                <w:color w:val="243B53"/>
                <w:sz w:val="17"/>
              </w:rPr>
              <w:t>BRIDGE steps move from priority to participation, systems, roles, handoff, and evaluation.</w:t>
            </w:r>
          </w:p>
        </w:tc>
        <w:tc>
          <w:tcPr>
            <w:tcW w:type="dxa" w:w="5112"/>
            <w:shd w:fill="DCEFF6"/>
            <w:tcMar>
              <w:top w:w="90" w:type="dxa"/>
              <w:start w:w="110" w:type="dxa"/>
              <w:bottom w:w="90" w:type="dxa"/>
              <w:end w:w="110" w:type="dxa"/>
            </w:tcMar>
            <w:vAlign w:val="top"/>
          </w:tcPr>
          <w:p>
            <w:pPr>
              <w:keepNext/>
              <w:keepLines/>
            </w:pPr>
            <w:r>
              <w:rPr>
                <w:color w:val="243B53"/>
                <w:sz w:val="17"/>
              </w:rPr>
              <w:t>Begin • Respect • Identify • Define • Generate • Evaluate</w:t>
            </w:r>
          </w:p>
        </w:tc>
      </w:tr>
    </w:tbl>
    <w:p>
      <w:pPr>
        <w:pStyle w:val="CTALabel"/>
        <w:keepNext/>
      </w:pPr>
      <w:r>
        <w:t>Narration</w:t>
      </w:r>
    </w:p>
    <w:p>
      <w:pPr>
        <w:pStyle w:val="CTANarration"/>
        <w:keepLines/>
        <w:ind w:left="259" w:right="173"/>
      </w:pPr>
      <w:r>
        <w:t>B means begin with the priority: safety, medical, housing, food, legal, caregiving, or functional urgency. R means respect participation by clarifying what the client wants, understands, consents to, and prefers. I means identify systems and barriers, including people, agencies, benefits, policies, eligibility, and access. D means define roles and disclosure: who has authority, who is responsible, and what information may be shared. G means generate an accessible handoff that addresses contact, language, disability, cost, transportation, scheduling, and wait time. E means evaluate continuity: did access occur, did the service help, and what must be revised?</w:t>
      </w:r>
    </w:p>
    <w:p>
      <w:pPr>
        <w:pStyle w:val="Heading2"/>
        <w:keepNext/>
      </w:pPr>
      <w:r>
        <w:t>Slide 3: Prioritize and Map the System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service map shows client, natural supports, providers, agencies, benefits, policies, and gaps.</w:t>
            </w:r>
          </w:p>
        </w:tc>
        <w:tc>
          <w:tcPr>
            <w:tcW w:type="dxa" w:w="5112"/>
            <w:shd w:fill="DCEFF6"/>
            <w:tcMar>
              <w:top w:w="90" w:type="dxa"/>
              <w:start w:w="110" w:type="dxa"/>
              <w:bottom w:w="90" w:type="dxa"/>
              <w:end w:w="110" w:type="dxa"/>
            </w:tcMar>
            <w:vAlign w:val="top"/>
          </w:tcPr>
          <w:p>
            <w:pPr>
              <w:keepNext/>
              <w:keepLines/>
            </w:pPr>
            <w:r>
              <w:rPr>
                <w:color w:val="243B53"/>
                <w:sz w:val="17"/>
              </w:rPr>
              <w:t>Who Is Involved, What Is the Barrier, and Who Owns the Next Step?</w:t>
            </w:r>
          </w:p>
        </w:tc>
      </w:tr>
    </w:tbl>
    <w:p>
      <w:pPr>
        <w:pStyle w:val="CTALabel"/>
        <w:keepNext/>
      </w:pPr>
      <w:r>
        <w:t>Narration</w:t>
      </w:r>
    </w:p>
    <w:p>
      <w:pPr>
        <w:pStyle w:val="CTANarration"/>
        <w:keepLines/>
        <w:ind w:left="259" w:right="173"/>
      </w:pPr>
      <w:r>
        <w:t>Prioritize immediate safety and medical needs, basic survival, time-sensitive benefits or rights, and conditions that block all other care. Then map natural supports, family or caregivers, health and behavioral-health providers, schools, employers, benefit systems, housing, legal resources, community organizations, and informal supports. Look for duplication, conflicting plans, inaccessible requirements, missing services, and unclear responsibility. The map should remain understandable to the client. A common systems failure occurs when every professional assumes someone else will act. Strong answers assign the next step and a review date.</w:t>
      </w:r>
    </w:p>
    <w:p>
      <w:pPr>
        <w:pStyle w:val="Heading2"/>
        <w:keepNext/>
      </w:pPr>
      <w:r>
        <w:t>Slide 4: Resource Matching and Warm Handoffs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Eligibility, availability, accessibility, acceptability, logistics, and follow-through appear in a resource checklist.</w:t>
            </w:r>
          </w:p>
        </w:tc>
        <w:tc>
          <w:tcPr>
            <w:tcW w:type="dxa" w:w="5112"/>
            <w:shd w:fill="DCEFF6"/>
            <w:tcMar>
              <w:top w:w="90" w:type="dxa"/>
              <w:start w:w="110" w:type="dxa"/>
              <w:bottom w:w="90" w:type="dxa"/>
              <w:end w:w="110" w:type="dxa"/>
            </w:tcMar>
            <w:vAlign w:val="top"/>
          </w:tcPr>
          <w:p>
            <w:pPr>
              <w:keepNext/>
              <w:keepLines/>
            </w:pPr>
            <w:r>
              <w:rPr>
                <w:color w:val="243B53"/>
                <w:sz w:val="17"/>
              </w:rPr>
              <w:t>Fit Must Be Verified, Not Assumed</w:t>
            </w:r>
          </w:p>
        </w:tc>
      </w:tr>
    </w:tbl>
    <w:p>
      <w:pPr>
        <w:pStyle w:val="CTALabel"/>
        <w:keepNext/>
      </w:pPr>
      <w:r>
        <w:t>Narration</w:t>
      </w:r>
    </w:p>
    <w:p>
      <w:pPr>
        <w:pStyle w:val="CTANarration"/>
        <w:keepLines/>
        <w:ind w:left="259" w:right="173"/>
      </w:pPr>
      <w:r>
        <w:t>A resource is useful only when it matches the need and the client can realistically use it. Check eligibility, required documents, language, disability access, culture, cost, transportation, technology, hours, waitlists, childcare, location, safety, and preference. A warm handoff may include obtaining authorization, contacting the receiving service with the client, sharing limited relevant information, scheduling the first step, preparing the client for what to expect, and confirming whether entry occurred. The intensity of support should match urgency, capacity, and choice. Missed appointments or incomplete applications are data about barriers, not automatic proof of low motivation.</w:t>
      </w:r>
    </w:p>
    <w:p>
      <w:pPr>
        <w:pStyle w:val="Heading2"/>
        <w:keepNext/>
      </w:pPr>
      <w:r>
        <w:t>Slide 5: Advocacy, Collaboration, Consent, and Documentation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Individual, organizational, systems, and community advocacy levels connect to consent, role, and accountability.</w:t>
            </w:r>
          </w:p>
        </w:tc>
        <w:tc>
          <w:tcPr>
            <w:tcW w:type="dxa" w:w="5112"/>
            <w:shd w:fill="DCEFF6"/>
            <w:tcMar>
              <w:top w:w="90" w:type="dxa"/>
              <w:start w:w="110" w:type="dxa"/>
              <w:bottom w:w="90" w:type="dxa"/>
              <w:end w:w="110" w:type="dxa"/>
            </w:tcMar>
            <w:vAlign w:val="top"/>
          </w:tcPr>
          <w:p>
            <w:pPr>
              <w:keepNext/>
              <w:keepLines/>
            </w:pPr>
            <w:r>
              <w:rPr>
                <w:color w:val="243B53"/>
                <w:sz w:val="17"/>
              </w:rPr>
              <w:t>Use the Least Intrusive Effective Level of Advocacy</w:t>
            </w:r>
          </w:p>
        </w:tc>
      </w:tr>
    </w:tbl>
    <w:p>
      <w:pPr>
        <w:pStyle w:val="CTALabel"/>
        <w:keepNext/>
      </w:pPr>
      <w:r>
        <w:t>Narration</w:t>
      </w:r>
    </w:p>
    <w:p>
      <w:pPr>
        <w:pStyle w:val="CTANarration"/>
        <w:keepLines/>
        <w:ind w:left="259" w:right="173"/>
      </w:pPr>
      <w:r>
        <w:t>Advocacy begins by clarifying the client’s goal, the barrier, power and risk, desired participation, and the least intrusive effective level of action. The response may involve coaching, accommodation, appeal, internal problem solving, policy challenge, coalition work, or community action. Collaboration requires explicit roles, authority, consent, minimum necessary information, deadlines, and ownership. Documentation should show the client’s goals, authorization, barrier, action, responsible party, due date, outcome, and revision. Advocacy should not replace the client’s voice or expose the client to unnecessary retaliation without assessing risk and preference.</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referral list, unclear roles, overdisclosure, access-as-motivation, and advocacy at the wrong level.</w:t>
            </w:r>
          </w:p>
        </w:tc>
        <w:tc>
          <w:tcPr>
            <w:tcW w:type="dxa" w:w="5112"/>
            <w:shd w:fill="DCEFF6"/>
            <w:tcMar>
              <w:top w:w="90" w:type="dxa"/>
              <w:start w:w="110" w:type="dxa"/>
              <w:bottom w:w="90" w:type="dxa"/>
              <w:end w:w="110" w:type="dxa"/>
            </w:tcMar>
            <w:vAlign w:val="top"/>
          </w:tcPr>
          <w:p>
            <w:pPr>
              <w:keepNext/>
              <w:keepLines/>
            </w:pPr>
            <w:r>
              <w:rPr>
                <w:color w:val="243B53"/>
                <w:sz w:val="17"/>
              </w:rPr>
              <w:t>Coordination Requires Accountability</w:t>
            </w:r>
          </w:p>
        </w:tc>
      </w:tr>
    </w:tbl>
    <w:p>
      <w:pPr>
        <w:pStyle w:val="CTALabel"/>
        <w:keepNext/>
      </w:pPr>
      <w:r>
        <w:t>Narration</w:t>
      </w:r>
    </w:p>
    <w:p>
      <w:pPr>
        <w:pStyle w:val="CTANarration"/>
        <w:keepLines/>
        <w:ind w:left="259" w:right="173"/>
      </w:pPr>
      <w:r>
        <w:t>Common traps include giving a resource list without verifying fit; contacting providers without consent or another valid basis; sharing more information than necessary; ignoring language, disability, cost, transportation, childcare, technology, or documentation barriers; labeling incomplete follow-through as noncompliance; choosing public confrontation before clarifying facts and proportionate channels; and assuming another professional will follow up. Strong answers preserve informed participation, define responsibility, use the correct level of advocacy, and evaluate whether access and outcomes occurred.</w:t>
      </w:r>
    </w:p>
    <w:p>
      <w:pPr>
        <w:pStyle w:val="Heading2"/>
        <w:keepNext/>
      </w:pPr>
      <w:r>
        <w:t>Slide 7: Mini Scenario: Discharge, Diabetes, and Temporary Housing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Medical follow-up, temporary housing, medication access, transportation, and assigned roles appear on a BRIDGE map.</w:t>
            </w:r>
          </w:p>
        </w:tc>
        <w:tc>
          <w:tcPr>
            <w:tcW w:type="dxa" w:w="5112"/>
            <w:shd w:fill="DCEFF6"/>
            <w:tcMar>
              <w:top w:w="90" w:type="dxa"/>
              <w:start w:w="110" w:type="dxa"/>
              <w:bottom w:w="90" w:type="dxa"/>
              <w:end w:w="110" w:type="dxa"/>
            </w:tcMar>
            <w:vAlign w:val="top"/>
          </w:tcPr>
          <w:p>
            <w:pPr>
              <w:keepNext/>
              <w:keepLines/>
            </w:pPr>
            <w:r>
              <w:rPr>
                <w:color w:val="243B53"/>
                <w:sz w:val="17"/>
              </w:rPr>
              <w:t>Coordinate Medical and Housing Safety With a Warm Handoff</w:t>
            </w:r>
          </w:p>
        </w:tc>
      </w:tr>
    </w:tbl>
    <w:p>
      <w:pPr>
        <w:pStyle w:val="CTALabel"/>
        <w:keepNext/>
      </w:pPr>
      <w:r>
        <w:t>Narration</w:t>
      </w:r>
    </w:p>
    <w:p>
      <w:pPr>
        <w:pStyle w:val="CTANarration"/>
        <w:keepLines/>
        <w:ind w:left="259" w:right="173"/>
      </w:pPr>
      <w:r>
        <w:t>A client with diabetes and depression is discharged to temporary housing without transportation or medication access. The strongest response is not simply a therapy appointment or a housing list. Begin with medical and housing safety. Clarify the client’s priorities and consent. Identify the hospital team, pharmacy, transportation, housing provider, benefits, and natural supports. Define who will arrange medication, transportation, and follow-up. Complete accessible handoffs and confirm that the client can reach and use the services. Schedule reassessment. The social worker remains accountable for coordination within role rather than assuming that referral ends responsibility.</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BRIDGE worksheet leads into Workbook 10 practice.</w:t>
            </w:r>
          </w:p>
        </w:tc>
        <w:tc>
          <w:tcPr>
            <w:tcW w:type="dxa" w:w="5112"/>
            <w:shd w:fill="DCEFF6"/>
            <w:tcMar>
              <w:top w:w="90" w:type="dxa"/>
              <w:start w:w="110" w:type="dxa"/>
              <w:bottom w:w="90" w:type="dxa"/>
              <w:end w:w="110" w:type="dxa"/>
            </w:tcMar>
            <w:vAlign w:val="top"/>
          </w:tcPr>
          <w:p>
            <w:pPr>
              <w:keepNext/>
              <w:keepLines/>
            </w:pPr>
            <w:r>
              <w:rPr>
                <w:color w:val="243B53"/>
                <w:sz w:val="17"/>
              </w:rPr>
              <w:t>Priority • Participation • Systems/Barrier • Roles/Disclosure • Handoff • Outcome</w:t>
            </w:r>
          </w:p>
        </w:tc>
      </w:tr>
    </w:tbl>
    <w:p>
      <w:pPr>
        <w:pStyle w:val="CTALabel"/>
        <w:keepNext/>
      </w:pPr>
      <w:r>
        <w:t>Narration</w:t>
      </w:r>
    </w:p>
    <w:p>
      <w:pPr>
        <w:pStyle w:val="CTANarration"/>
        <w:keepLines/>
        <w:ind w:left="259" w:right="173"/>
      </w:pPr>
      <w:r>
        <w:t>For each Workbook 10 vignette, complete BRIDGE and write the name of the person or system that owns the next step. In your error log, mark referral-without-fit, access-as-motivation, missing authorization, overdisclosure, advocacy-level mismatch, unclear responsibility, or absent follow-up. Strong case management makes the path into service visible and checks whether the path actually worked.</w:t>
      </w:r>
    </w:p>
    <w:p>
      <w:pPr>
        <w:pStyle w:val="Heading1"/>
      </w:pPr>
      <w:r>
        <w:t>Audio-Only Adaptation Notes</w:t>
      </w:r>
    </w:p>
    <w:p>
      <w:pPr>
        <w:pStyle w:val="ListBullet"/>
        <w:spacing w:after="40"/>
        <w:ind w:left="360" w:hanging="216"/>
      </w:pPr>
      <w:r>
        <w:t>Spell out BRIDGE slowly.</w:t>
      </w:r>
    </w:p>
    <w:p>
      <w:pPr>
        <w:pStyle w:val="ListBullet"/>
        <w:spacing w:after="40"/>
        <w:ind w:left="360" w:hanging="216"/>
      </w:pPr>
      <w:r>
        <w:t>Use “who owns the next step?” as a repeated verbal cue.</w:t>
      </w:r>
    </w:p>
    <w:p>
      <w:pPr>
        <w:pStyle w:val="ListBullet"/>
        <w:spacing w:after="40"/>
        <w:ind w:left="360" w:hanging="216"/>
      </w:pPr>
      <w:r>
        <w:t>Pause after the warm-handoff components.</w:t>
      </w:r>
    </w:p>
    <w:p>
      <w:pPr>
        <w:pStyle w:val="ListBullet"/>
        <w:spacing w:after="40"/>
        <w:ind w:left="360" w:hanging="216"/>
      </w:pPr>
      <w:r>
        <w:t>End with priority, participation, barrier, role, handoff, and outcome.</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recording should make coordination accountable by connecting client goals, access, roles, disclosure limits, handoff, and evaluation.</w:t>
            </w:r>
          </w:p>
        </w:tc>
      </w:tr>
    </w:tbl>
    <w:p>
      <w:pPr>
        <w:spacing w:after="20"/>
      </w:pPr>
    </w:p>
    <w:p>
      <w:pPr>
        <w:pStyle w:val="CTASmall"/>
        <w:jc w:val="center"/>
      </w:pPr>
      <w:r>
        <w:t>Educational exam-preparation content. CTA is not affiliated with or endorsed by the Association of Social Work Boards, Pearson VUE, the California Board of Behavioral Sciences, or any licensing or testing organization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Workbook 10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10 Companion: Case Management, Advocacy, Resources, and Collaboration</dc:title>
  <dc:subject>CTA LCSW Workbook 10 Companion Multimedia Script</dc:subject>
  <dc:creator>Clinical Training Academy</dc:creator>
  <cp:keywords>LCSW, ASWB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