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12 Companion: Integrated Review and 25-Question Mini-Mock</w:t>
      </w:r>
    </w:p>
    <w:p>
      <w:pPr>
        <w:jc w:val="center"/>
      </w:pPr>
      <w:r>
        <w:rPr>
          <w:rFonts w:ascii="Aptos Display" w:hAnsi="Aptos Display"/>
          <w:b/>
          <w:color w:val="2AA7D6"/>
          <w:sz w:val="32"/>
        </w:rPr>
        <w:t>LCSW Workbook 12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Prepare candidates to integrate values and ethics, assessment and planning, and intervention and practice under timed mixed-question conditions using CLINIC, a priority ladder, confidence ratings, and error analysis.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12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12: Integrated Review and 25-Question Mini-Mock, including the CLINIC integrated reasoning sequence and priority ladder.</w:t>
            </w:r>
          </w:p>
        </w:tc>
      </w:tr>
    </w:tbl>
    <w:p>
      <w:pPr>
        <w:spacing w:after="20"/>
      </w:pPr>
    </w:p>
    <w:p>
      <w:pPr>
        <w:pStyle w:val="Heading1"/>
      </w:pPr>
      <w:r>
        <w:t>Learning Outcomes</w:t>
      </w:r>
    </w:p>
    <w:p>
      <w:pPr>
        <w:pStyle w:val="ListBullet"/>
        <w:spacing w:after="40"/>
        <w:ind w:left="360" w:hanging="216"/>
      </w:pPr>
      <w:r>
        <w:t>Use CLINIC to identify client, context, urgency, task, and practice stage.</w:t>
      </w:r>
    </w:p>
    <w:p>
      <w:pPr>
        <w:pStyle w:val="ListBullet"/>
        <w:spacing w:after="40"/>
        <w:ind w:left="360" w:hanging="216"/>
      </w:pPr>
      <w:r>
        <w:t>Apply the priority ladder across mixed content areas.</w:t>
      </w:r>
    </w:p>
    <w:p>
      <w:pPr>
        <w:pStyle w:val="ListBullet"/>
        <w:spacing w:after="40"/>
        <w:ind w:left="360" w:hanging="216"/>
      </w:pPr>
      <w:r>
        <w:t>Distinguish assessment, planning, intervention, referral, coordination, supervision, and evaluation.</w:t>
      </w:r>
    </w:p>
    <w:p>
      <w:pPr>
        <w:pStyle w:val="ListBullet"/>
        <w:spacing w:after="40"/>
        <w:ind w:left="360" w:hanging="216"/>
      </w:pPr>
      <w:r>
        <w:t>Use timing, confidence ratings, and error analysis to prepare for full simulations.</w:t>
      </w:r>
    </w:p>
    <w:p>
      <w:pPr>
        <w:pStyle w:val="Heading1"/>
      </w:pPr>
      <w:r>
        <w:t>Voice and Presentation Direction</w:t>
      </w:r>
    </w:p>
    <w:p>
      <w:pPr>
        <w:pStyle w:val="ListBullet"/>
        <w:spacing w:after="40"/>
        <w:ind w:left="360" w:hanging="216"/>
      </w:pPr>
      <w:r>
        <w:t>Keep the pace steady and practical.</w:t>
      </w:r>
    </w:p>
    <w:p>
      <w:pPr>
        <w:pStyle w:val="ListBullet"/>
        <w:spacing w:after="40"/>
        <w:ind w:left="360" w:hanging="216"/>
      </w:pPr>
      <w:r>
        <w:t>Remind learners not to add facts.</w:t>
      </w:r>
    </w:p>
    <w:p>
      <w:pPr>
        <w:pStyle w:val="ListBullet"/>
        <w:spacing w:after="40"/>
        <w:ind w:left="360" w:hanging="216"/>
      </w:pPr>
      <w:r>
        <w:t>Encourage answer changes only for a specific reason.</w:t>
      </w:r>
    </w:p>
    <w:p>
      <w:pPr>
        <w:pStyle w:val="ListBullet"/>
        <w:spacing w:after="40"/>
        <w:ind w:left="360" w:hanging="216"/>
      </w:pPr>
      <w:r>
        <w:t>Close with the mini-mock review process.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focused exam-readiness tone. Do not teach new content in detail; reinforce integration, pacing, confidence, answer-change discipline, and post-mock review.</w:t>
            </w:r>
          </w:p>
        </w:tc>
      </w:tr>
    </w:tbl>
    <w:p>
      <w:pPr>
        <w:spacing w:after="20"/>
      </w:pPr>
    </w:p>
    <w:p>
      <w:pPr>
        <w:pStyle w:val="Heading1"/>
      </w:pPr>
      <w:r>
        <w:t>Slide-by-Slide Script</w:t>
      </w:r>
    </w:p>
    <w:p>
      <w:pPr>
        <w:pStyle w:val="Heading2"/>
        <w:keepNext/>
      </w:pPr>
      <w:r>
        <w:t>Slide 1: Workbook 12 Tests Integration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Three content areas converge into one mixed-question decision process.</w:t>
            </w:r>
          </w:p>
        </w:tc>
        <w:tc>
          <w:tcPr>
            <w:tcW w:type="dxa" w:w="5112"/>
            <w:shd w:fill="DCEFF6"/>
            <w:tcMar>
              <w:top w:w="90" w:type="dxa"/>
              <w:start w:w="110" w:type="dxa"/>
              <w:bottom w:w="90" w:type="dxa"/>
              <w:end w:w="110" w:type="dxa"/>
            </w:tcMar>
            <w:vAlign w:val="top"/>
          </w:tcPr>
          <w:p>
            <w:pPr>
              <w:keepNext/>
              <w:keepLines/>
            </w:pPr>
            <w:r>
              <w:rPr>
                <w:color w:val="243B53"/>
                <w:sz w:val="17"/>
              </w:rPr>
              <w:t>Ethics + Assessment/Planning + Intervention/Practice</w:t>
            </w:r>
          </w:p>
        </w:tc>
      </w:tr>
    </w:tbl>
    <w:p>
      <w:pPr>
        <w:pStyle w:val="CTALabel"/>
        <w:keepNext/>
      </w:pPr>
      <w:r>
        <w:t>Narration</w:t>
      </w:r>
    </w:p>
    <w:p>
      <w:pPr>
        <w:pStyle w:val="CTANarration"/>
        <w:keepLines/>
        <w:ind w:left="259" w:right="173"/>
      </w:pPr>
      <w:r>
        <w:t>The final workbook asks you to shift between values and ethics, assessment and planning, and intervention and practice without being told which domain is being tested. A vignette may include risk, consent, housing, diagnosis, family participation, referral, advocacy, supervision, and evaluation at the same time. Your task is to identify the client or client system, the qualifier, the controlling priority, the social worker role, and the current stage of practice. The mini-mock is a learning tool. It is designed to reveal content gaps, sequencing errors, distractor patterns, pacing problems, and confidence habits before a full-length simulation.</w:t>
      </w:r>
    </w:p>
    <w:p>
      <w:pPr>
        <w:pStyle w:val="Heading2"/>
        <w:keepNext/>
      </w:pPr>
      <w:r>
        <w:t>Slide 2: Use CLINIC</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CLINIC steps move from clarification and urgency to stage, proportionate action, and continuity.</w:t>
            </w:r>
          </w:p>
        </w:tc>
        <w:tc>
          <w:tcPr>
            <w:tcW w:type="dxa" w:w="5112"/>
            <w:shd w:fill="DCEFF6"/>
            <w:tcMar>
              <w:top w:w="90" w:type="dxa"/>
              <w:start w:w="110" w:type="dxa"/>
              <w:bottom w:w="90" w:type="dxa"/>
              <w:end w:w="110" w:type="dxa"/>
            </w:tcMar>
            <w:vAlign w:val="top"/>
          </w:tcPr>
          <w:p>
            <w:pPr>
              <w:keepNext/>
              <w:keepLines/>
            </w:pPr>
            <w:r>
              <w:rPr>
                <w:color w:val="243B53"/>
                <w:sz w:val="17"/>
              </w:rPr>
              <w:t>Clarify • Locate • Identify • Name • Intervene • Check</w:t>
            </w:r>
          </w:p>
        </w:tc>
      </w:tr>
    </w:tbl>
    <w:p>
      <w:pPr>
        <w:pStyle w:val="CTALabel"/>
        <w:keepNext/>
      </w:pPr>
      <w:r>
        <w:t>Narration</w:t>
      </w:r>
    </w:p>
    <w:p>
      <w:pPr>
        <w:pStyle w:val="CTANarration"/>
        <w:keepLines/>
        <w:ind w:left="259" w:right="173"/>
      </w:pPr>
      <w:r>
        <w:t>C means clarify the client, role, referral or mandate, and exact question. L means locate urgency: immediate safety, medical concerns, abuse, severe impairment, or a time-sensitive duty. I means identify the client’s context, goals, strengths, capacity, consent, environmental barriers, and available resources. N means name the practice stage: engagement, assessment, diagnosis, planning, intervention, referral, coordination, supervision, evaluation, or administration. I means intervene proportionately with the least assumptive response supported by the facts. C means check continuation through outcomes, documentation, supervision, follow-up, transfer, or revision. CLINIC keeps mixed questions organized without adding facts.</w:t>
      </w:r>
    </w:p>
    <w:p>
      <w:pPr>
        <w:pStyle w:val="Heading2"/>
        <w:keepNext/>
      </w:pPr>
      <w:r>
        <w:t>Slide 3: Use the Priority Ladder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Six priority levels move from emergency and authority to assessment, planning, action, and review.</w:t>
            </w:r>
          </w:p>
        </w:tc>
        <w:tc>
          <w:tcPr>
            <w:tcW w:type="dxa" w:w="5112"/>
            <w:shd w:fill="DCEFF6"/>
            <w:tcMar>
              <w:top w:w="90" w:type="dxa"/>
              <w:start w:w="110" w:type="dxa"/>
              <w:bottom w:w="90" w:type="dxa"/>
              <w:end w:w="110" w:type="dxa"/>
            </w:tcMar>
            <w:vAlign w:val="top"/>
          </w:tcPr>
          <w:p>
            <w:pPr>
              <w:keepNext/>
              <w:keepLines/>
            </w:pPr>
            <w:r>
              <w:rPr>
                <w:color w:val="243B53"/>
                <w:sz w:val="17"/>
              </w:rPr>
              <w:t>Urgency → Authority/Capacity → Assess → Plan → Act → Review</w:t>
            </w:r>
          </w:p>
        </w:tc>
      </w:tr>
    </w:tbl>
    <w:p>
      <w:pPr>
        <w:pStyle w:val="CTALabel"/>
        <w:keepNext/>
      </w:pPr>
      <w:r>
        <w:t>Narration</w:t>
      </w:r>
    </w:p>
    <w:p>
      <w:pPr>
        <w:pStyle w:val="CTANarration"/>
        <w:keepLines/>
        <w:ind w:left="259" w:right="173"/>
      </w:pPr>
      <w:r>
        <w:t>Start with immediate safety, medical emergency, abuse, severe impairment, or a time-sensitive legal duty. Next consider capacity, consent, confidentiality, role, jurisdiction, and professional competence. Then engage and conduct focused assessment of the presenting concern, context, strengths, risk, and client goals. Formulate collaboratively, diagnose when supported, prioritize needs, write measurable goals, and select level of care. Implement proportionate intervention, referral, coordination, advocacy, or systems action. Finally, evaluate outcomes, revise the plan, use supervision, document, and preserve continuity. The ladder helps distinguish a good later action from the correct next action.</w:t>
      </w:r>
    </w:p>
    <w:p>
      <w:pPr>
        <w:pStyle w:val="Heading2"/>
        <w:keepNext/>
      </w:pPr>
      <w:r>
        <w:t>Slide 4: Distinguish Practice Stages and Content Areas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Assessment, planning, intervention, referral, coordination, supervision, and evaluation appear as separate cards.</w:t>
            </w:r>
          </w:p>
        </w:tc>
        <w:tc>
          <w:tcPr>
            <w:tcW w:type="dxa" w:w="5112"/>
            <w:shd w:fill="DCEFF6"/>
            <w:tcMar>
              <w:top w:w="90" w:type="dxa"/>
              <w:start w:w="110" w:type="dxa"/>
              <w:bottom w:w="90" w:type="dxa"/>
              <w:end w:w="110" w:type="dxa"/>
            </w:tcMar>
            <w:vAlign w:val="top"/>
          </w:tcPr>
          <w:p>
            <w:pPr>
              <w:keepNext/>
              <w:keepLines/>
            </w:pPr>
            <w:r>
              <w:rPr>
                <w:color w:val="243B53"/>
                <w:sz w:val="17"/>
              </w:rPr>
              <w:t>Name the Stage Before Comparing Options</w:t>
            </w:r>
          </w:p>
        </w:tc>
      </w:tr>
    </w:tbl>
    <w:p>
      <w:pPr>
        <w:pStyle w:val="CTALabel"/>
        <w:keepNext/>
      </w:pPr>
      <w:r>
        <w:t>Narration</w:t>
      </w:r>
    </w:p>
    <w:p>
      <w:pPr>
        <w:pStyle w:val="CTANarration"/>
        <w:keepLines/>
        <w:ind w:left="259" w:right="173"/>
      </w:pPr>
      <w:r>
        <w:t>Assessment gathers and organizes information. Diagnosis is a supported working explanation. Planning converts the formulation into goals, actions, resources, measures, and responsibility. Intervention changes a clinical, behavioral, relational, environmental, or systems target. Referral connects to another service; case management makes that connection accessible and accountable. Advocacy addresses a barrier or power imbalance. Supervision supports competence and risk management without transferring responsibility. Evaluation determines whether practice or a program is working. Naming the stage prevents you from selecting an intervention when the item is still asking what to assess or from choosing consultation when direct action is already required.</w:t>
      </w:r>
    </w:p>
    <w:p>
      <w:pPr>
        <w:pStyle w:val="Heading2"/>
        <w:keepNext/>
      </w:pPr>
      <w:r>
        <w:t>Slide 5: Manage Time, Confidence, and Answer Changes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timer, confidence scale, flag, and review decision rule appear together.</w:t>
            </w:r>
          </w:p>
        </w:tc>
        <w:tc>
          <w:tcPr>
            <w:tcW w:type="dxa" w:w="5112"/>
            <w:shd w:fill="DCEFF6"/>
            <w:tcMar>
              <w:top w:w="90" w:type="dxa"/>
              <w:start w:w="110" w:type="dxa"/>
              <w:bottom w:w="90" w:type="dxa"/>
              <w:end w:w="110" w:type="dxa"/>
            </w:tcMar>
            <w:vAlign w:val="top"/>
          </w:tcPr>
          <w:p>
            <w:pPr>
              <w:keepNext/>
              <w:keepLines/>
            </w:pPr>
            <w:r>
              <w:rPr>
                <w:color w:val="243B53"/>
                <w:sz w:val="17"/>
              </w:rPr>
              <w:t>Change an Answer Only for a Specific Reason</w:t>
            </w:r>
          </w:p>
        </w:tc>
      </w:tr>
    </w:tbl>
    <w:p>
      <w:pPr>
        <w:pStyle w:val="CTALabel"/>
        <w:keepNext/>
      </w:pPr>
      <w:r>
        <w:t>Narration</w:t>
      </w:r>
    </w:p>
    <w:p>
      <w:pPr>
        <w:pStyle w:val="CTANarration"/>
        <w:keepLines/>
        <w:ind w:left="259" w:right="173"/>
      </w:pPr>
      <w:r>
        <w:t>Complete the mini-mock under the recommended timed conditions without notes. Record confidence after each answer. If a question is taking too long, choose the best supported option, flag it, and move on. During review, change an answer only when you can identify a specific fact, principle, role boundary, or sequence that makes the original choice weaker. Do not change an answer merely because another option sounds more sophisticated on second reading. Confidence is data, not a grade. A correct low-confidence answer may reveal fragile knowledge; an incorrect high-confidence answer may reveal a strong misconception that deserves priority review.</w:t>
      </w:r>
    </w:p>
    <w:p>
      <w:pPr>
        <w:pStyle w:val="Heading2"/>
        <w:keepNext/>
      </w:pPr>
      <w:r>
        <w:t>Slide 6: Common Integrated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extra facts, wrong stage, paternalism, system blindness, overreferral, and no follow-up.</w:t>
            </w:r>
          </w:p>
        </w:tc>
        <w:tc>
          <w:tcPr>
            <w:tcW w:type="dxa" w:w="5112"/>
            <w:shd w:fill="DCEFF6"/>
            <w:tcMar>
              <w:top w:w="90" w:type="dxa"/>
              <w:start w:w="110" w:type="dxa"/>
              <w:bottom w:w="90" w:type="dxa"/>
              <w:end w:w="110" w:type="dxa"/>
            </w:tcMar>
            <w:vAlign w:val="top"/>
          </w:tcPr>
          <w:p>
            <w:pPr>
              <w:keepNext/>
              <w:keepLines/>
            </w:pPr>
            <w:r>
              <w:rPr>
                <w:color w:val="243B53"/>
                <w:sz w:val="17"/>
              </w:rPr>
              <w:t>Use the Facts Given and the Stage Asked</w:t>
            </w:r>
          </w:p>
        </w:tc>
      </w:tr>
    </w:tbl>
    <w:p>
      <w:pPr>
        <w:pStyle w:val="CTALabel"/>
        <w:keepNext/>
      </w:pPr>
      <w:r>
        <w:t>Narration</w:t>
      </w:r>
    </w:p>
    <w:p>
      <w:pPr>
        <w:pStyle w:val="CTANarration"/>
        <w:keepLines/>
        <w:ind w:left="259" w:right="173"/>
      </w:pPr>
      <w:r>
        <w:t>Common traps include adding abuse, incapacity, psychosis, consent, or resources that are not stated; choosing the most restrictive response; selecting intervention before assessment; diagnosing before medical or substance factors are clarified; ignoring self-determination, culture, disability, or environmental barriers; giving a referral list without access planning; using supervision to avoid responsibility; choosing an answer with more services simply because it sounds comprehensive; and forgetting outcome review or continuity. Strong answers are specific enough to address the task but not broader than the evidence supports.</w:t>
      </w:r>
    </w:p>
    <w:p>
      <w:pPr>
        <w:pStyle w:val="Heading2"/>
        <w:keepNext/>
      </w:pPr>
      <w:r>
        <w:t>Slide 7: Mini Scenario: Mixed Ethics, Risk, and Access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client with passive death wishes, medication interruption, eviction risk, and transportation barriers appears in a CLINIC map.</w:t>
            </w:r>
          </w:p>
        </w:tc>
        <w:tc>
          <w:tcPr>
            <w:tcW w:type="dxa" w:w="5112"/>
            <w:shd w:fill="DCEFF6"/>
            <w:tcMar>
              <w:top w:w="90" w:type="dxa"/>
              <w:start w:w="110" w:type="dxa"/>
              <w:bottom w:w="90" w:type="dxa"/>
              <w:end w:w="110" w:type="dxa"/>
            </w:tcMar>
            <w:vAlign w:val="top"/>
          </w:tcPr>
          <w:p>
            <w:pPr>
              <w:keepNext/>
              <w:keepLines/>
            </w:pPr>
            <w:r>
              <w:rPr>
                <w:color w:val="243B53"/>
                <w:sz w:val="17"/>
              </w:rPr>
              <w:t>Locate Urgency, Assess Directly, Then Coordinate the Accessible Plan</w:t>
            </w:r>
          </w:p>
        </w:tc>
      </w:tr>
    </w:tbl>
    <w:p>
      <w:pPr>
        <w:pStyle w:val="CTALabel"/>
        <w:keepNext/>
      </w:pPr>
      <w:r>
        <w:t>Narration</w:t>
      </w:r>
    </w:p>
    <w:p>
      <w:pPr>
        <w:pStyle w:val="CTANarration"/>
        <w:keepLines/>
        <w:ind w:left="259" w:right="173"/>
      </w:pPr>
      <w:r>
        <w:t>A client reports passive death wishes, missed medication because transportation is unavailable, and an eviction deadline. The vignette includes ethics, risk, assessment, medical coordination, housing, and case management. Use CLINIC. Clarify the client and role. Locate the suicide and medical-access priorities. Ask direct risk questions and assess the medication interruption and housing urgency. Include the client’s goals and available supports. Then coordinate the least restrictive safe plan with reachable medical, transportation, housing, and crisis resources, assigned responsibility, and follow-up. A therapy technique alone, a generic referral list, or automatic hospitalization may each be wrong depending on the risk findings.</w:t>
      </w:r>
    </w:p>
    <w:p>
      <w:pPr>
        <w:pStyle w:val="Heading2"/>
        <w:keepNext/>
      </w:pPr>
      <w:r>
        <w:t>Slide 8: Study Direction and Mini-Mock Review</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A score report separates content, sequence, distractor, pacing, and confidence patterns.</w:t>
            </w:r>
          </w:p>
        </w:tc>
        <w:tc>
          <w:tcPr>
            <w:tcW w:type="dxa" w:w="5112"/>
            <w:shd w:fill="DCEFF6"/>
            <w:tcMar>
              <w:top w:w="90" w:type="dxa"/>
              <w:start w:w="110" w:type="dxa"/>
              <w:bottom w:w="90" w:type="dxa"/>
              <w:end w:w="110" w:type="dxa"/>
            </w:tcMar>
            <w:vAlign w:val="top"/>
          </w:tcPr>
          <w:p>
            <w:pPr>
              <w:keepNext/>
              <w:keepLines/>
            </w:pPr>
            <w:r>
              <w:rPr>
                <w:color w:val="243B53"/>
                <w:sz w:val="17"/>
              </w:rPr>
              <w:t>Attempt → Score → Classify → Remediate → Retest</w:t>
            </w:r>
          </w:p>
        </w:tc>
      </w:tr>
    </w:tbl>
    <w:p>
      <w:pPr>
        <w:pStyle w:val="CTALabel"/>
        <w:keepNext/>
      </w:pPr>
      <w:r>
        <w:t>Narration</w:t>
      </w:r>
    </w:p>
    <w:p>
      <w:pPr>
        <w:pStyle w:val="CTANarration"/>
        <w:keepLines/>
        <w:ind w:left="259" w:right="173"/>
      </w:pPr>
      <w:r>
        <w:t>Complete the 25-question mini-mock without notes and record time and confidence. After scoring, classify every miss by content area, missing knowledge, practice stage, sequence, distractor pattern, and confidence. Review the rationale and return to the specific workbook section rather than rereading everything. Write one corrective rule and one cue that would help you recognize the pattern next time. Then complete a small set of targeted questions before moving to the comprehensive simulations. Readiness comes from accurate review, not from the score alone.</w:t>
      </w:r>
    </w:p>
    <w:p>
      <w:pPr>
        <w:pStyle w:val="Heading1"/>
      </w:pPr>
      <w:r>
        <w:t>Audio-Only Adaptation Notes</w:t>
      </w:r>
    </w:p>
    <w:p>
      <w:pPr>
        <w:pStyle w:val="ListBullet"/>
        <w:spacing w:after="40"/>
        <w:ind w:left="360" w:hanging="216"/>
      </w:pPr>
      <w:r>
        <w:t>Spell out CLINIC slowly.</w:t>
      </w:r>
    </w:p>
    <w:p>
      <w:pPr>
        <w:pStyle w:val="ListBullet"/>
        <w:spacing w:after="40"/>
        <w:ind w:left="360" w:hanging="216"/>
      </w:pPr>
      <w:r>
        <w:t>Pause after the priority ladder.</w:t>
      </w:r>
    </w:p>
    <w:p>
      <w:pPr>
        <w:pStyle w:val="ListBullet"/>
        <w:spacing w:after="40"/>
        <w:ind w:left="360" w:hanging="216"/>
      </w:pPr>
      <w:r>
        <w:t>Use “name the stage” as a repeated cue.</w:t>
      </w:r>
    </w:p>
    <w:p>
      <w:pPr>
        <w:pStyle w:val="ListBullet"/>
        <w:spacing w:after="40"/>
        <w:ind w:left="360" w:hanging="216"/>
      </w:pPr>
      <w:r>
        <w:t>End with attempt, score, classify, remediate, and retest.</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prepare candidates to use disciplined integration, timing, confidence data, and targeted remediation before full-length simulation.</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12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12 Companion: Integrated Review and 25-Question Mini-Mock</dc:title>
  <dc:subject>CTA LCSW Workbook 12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