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120640" cy="1702267"/>
            <wp:docPr id="1" name="Picture 1" descr="Image: image1.jpg"/>
            <wp:cNvGraphicFramePr>
              <a:graphicFrameLocks noChangeAspect="1"/>
            </wp:cNvGraphicFramePr>
            <a:graphic>
              <a:graphicData uri="http://schemas.openxmlformats.org/drawingml/2006/picture">
                <pic:pic>
                  <pic:nvPicPr>
                    <pic:cNvPr id="0" name="Primary Logo (Final).jpg"/>
                    <pic:cNvPicPr/>
                  </pic:nvPicPr>
                  <pic:blipFill>
                    <a:blip r:embed="rId11"/>
                    <a:stretch>
                      <a:fillRect/>
                    </a:stretch>
                  </pic:blipFill>
                  <pic:spPr>
                    <a:xfrm>
                      <a:off x="0" y="0"/>
                      <a:ext cx="5120640" cy="1702267"/>
                    </a:xfrm>
                    <a:prstGeom prst="rect"/>
                  </pic:spPr>
                </pic:pic>
              </a:graphicData>
            </a:graphic>
          </wp:inline>
        </w:drawing>
      </w:r>
    </w:p>
    <w:p>
      <w:pPr>
        <w:pStyle w:val="CTASmallCaps"/>
        <w:jc w:val="center"/>
      </w:pPr>
      <w:r>
        <w:t>LCSW ASWB CLINICAL EXAM PREPARATION PROGRAM</w:t>
      </w:r>
    </w:p>
    <w:p>
      <w:pPr>
        <w:pStyle w:val="Title"/>
        <w:jc w:val="center"/>
      </w:pPr>
      <w:r>
        <w:t>August 2026 Examination Structure, Test-Day, and Simulation Guide</w:t>
      </w:r>
    </w:p>
    <w:p>
      <w:pPr>
        <w:pStyle w:val="Subtitle"/>
        <w:spacing w:after="280"/>
        <w:jc w:val="center"/>
      </w:pPr>
      <w:r>
        <w:t>For examinations administered beginning August 3, 2026</w:t>
      </w:r>
    </w:p>
    <w:tbl>
      <w:tblPr>
        <w:tblW w:type="auto" w:w="0"/>
        <w:jc w:val="center"/>
        <w:tblLook w:firstColumn="1" w:firstRow="1" w:lastColumn="0" w:lastRow="0" w:noHBand="0" w:noVBand="1" w:val="04A0"/>
      </w:tblPr>
      <w:tblGrid>
        <w:gridCol w:w="10224"/>
      </w:tblGrid>
      <w:tr>
        <w:tc>
          <w:tcPr>
            <w:tcW w:type="dxa" w:w="10224"/>
            <w:shd w:fill="E6F4F3"/>
            <w:tcMar>
              <w:top w:w="140" w:type="dxa"/>
              <w:start w:w="180" w:type="dxa"/>
              <w:bottom w:w="140" w:type="dxa"/>
              <w:end w:w="180" w:type="dxa"/>
            </w:tcMar>
            <w:vAlign w:val="center"/>
          </w:tcPr>
          <w:p>
            <w:pPr>
              <w:jc w:val="center"/>
            </w:pPr>
            <w:r>
              <w:rPr>
                <w:rFonts w:ascii="Aptos" w:hAnsi="Aptos"/>
                <w:b/>
                <w:color w:val="112B4F"/>
                <w:sz w:val="22"/>
              </w:rPr>
              <w:t>Current ASWB Structure • Pearson Test-Center Procedures • CTA Forms A and B</w:t>
            </w:r>
          </w:p>
        </w:tc>
        <w:trPr>
          <w:tblHeader/>
        </w:trPr>
      </w:tr>
    </w:tbl>
    <w:p>
      <w:pPr>
        <w:jc w:val="center"/>
      </w:pPr>
      <w:r>
        <w:rPr>
          <w:color w:val="666666"/>
          <w:sz w:val="20"/>
        </w:rPr>
        <w:t>Version 1.0  •  August 2026  •  Exam Preparation Only — No CE Credit</w:t>
      </w:r>
    </w:p>
    <w:p>
      <w:r>
        <w:br w:type="page"/>
      </w:r>
    </w:p>
    <w:p>
      <w:pPr>
        <w:pStyle w:val="Heading1"/>
      </w:pPr>
      <w:r>
        <w:t>1. What Changed—and What Did Not</w:t>
      </w:r>
    </w:p>
    <w:p>
      <w:pPr>
        <w:pStyle w:val="CTACallout"/>
      </w:pPr>
      <w:r>
        <w:rPr>
          <w:b/>
        </w:rPr>
        <w:t xml:space="preserve">Release decision: </w:t>
      </w:r>
      <w:r>
        <w:t>The August 2026 ASWB guidebook confirms the structure already used in the CTA LCSW curriculum and comprehensive simulations. The course does not require a curriculum rebuild. This guide updates candidate logistics and simulation procedures.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12B4F"/>
            <w:tcMar>
              <w:top w:w="80" w:type="dxa"/>
              <w:start w:w="90" w:type="dxa"/>
              <w:bottom w:w="80" w:type="dxa"/>
              <w:end w:w="90" w:type="dxa"/>
            </w:tcMar>
          </w:tcPr>
          <w:p>
            <w:pPr>
              <w:jc w:val="center"/>
            </w:pPr>
            <w:r>
              <w:rPr>
                <w:b/>
                <w:color w:val="FFFFFF"/>
                <w:sz w:val="18"/>
              </w:rPr>
              <w:t>Control</w:t>
            </w:r>
          </w:p>
        </w:tc>
        <w:tc>
          <w:tcPr>
            <w:tcW w:type="dxa" w:w="5112"/>
            <w:shd w:fill="112B4F"/>
            <w:tcMar>
              <w:top w:w="80" w:type="dxa"/>
              <w:start w:w="90" w:type="dxa"/>
              <w:bottom w:w="80" w:type="dxa"/>
              <w:end w:w="90" w:type="dxa"/>
            </w:tcMar>
          </w:tcPr>
          <w:p>
            <w:pPr>
              <w:jc w:val="center"/>
            </w:pPr>
            <w:r>
              <w:rPr>
                <w:b/>
                <w:color w:val="FFFFFF"/>
                <w:sz w:val="18"/>
              </w:rPr>
              <w:t>Current ASWB Clinical Structure</w:t>
            </w:r>
          </w:p>
        </w:tc>
      </w:tr>
      <w:tr>
        <w:tc>
          <w:tcPr>
            <w:tcW w:type="dxa" w:w="5112"/>
            <w:tcMar>
              <w:top w:w="80" w:type="dxa"/>
              <w:start w:w="90" w:type="dxa"/>
              <w:bottom w:w="80" w:type="dxa"/>
              <w:end w:w="90" w:type="dxa"/>
            </w:tcMar>
          </w:tcPr>
          <w:p>
            <w:r>
              <w:rPr>
                <w:b/>
                <w:color w:val="112B4F"/>
                <w:sz w:val="18"/>
              </w:rPr>
              <w:t>Effective date</w:t>
            </w:r>
          </w:p>
        </w:tc>
        <w:tc>
          <w:tcPr>
            <w:tcW w:type="dxa" w:w="5112"/>
            <w:tcMar>
              <w:top w:w="80" w:type="dxa"/>
              <w:start w:w="90" w:type="dxa"/>
              <w:bottom w:w="80" w:type="dxa"/>
              <w:end w:w="90" w:type="dxa"/>
            </w:tcMar>
          </w:tcPr>
          <w:p>
            <w:r>
              <w:rPr>
                <w:sz w:val="18"/>
              </w:rPr>
              <w:t>Examinations administered beginning August 3, 2026</w:t>
            </w:r>
          </w:p>
        </w:tc>
      </w:tr>
      <w:tr>
        <w:tc>
          <w:tcPr>
            <w:tcW w:type="dxa" w:w="5112"/>
            <w:shd w:fill="EEF3F8"/>
            <w:tcMar>
              <w:top w:w="80" w:type="dxa"/>
              <w:start w:w="90" w:type="dxa"/>
              <w:bottom w:w="80" w:type="dxa"/>
              <w:end w:w="90" w:type="dxa"/>
            </w:tcMar>
          </w:tcPr>
          <w:p>
            <w:r>
              <w:rPr>
                <w:b/>
                <w:color w:val="112B4F"/>
                <w:sz w:val="18"/>
              </w:rPr>
              <w:t>Total items</w:t>
            </w:r>
          </w:p>
        </w:tc>
        <w:tc>
          <w:tcPr>
            <w:tcW w:type="dxa" w:w="5112"/>
            <w:shd w:fill="EEF3F8"/>
            <w:tcMar>
              <w:top w:w="80" w:type="dxa"/>
              <w:start w:w="90" w:type="dxa"/>
              <w:bottom w:w="80" w:type="dxa"/>
              <w:end w:w="90" w:type="dxa"/>
            </w:tcMar>
          </w:tcPr>
          <w:p>
            <w:r>
              <w:rPr>
                <w:sz w:val="18"/>
              </w:rPr>
              <w:t>122 multiple-choice questions</w:t>
            </w:r>
          </w:p>
        </w:tc>
      </w:tr>
      <w:tr>
        <w:tc>
          <w:tcPr>
            <w:tcW w:type="dxa" w:w="5112"/>
            <w:tcMar>
              <w:top w:w="80" w:type="dxa"/>
              <w:start w:w="90" w:type="dxa"/>
              <w:bottom w:w="80" w:type="dxa"/>
              <w:end w:w="90" w:type="dxa"/>
            </w:tcMar>
          </w:tcPr>
          <w:p>
            <w:r>
              <w:rPr>
                <w:b/>
                <w:color w:val="112B4F"/>
                <w:sz w:val="18"/>
              </w:rPr>
              <w:t>Scoring</w:t>
            </w:r>
          </w:p>
        </w:tc>
        <w:tc>
          <w:tcPr>
            <w:tcW w:type="dxa" w:w="5112"/>
            <w:tcMar>
              <w:top w:w="80" w:type="dxa"/>
              <w:start w:w="90" w:type="dxa"/>
              <w:bottom w:w="80" w:type="dxa"/>
              <w:end w:w="90" w:type="dxa"/>
            </w:tcMar>
          </w:tcPr>
          <w:p>
            <w:r>
              <w:rPr>
                <w:sz w:val="18"/>
              </w:rPr>
              <w:t>110 scored questions; 12 unscored pretest questions mixed throughout</w:t>
            </w:r>
          </w:p>
        </w:tc>
      </w:tr>
      <w:tr>
        <w:tc>
          <w:tcPr>
            <w:tcW w:type="dxa" w:w="5112"/>
            <w:shd w:fill="EEF3F8"/>
            <w:tcMar>
              <w:top w:w="80" w:type="dxa"/>
              <w:start w:w="90" w:type="dxa"/>
              <w:bottom w:w="80" w:type="dxa"/>
              <w:end w:w="90" w:type="dxa"/>
            </w:tcMar>
          </w:tcPr>
          <w:p>
            <w:r>
              <w:rPr>
                <w:b/>
                <w:color w:val="112B4F"/>
                <w:sz w:val="18"/>
              </w:rPr>
              <w:t>Sections</w:t>
            </w:r>
          </w:p>
        </w:tc>
        <w:tc>
          <w:tcPr>
            <w:tcW w:type="dxa" w:w="5112"/>
            <w:shd w:fill="EEF3F8"/>
            <w:tcMar>
              <w:top w:w="80" w:type="dxa"/>
              <w:start w:w="90" w:type="dxa"/>
              <w:bottom w:w="80" w:type="dxa"/>
              <w:end w:w="90" w:type="dxa"/>
            </w:tcMar>
          </w:tcPr>
          <w:p>
            <w:r>
              <w:rPr>
                <w:sz w:val="18"/>
              </w:rPr>
              <w:t>Two sections of 61 questions</w:t>
            </w:r>
          </w:p>
        </w:tc>
      </w:tr>
      <w:tr>
        <w:tc>
          <w:tcPr>
            <w:tcW w:type="dxa" w:w="5112"/>
            <w:tcMar>
              <w:top w:w="80" w:type="dxa"/>
              <w:start w:w="90" w:type="dxa"/>
              <w:bottom w:w="80" w:type="dxa"/>
              <w:end w:w="90" w:type="dxa"/>
            </w:tcMar>
          </w:tcPr>
          <w:p>
            <w:r>
              <w:rPr>
                <w:b/>
                <w:color w:val="112B4F"/>
                <w:sz w:val="18"/>
              </w:rPr>
              <w:t>Time</w:t>
            </w:r>
          </w:p>
        </w:tc>
        <w:tc>
          <w:tcPr>
            <w:tcW w:type="dxa" w:w="5112"/>
            <w:tcMar>
              <w:top w:w="80" w:type="dxa"/>
              <w:start w:w="90" w:type="dxa"/>
              <w:bottom w:w="80" w:type="dxa"/>
              <w:end w:w="90" w:type="dxa"/>
            </w:tcMar>
          </w:tcPr>
          <w:p>
            <w:r>
              <w:rPr>
                <w:sz w:val="18"/>
              </w:rPr>
              <w:t>Two hours per section; four hours total</w:t>
            </w:r>
          </w:p>
        </w:tc>
      </w:tr>
      <w:tr>
        <w:tc>
          <w:tcPr>
            <w:tcW w:type="dxa" w:w="5112"/>
            <w:shd w:fill="EEF3F8"/>
            <w:tcMar>
              <w:top w:w="80" w:type="dxa"/>
              <w:start w:w="90" w:type="dxa"/>
              <w:bottom w:w="80" w:type="dxa"/>
              <w:end w:w="90" w:type="dxa"/>
            </w:tcMar>
          </w:tcPr>
          <w:p>
            <w:r>
              <w:rPr>
                <w:b/>
                <w:color w:val="112B4F"/>
                <w:sz w:val="18"/>
              </w:rPr>
              <w:t>Scheduled break</w:t>
            </w:r>
          </w:p>
        </w:tc>
        <w:tc>
          <w:tcPr>
            <w:tcW w:type="dxa" w:w="5112"/>
            <w:shd w:fill="EEF3F8"/>
            <w:tcMar>
              <w:top w:w="80" w:type="dxa"/>
              <w:start w:w="90" w:type="dxa"/>
              <w:bottom w:w="80" w:type="dxa"/>
              <w:end w:w="90" w:type="dxa"/>
            </w:tcMar>
          </w:tcPr>
          <w:p>
            <w:r>
              <w:rPr>
                <w:sz w:val="18"/>
              </w:rPr>
              <w:t>Optional break of up to 10 minutes after Section 1</w:t>
            </w:r>
          </w:p>
        </w:tc>
      </w:tr>
      <w:tr>
        <w:tc>
          <w:tcPr>
            <w:tcW w:type="dxa" w:w="5112"/>
            <w:tcMar>
              <w:top w:w="80" w:type="dxa"/>
              <w:start w:w="90" w:type="dxa"/>
              <w:bottom w:w="80" w:type="dxa"/>
              <w:end w:w="90" w:type="dxa"/>
            </w:tcMar>
          </w:tcPr>
          <w:p>
            <w:r>
              <w:rPr>
                <w:b/>
                <w:color w:val="112B4F"/>
                <w:sz w:val="18"/>
              </w:rPr>
              <w:t>Option format</w:t>
            </w:r>
          </w:p>
        </w:tc>
        <w:tc>
          <w:tcPr>
            <w:tcW w:type="dxa" w:w="5112"/>
            <w:tcMar>
              <w:top w:w="80" w:type="dxa"/>
              <w:start w:w="90" w:type="dxa"/>
              <w:bottom w:w="80" w:type="dxa"/>
              <w:end w:w="90" w:type="dxa"/>
            </w:tcMar>
          </w:tcPr>
          <w:p>
            <w:r>
              <w:rPr>
                <w:sz w:val="18"/>
              </w:rPr>
              <w:t>A mixture of three- and four-option questions</w:t>
            </w:r>
          </w:p>
        </w:tc>
      </w:tr>
      <w:tr>
        <w:tc>
          <w:tcPr>
            <w:tcW w:type="dxa" w:w="5112"/>
            <w:shd w:fill="EEF3F8"/>
            <w:tcMar>
              <w:top w:w="80" w:type="dxa"/>
              <w:start w:w="90" w:type="dxa"/>
              <w:bottom w:w="80" w:type="dxa"/>
              <w:end w:w="90" w:type="dxa"/>
            </w:tcMar>
          </w:tcPr>
          <w:p>
            <w:r>
              <w:rPr>
                <w:b/>
                <w:color w:val="112B4F"/>
                <w:sz w:val="18"/>
              </w:rPr>
              <w:t>Clinical content weights</w:t>
            </w:r>
          </w:p>
        </w:tc>
        <w:tc>
          <w:tcPr>
            <w:tcW w:type="dxa" w:w="5112"/>
            <w:shd w:fill="EEF3F8"/>
            <w:tcMar>
              <w:top w:w="80" w:type="dxa"/>
              <w:start w:w="90" w:type="dxa"/>
              <w:bottom w:w="80" w:type="dxa"/>
              <w:end w:w="90" w:type="dxa"/>
            </w:tcMar>
          </w:tcPr>
          <w:p>
            <w:r>
              <w:rPr>
                <w:sz w:val="18"/>
              </w:rPr>
              <w:t>Values and Ethics 36%; Assessment and Planning 32%; Intervention and Practice 32%</w:t>
            </w:r>
          </w:p>
        </w:tc>
      </w:tr>
    </w:tbl>
    <w:p>
      <w:pPr>
        <w:pStyle w:val="CTACallout"/>
      </w:pPr>
      <w:r>
        <w:t>The official examination uses multiple forms. Question order is mixed, pretest questions are not identified, and no private preparation company has access to live exam content.</w:t>
      </w:r>
    </w:p>
    <w:p>
      <w:pPr>
        <w:pStyle w:val="Heading1"/>
      </w:pPr>
      <w:r>
        <w:t>2. Exam-Day Sequence</w:t>
      </w:r>
    </w:p>
    <w:p>
      <w:pPr>
        <w:pStyle w:val="ListNumber"/>
      </w:pPr>
      <w:r>
        <w:t>Arrive about 30 minutes before the scheduled appointment. Late arrivals are treated as no-shows.</w:t>
      </w:r>
    </w:p>
    <w:p>
      <w:pPr>
        <w:pStyle w:val="ListNumber"/>
      </w:pPr>
      <w:r>
        <w:t>Present two original forms of identification: one primary and one secondary. First and last names must match the ASWB Authorization to Test.</w:t>
      </w:r>
    </w:p>
    <w:p>
      <w:pPr>
        <w:pStyle w:val="ListNumber"/>
      </w:pPr>
      <w:r>
        <w:t>Complete Pearson check-in procedures, including a photograph, palm scan, Candidate Rules Agreement, and security screening.</w:t>
      </w:r>
    </w:p>
    <w:p>
      <w:pPr>
        <w:pStyle w:val="ListNumber"/>
      </w:pPr>
      <w:r>
        <w:t>Store all unapproved personal items. Keep the primary photo ID available throughout the appointment.</w:t>
      </w:r>
    </w:p>
    <w:p>
      <w:pPr>
        <w:pStyle w:val="ListNumber"/>
      </w:pPr>
      <w:r>
        <w:t>Review the Pearson software tutorial. Tutorial time does not reduce the four-hour examination time.</w:t>
      </w:r>
    </w:p>
    <w:p>
      <w:pPr>
        <w:pStyle w:val="ListNumber"/>
      </w:pPr>
      <w:r>
        <w:t>Complete Section 1: 61 questions in up to two hours. Review and change answers only before submitting that section.</w:t>
      </w:r>
    </w:p>
    <w:p>
      <w:pPr>
        <w:pStyle w:val="ListNumber"/>
      </w:pPr>
      <w:r>
        <w:t>Take the optional scheduled break of up to 10 minutes. The examination clock stops during the scheduled break.</w:t>
      </w:r>
    </w:p>
    <w:p>
      <w:pPr>
        <w:pStyle w:val="ListNumber"/>
      </w:pPr>
      <w:r>
        <w:t>Complete Section 2: 61 questions in up to two hours. Section 1 cannot be reopened.</w:t>
      </w:r>
    </w:p>
    <w:p>
      <w:pPr>
        <w:pStyle w:val="ListNumber"/>
      </w:pPr>
      <w:r>
        <w:t>Complete the exit survey and access the unofficial result through the testing system/ASWBCentral as directed by ASWB.</w:t>
      </w:r>
    </w:p>
    <w:p>
      <w:pPr>
        <w:pStyle w:val="Heading1"/>
      </w:pPr>
      <w:r>
        <w:t>3. Identification and Check-In Controls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12B4F"/>
            <w:tcMar>
              <w:top w:w="80" w:type="dxa"/>
              <w:start w:w="90" w:type="dxa"/>
              <w:bottom w:w="80" w:type="dxa"/>
              <w:end w:w="90" w:type="dxa"/>
            </w:tcMar>
          </w:tcPr>
          <w:p>
            <w:pPr>
              <w:jc w:val="center"/>
            </w:pPr>
            <w:r>
              <w:rPr>
                <w:b/>
                <w:color w:val="FFFFFF"/>
                <w:sz w:val="18"/>
              </w:rPr>
              <w:t>Topic</w:t>
            </w:r>
          </w:p>
        </w:tc>
        <w:tc>
          <w:tcPr>
            <w:tcW w:type="dxa" w:w="3408"/>
            <w:shd w:fill="112B4F"/>
            <w:tcMar>
              <w:top w:w="80" w:type="dxa"/>
              <w:start w:w="90" w:type="dxa"/>
              <w:bottom w:w="80" w:type="dxa"/>
              <w:end w:w="90" w:type="dxa"/>
            </w:tcMar>
          </w:tcPr>
          <w:p>
            <w:pPr>
              <w:jc w:val="center"/>
            </w:pPr>
            <w:r>
              <w:rPr>
                <w:b/>
                <w:color w:val="FFFFFF"/>
                <w:sz w:val="18"/>
              </w:rPr>
              <w:t>Candidate Action</w:t>
            </w:r>
          </w:p>
        </w:tc>
        <w:tc>
          <w:tcPr>
            <w:tcW w:type="dxa" w:w="3408"/>
            <w:shd w:fill="112B4F"/>
            <w:tcMar>
              <w:top w:w="80" w:type="dxa"/>
              <w:start w:w="90" w:type="dxa"/>
              <w:bottom w:w="80" w:type="dxa"/>
              <w:end w:w="90" w:type="dxa"/>
            </w:tcMar>
          </w:tcPr>
          <w:p>
            <w:pPr>
              <w:jc w:val="center"/>
            </w:pPr>
            <w:r>
              <w:rPr>
                <w:b/>
                <w:color w:val="FFFFFF"/>
                <w:sz w:val="18"/>
              </w:rPr>
              <w:t>Risk to Avoid</w:t>
            </w:r>
          </w:p>
        </w:tc>
      </w:tr>
      <w:tr>
        <w:tc>
          <w:tcPr>
            <w:tcW w:type="dxa" w:w="3408"/>
            <w:tcMar>
              <w:top w:w="80" w:type="dxa"/>
              <w:start w:w="90" w:type="dxa"/>
              <w:bottom w:w="80" w:type="dxa"/>
              <w:end w:w="90" w:type="dxa"/>
            </w:tcMar>
          </w:tcPr>
          <w:p>
            <w:r>
              <w:rPr>
                <w:b/>
                <w:color w:val="112B4F"/>
                <w:sz w:val="17"/>
              </w:rPr>
              <w:t>Identification</w:t>
            </w:r>
          </w:p>
        </w:tc>
        <w:tc>
          <w:tcPr>
            <w:tcW w:type="dxa" w:w="3408"/>
            <w:tcMar>
              <w:top w:w="80" w:type="dxa"/>
              <w:start w:w="90" w:type="dxa"/>
              <w:bottom w:w="80" w:type="dxa"/>
              <w:end w:w="90" w:type="dxa"/>
            </w:tcMar>
          </w:tcPr>
          <w:p>
            <w:r>
              <w:rPr>
                <w:sz w:val="17"/>
              </w:rPr>
              <w:t>Bring two original IDs and verify the first and last names match the Authorization to Test.</w:t>
            </w:r>
          </w:p>
        </w:tc>
        <w:tc>
          <w:tcPr>
            <w:tcW w:type="dxa" w:w="3408"/>
            <w:tcMar>
              <w:top w:w="80" w:type="dxa"/>
              <w:start w:w="90" w:type="dxa"/>
              <w:bottom w:w="80" w:type="dxa"/>
              <w:end w:w="90" w:type="dxa"/>
            </w:tcMar>
          </w:tcPr>
          <w:p>
            <w:r>
              <w:rPr>
                <w:sz w:val="17"/>
              </w:rPr>
              <w:t>Testing may be denied and the fee forfeited if identification is not acceptable.</w:t>
            </w:r>
          </w:p>
        </w:tc>
      </w:tr>
      <w:tr>
        <w:tc>
          <w:tcPr>
            <w:tcW w:type="dxa" w:w="3408"/>
            <w:shd w:fill="EEF3F8"/>
            <w:tcMar>
              <w:top w:w="80" w:type="dxa"/>
              <w:start w:w="90" w:type="dxa"/>
              <w:bottom w:w="80" w:type="dxa"/>
              <w:end w:w="90" w:type="dxa"/>
            </w:tcMar>
          </w:tcPr>
          <w:p>
            <w:r>
              <w:rPr>
                <w:b/>
                <w:color w:val="112B4F"/>
                <w:sz w:val="17"/>
              </w:rPr>
              <w:t>Name changes</w:t>
            </w:r>
          </w:p>
        </w:tc>
        <w:tc>
          <w:tcPr>
            <w:tcW w:type="dxa" w:w="3408"/>
            <w:shd w:fill="EEF3F8"/>
            <w:tcMar>
              <w:top w:w="80" w:type="dxa"/>
              <w:start w:w="90" w:type="dxa"/>
              <w:bottom w:w="80" w:type="dxa"/>
              <w:end w:w="90" w:type="dxa"/>
            </w:tcMar>
          </w:tcPr>
          <w:p>
            <w:r>
              <w:rPr>
                <w:sz w:val="17"/>
              </w:rPr>
              <w:t>Follow ASWB/Pearson instructions and bring the required original legal name-change document when applicable.</w:t>
            </w:r>
          </w:p>
        </w:tc>
        <w:tc>
          <w:tcPr>
            <w:tcW w:type="dxa" w:w="3408"/>
            <w:shd w:fill="EEF3F8"/>
            <w:tcMar>
              <w:top w:w="80" w:type="dxa"/>
              <w:start w:w="90" w:type="dxa"/>
              <w:bottom w:w="80" w:type="dxa"/>
              <w:end w:w="90" w:type="dxa"/>
            </w:tcMar>
          </w:tcPr>
          <w:p>
            <w:r>
              <w:rPr>
                <w:sz w:val="17"/>
              </w:rPr>
              <w:t>Do not assume a copy or informal explanation will be accepted.</w:t>
            </w:r>
          </w:p>
        </w:tc>
      </w:tr>
      <w:tr>
        <w:tc>
          <w:tcPr>
            <w:tcW w:type="dxa" w:w="3408"/>
            <w:tcMar>
              <w:top w:w="80" w:type="dxa"/>
              <w:start w:w="90" w:type="dxa"/>
              <w:bottom w:w="80" w:type="dxa"/>
              <w:end w:w="90" w:type="dxa"/>
            </w:tcMar>
          </w:tcPr>
          <w:p>
            <w:r>
              <w:rPr>
                <w:b/>
                <w:color w:val="112B4F"/>
                <w:sz w:val="17"/>
              </w:rPr>
              <w:t>Security screening</w:t>
            </w:r>
          </w:p>
        </w:tc>
        <w:tc>
          <w:tcPr>
            <w:tcW w:type="dxa" w:w="3408"/>
            <w:tcMar>
              <w:top w:w="80" w:type="dxa"/>
              <w:start w:w="90" w:type="dxa"/>
              <w:bottom w:w="80" w:type="dxa"/>
              <w:end w:w="90" w:type="dxa"/>
            </w:tcMar>
          </w:tcPr>
          <w:p>
            <w:r>
              <w:rPr>
                <w:sz w:val="17"/>
              </w:rPr>
              <w:t>Allow the required photograph, palm scan, infrared/metal screening, and inspection procedures.</w:t>
            </w:r>
          </w:p>
        </w:tc>
        <w:tc>
          <w:tcPr>
            <w:tcW w:type="dxa" w:w="3408"/>
            <w:tcMar>
              <w:top w:w="80" w:type="dxa"/>
              <w:start w:w="90" w:type="dxa"/>
              <w:bottom w:w="80" w:type="dxa"/>
              <w:end w:w="90" w:type="dxa"/>
            </w:tcMar>
          </w:tcPr>
          <w:p>
            <w:r>
              <w:rPr>
                <w:sz w:val="17"/>
              </w:rPr>
              <w:t>Refusal may prevent testing unless ASWB approved a medical waiver in advance.</w:t>
            </w:r>
          </w:p>
        </w:tc>
      </w:tr>
      <w:tr>
        <w:tc>
          <w:tcPr>
            <w:tcW w:type="dxa" w:w="3408"/>
            <w:shd w:fill="EEF3F8"/>
            <w:tcMar>
              <w:top w:w="80" w:type="dxa"/>
              <w:start w:w="90" w:type="dxa"/>
              <w:bottom w:w="80" w:type="dxa"/>
              <w:end w:w="90" w:type="dxa"/>
            </w:tcMar>
          </w:tcPr>
          <w:p>
            <w:r>
              <w:rPr>
                <w:b/>
                <w:color w:val="112B4F"/>
                <w:sz w:val="17"/>
              </w:rPr>
              <w:t>Arrival</w:t>
            </w:r>
          </w:p>
        </w:tc>
        <w:tc>
          <w:tcPr>
            <w:tcW w:type="dxa" w:w="3408"/>
            <w:shd w:fill="EEF3F8"/>
            <w:tcMar>
              <w:top w:w="80" w:type="dxa"/>
              <w:start w:w="90" w:type="dxa"/>
              <w:bottom w:w="80" w:type="dxa"/>
              <w:end w:w="90" w:type="dxa"/>
            </w:tcMar>
          </w:tcPr>
          <w:p>
            <w:r>
              <w:rPr>
                <w:sz w:val="17"/>
              </w:rPr>
              <w:t>Locate the test center before exam day and plan for traffic, parking, and check-in.</w:t>
            </w:r>
          </w:p>
        </w:tc>
        <w:tc>
          <w:tcPr>
            <w:tcW w:type="dxa" w:w="3408"/>
            <w:shd w:fill="EEF3F8"/>
            <w:tcMar>
              <w:top w:w="80" w:type="dxa"/>
              <w:start w:w="90" w:type="dxa"/>
              <w:bottom w:w="80" w:type="dxa"/>
              <w:end w:w="90" w:type="dxa"/>
            </w:tcMar>
          </w:tcPr>
          <w:p>
            <w:r>
              <w:rPr>
                <w:sz w:val="17"/>
              </w:rPr>
              <w:t>Late arrival is treated as a no-show.</w:t>
            </w:r>
          </w:p>
        </w:tc>
      </w:tr>
      <w:tr>
        <w:tc>
          <w:tcPr>
            <w:tcW w:type="dxa" w:w="3408"/>
            <w:tcMar>
              <w:top w:w="80" w:type="dxa"/>
              <w:start w:w="90" w:type="dxa"/>
              <w:bottom w:w="80" w:type="dxa"/>
              <w:end w:w="90" w:type="dxa"/>
            </w:tcMar>
          </w:tcPr>
          <w:p>
            <w:r>
              <w:rPr>
                <w:b/>
                <w:color w:val="112B4F"/>
                <w:sz w:val="17"/>
              </w:rPr>
              <w:t>Nonstandard arrangements</w:t>
            </w:r>
          </w:p>
        </w:tc>
        <w:tc>
          <w:tcPr>
            <w:tcW w:type="dxa" w:w="3408"/>
            <w:tcMar>
              <w:top w:w="80" w:type="dxa"/>
              <w:start w:w="90" w:type="dxa"/>
              <w:bottom w:w="80" w:type="dxa"/>
              <w:end w:w="90" w:type="dxa"/>
            </w:tcMar>
          </w:tcPr>
          <w:p>
            <w:r>
              <w:rPr>
                <w:sz w:val="17"/>
              </w:rPr>
              <w:t>Obtain approval before registering and scheduling.</w:t>
            </w:r>
          </w:p>
        </w:tc>
        <w:tc>
          <w:tcPr>
            <w:tcW w:type="dxa" w:w="3408"/>
            <w:tcMar>
              <w:top w:w="80" w:type="dxa"/>
              <w:start w:w="90" w:type="dxa"/>
              <w:bottom w:w="80" w:type="dxa"/>
              <w:end w:w="90" w:type="dxa"/>
            </w:tcMar>
          </w:tcPr>
          <w:p>
            <w:r>
              <w:rPr>
                <w:sz w:val="17"/>
              </w:rPr>
              <w:t>Arrangements cannot simply be added after the appointment is scheduled.</w:t>
            </w:r>
          </w:p>
        </w:tc>
      </w:tr>
    </w:tbl>
    <w:p>
      <w:pPr>
        <w:pStyle w:val="Heading1"/>
      </w:pPr>
      <w:r>
        <w:t>4. Personal Items and Testing-Room Rules</w:t>
      </w:r>
    </w:p>
    <w:p>
      <w:pPr>
        <w:pStyle w:val="ListBullet"/>
      </w:pPr>
      <w:r>
        <w:t>Only approved items, comfort aids, and the primary ID may enter the testing room.</w:t>
      </w:r>
    </w:p>
    <w:p>
      <w:pPr>
        <w:pStyle w:val="ListBullet"/>
      </w:pPr>
      <w:r>
        <w:t>Phones, tablets, watches, bags, wallets, outerwear, wide jewelry, and other unapproved belongings must be stored according to test-center procedures or left outside the center as allowed.</w:t>
      </w:r>
    </w:p>
    <w:p>
      <w:pPr>
        <w:pStyle w:val="ListBullet"/>
      </w:pPr>
      <w:r>
        <w:t>Food and drink may be kept only where the test center permits and consumed in the waiting area, not at the testing station.</w:t>
      </w:r>
    </w:p>
    <w:p>
      <w:pPr>
        <w:pStyle w:val="ListBullet"/>
      </w:pPr>
      <w:r>
        <w:t>No study materials may be consulted at any time during the examination.</w:t>
      </w:r>
    </w:p>
    <w:p>
      <w:pPr>
        <w:pStyle w:val="ListBullet"/>
      </w:pPr>
      <w:r>
        <w:t>Do not write on the erasable note board before the exam begins, and return all supplied materials before leaving.</w:t>
      </w:r>
    </w:p>
    <w:p>
      <w:pPr>
        <w:pStyle w:val="ListBullet"/>
      </w:pPr>
      <w:r>
        <w:t>The testing room and related areas are monitored. Follow all confidentiality and security rules before, during, and after the exam.</w:t>
      </w:r>
    </w:p>
    <w:p>
      <w:pPr>
        <w:pStyle w:val="CTACallout"/>
      </w:pPr>
      <w:r>
        <w:rPr>
          <w:b/>
        </w:rPr>
        <w:t xml:space="preserve">Confidentiality reminder: </w:t>
      </w:r>
      <w:r>
        <w:t>Do not reproduce, store, post, discuss, or share examination questions or answers. CTA uses original practice items and does not solicit recalled exam content.</w:t>
      </w:r>
    </w:p>
    <w:p>
      <w:pPr>
        <w:pStyle w:val="Heading1"/>
      </w:pPr>
      <w:r>
        <w:t>5. Section and Break Rules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12B4F"/>
            <w:tcMar>
              <w:top w:w="80" w:type="dxa"/>
              <w:start w:w="90" w:type="dxa"/>
              <w:bottom w:w="80" w:type="dxa"/>
              <w:end w:w="90" w:type="dxa"/>
            </w:tcMar>
          </w:tcPr>
          <w:p>
            <w:pPr>
              <w:jc w:val="center"/>
            </w:pPr>
            <w:r>
              <w:rPr>
                <w:b/>
                <w:color w:val="FFFFFF"/>
                <w:sz w:val="18"/>
              </w:rPr>
              <w:t>Rule</w:t>
            </w:r>
          </w:p>
        </w:tc>
        <w:tc>
          <w:tcPr>
            <w:tcW w:type="dxa" w:w="5112"/>
            <w:shd w:fill="112B4F"/>
            <w:tcMar>
              <w:top w:w="80" w:type="dxa"/>
              <w:start w:w="90" w:type="dxa"/>
              <w:bottom w:w="80" w:type="dxa"/>
              <w:end w:w="90" w:type="dxa"/>
            </w:tcMar>
          </w:tcPr>
          <w:p>
            <w:pPr>
              <w:jc w:val="center"/>
            </w:pPr>
            <w:r>
              <w:rPr>
                <w:b/>
                <w:color w:val="FFFFFF"/>
                <w:sz w:val="18"/>
              </w:rPr>
              <w:t>How It Works</w:t>
            </w:r>
          </w:p>
        </w:tc>
      </w:tr>
      <w:tr>
        <w:tc>
          <w:tcPr>
            <w:tcW w:type="dxa" w:w="5112"/>
            <w:tcMar>
              <w:top w:w="80" w:type="dxa"/>
              <w:start w:w="90" w:type="dxa"/>
              <w:bottom w:w="80" w:type="dxa"/>
              <w:end w:w="90" w:type="dxa"/>
            </w:tcMar>
          </w:tcPr>
          <w:p>
            <w:r>
              <w:rPr>
                <w:b/>
                <w:color w:val="112B4F"/>
                <w:sz w:val="18"/>
              </w:rPr>
              <w:t>Within a section</w:t>
            </w:r>
          </w:p>
        </w:tc>
        <w:tc>
          <w:tcPr>
            <w:tcW w:type="dxa" w:w="5112"/>
            <w:tcMar>
              <w:top w:w="80" w:type="dxa"/>
              <w:start w:w="90" w:type="dxa"/>
              <w:bottom w:w="80" w:type="dxa"/>
              <w:end w:w="90" w:type="dxa"/>
            </w:tcMar>
          </w:tcPr>
          <w:p>
            <w:r>
              <w:rPr>
                <w:sz w:val="18"/>
              </w:rPr>
              <w:t>You may skip, flag, highlight, strike through, review, and change answers before the section is submitted or time expires.</w:t>
            </w:r>
          </w:p>
        </w:tc>
      </w:tr>
      <w:tr>
        <w:tc>
          <w:tcPr>
            <w:tcW w:type="dxa" w:w="5112"/>
            <w:shd w:fill="EEF3F8"/>
            <w:tcMar>
              <w:top w:w="80" w:type="dxa"/>
              <w:start w:w="90" w:type="dxa"/>
              <w:bottom w:w="80" w:type="dxa"/>
              <w:end w:w="90" w:type="dxa"/>
            </w:tcMar>
          </w:tcPr>
          <w:p>
            <w:r>
              <w:rPr>
                <w:b/>
                <w:color w:val="112B4F"/>
                <w:sz w:val="18"/>
              </w:rPr>
              <w:t>Section time limit</w:t>
            </w:r>
          </w:p>
        </w:tc>
        <w:tc>
          <w:tcPr>
            <w:tcW w:type="dxa" w:w="5112"/>
            <w:shd w:fill="EEF3F8"/>
            <w:tcMar>
              <w:top w:w="80" w:type="dxa"/>
              <w:start w:w="90" w:type="dxa"/>
              <w:bottom w:w="80" w:type="dxa"/>
              <w:end w:w="90" w:type="dxa"/>
            </w:tcMar>
          </w:tcPr>
          <w:p>
            <w:r>
              <w:rPr>
                <w:sz w:val="18"/>
              </w:rPr>
              <w:t>Each 61-question section has its own two-hour limit. When time expires, answers are recorded and the section closes.</w:t>
            </w:r>
          </w:p>
        </w:tc>
      </w:tr>
      <w:tr>
        <w:tc>
          <w:tcPr>
            <w:tcW w:type="dxa" w:w="5112"/>
            <w:tcMar>
              <w:top w:w="80" w:type="dxa"/>
              <w:start w:w="90" w:type="dxa"/>
              <w:bottom w:w="80" w:type="dxa"/>
              <w:end w:w="90" w:type="dxa"/>
            </w:tcMar>
          </w:tcPr>
          <w:p>
            <w:r>
              <w:rPr>
                <w:b/>
                <w:color w:val="112B4F"/>
                <w:sz w:val="18"/>
              </w:rPr>
              <w:t>Submitting early</w:t>
            </w:r>
          </w:p>
        </w:tc>
        <w:tc>
          <w:tcPr>
            <w:tcW w:type="dxa" w:w="5112"/>
            <w:tcMar>
              <w:top w:w="80" w:type="dxa"/>
              <w:start w:w="90" w:type="dxa"/>
              <w:bottom w:w="80" w:type="dxa"/>
              <w:end w:w="90" w:type="dxa"/>
            </w:tcMar>
          </w:tcPr>
          <w:p>
            <w:r>
              <w:rPr>
                <w:sz w:val="18"/>
              </w:rPr>
              <w:t>Once a section is submitted, unused time does not transfer and the section cannot be reopened.</w:t>
            </w:r>
          </w:p>
        </w:tc>
      </w:tr>
      <w:tr>
        <w:tc>
          <w:tcPr>
            <w:tcW w:type="dxa" w:w="5112"/>
            <w:shd w:fill="EEF3F8"/>
            <w:tcMar>
              <w:top w:w="80" w:type="dxa"/>
              <w:start w:w="90" w:type="dxa"/>
              <w:bottom w:w="80" w:type="dxa"/>
              <w:end w:w="90" w:type="dxa"/>
            </w:tcMar>
          </w:tcPr>
          <w:p>
            <w:r>
              <w:rPr>
                <w:b/>
                <w:color w:val="112B4F"/>
                <w:sz w:val="18"/>
              </w:rPr>
              <w:t>Scheduled break</w:t>
            </w:r>
          </w:p>
        </w:tc>
        <w:tc>
          <w:tcPr>
            <w:tcW w:type="dxa" w:w="5112"/>
            <w:shd w:fill="EEF3F8"/>
            <w:tcMar>
              <w:top w:w="80" w:type="dxa"/>
              <w:start w:w="90" w:type="dxa"/>
              <w:bottom w:w="80" w:type="dxa"/>
              <w:end w:w="90" w:type="dxa"/>
            </w:tcMar>
          </w:tcPr>
          <w:p>
            <w:r>
              <w:rPr>
                <w:sz w:val="18"/>
              </w:rPr>
              <w:t>After Section 1, the optional break can last up to 10 minutes and the clock pauses. Returning late reduces Section 2 time.</w:t>
            </w:r>
          </w:p>
        </w:tc>
      </w:tr>
      <w:tr>
        <w:tc>
          <w:tcPr>
            <w:tcW w:type="dxa" w:w="5112"/>
            <w:tcMar>
              <w:top w:w="80" w:type="dxa"/>
              <w:start w:w="90" w:type="dxa"/>
              <w:bottom w:w="80" w:type="dxa"/>
              <w:end w:w="90" w:type="dxa"/>
            </w:tcMar>
          </w:tcPr>
          <w:p>
            <w:r>
              <w:rPr>
                <w:b/>
                <w:color w:val="112B4F"/>
                <w:sz w:val="18"/>
              </w:rPr>
              <w:t>Unscheduled break</w:t>
            </w:r>
          </w:p>
        </w:tc>
        <w:tc>
          <w:tcPr>
            <w:tcW w:type="dxa" w:w="5112"/>
            <w:tcMar>
              <w:top w:w="80" w:type="dxa"/>
              <w:start w:w="90" w:type="dxa"/>
              <w:bottom w:w="80" w:type="dxa"/>
              <w:end w:w="90" w:type="dxa"/>
            </w:tcMar>
          </w:tcPr>
          <w:p>
            <w:r>
              <w:rPr>
                <w:sz w:val="18"/>
              </w:rPr>
              <w:t>A proctor may permit an unscheduled break, but the examination clock continues to run.</w:t>
            </w:r>
          </w:p>
        </w:tc>
      </w:tr>
      <w:tr>
        <w:tc>
          <w:tcPr>
            <w:tcW w:type="dxa" w:w="5112"/>
            <w:shd w:fill="EEF3F8"/>
            <w:tcMar>
              <w:top w:w="80" w:type="dxa"/>
              <w:start w:w="90" w:type="dxa"/>
              <w:bottom w:w="80" w:type="dxa"/>
              <w:end w:w="90" w:type="dxa"/>
            </w:tcMar>
          </w:tcPr>
          <w:p>
            <w:r>
              <w:rPr>
                <w:b/>
                <w:color w:val="112B4F"/>
                <w:sz w:val="18"/>
              </w:rPr>
              <w:t>Leaving the building</w:t>
            </w:r>
          </w:p>
        </w:tc>
        <w:tc>
          <w:tcPr>
            <w:tcW w:type="dxa" w:w="5112"/>
            <w:shd w:fill="EEF3F8"/>
            <w:tcMar>
              <w:top w:w="80" w:type="dxa"/>
              <w:start w:w="90" w:type="dxa"/>
              <w:bottom w:w="80" w:type="dxa"/>
              <w:end w:w="90" w:type="dxa"/>
            </w:tcMar>
          </w:tcPr>
          <w:p>
            <w:r>
              <w:rPr>
                <w:sz w:val="18"/>
              </w:rPr>
              <w:t>Candidates may not leave the building during breaks.</w:t>
            </w:r>
          </w:p>
        </w:tc>
      </w:tr>
    </w:tbl>
    <w:p>
      <w:pPr>
        <w:pStyle w:val="Heading1"/>
      </w:pPr>
      <w:r>
        <w:t>6. How to Take CTA Forms A and B</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12B4F"/>
            <w:tcMar>
              <w:top w:w="80" w:type="dxa"/>
              <w:start w:w="90" w:type="dxa"/>
              <w:bottom w:w="80" w:type="dxa"/>
              <w:end w:w="90" w:type="dxa"/>
            </w:tcMar>
          </w:tcPr>
          <w:p>
            <w:pPr>
              <w:jc w:val="center"/>
            </w:pPr>
            <w:r>
              <w:rPr>
                <w:b/>
                <w:color w:val="FFFFFF"/>
                <w:sz w:val="18"/>
              </w:rPr>
              <w:t>Phase</w:t>
            </w:r>
          </w:p>
        </w:tc>
        <w:tc>
          <w:tcPr>
            <w:tcW w:type="dxa" w:w="3408"/>
            <w:shd w:fill="112B4F"/>
            <w:tcMar>
              <w:top w:w="80" w:type="dxa"/>
              <w:start w:w="90" w:type="dxa"/>
              <w:bottom w:w="80" w:type="dxa"/>
              <w:end w:w="90" w:type="dxa"/>
            </w:tcMar>
          </w:tcPr>
          <w:p>
            <w:pPr>
              <w:jc w:val="center"/>
            </w:pPr>
            <w:r>
              <w:rPr>
                <w:b/>
                <w:color w:val="FFFFFF"/>
                <w:sz w:val="18"/>
              </w:rPr>
              <w:t>CTA Simulation Procedure</w:t>
            </w:r>
          </w:p>
        </w:tc>
        <w:tc>
          <w:tcPr>
            <w:tcW w:type="dxa" w:w="3408"/>
            <w:shd w:fill="112B4F"/>
            <w:tcMar>
              <w:top w:w="80" w:type="dxa"/>
              <w:start w:w="90" w:type="dxa"/>
              <w:bottom w:w="80" w:type="dxa"/>
              <w:end w:w="90" w:type="dxa"/>
            </w:tcMar>
          </w:tcPr>
          <w:p>
            <w:pPr>
              <w:jc w:val="center"/>
            </w:pPr>
            <w:r>
              <w:rPr>
                <w:b/>
                <w:color w:val="FFFFFF"/>
                <w:sz w:val="18"/>
              </w:rPr>
              <w:t>Evidence to Record</w:t>
            </w:r>
          </w:p>
        </w:tc>
      </w:tr>
      <w:tr>
        <w:tc>
          <w:tcPr>
            <w:tcW w:type="dxa" w:w="3408"/>
            <w:tcMar>
              <w:top w:w="80" w:type="dxa"/>
              <w:start w:w="90" w:type="dxa"/>
              <w:bottom w:w="80" w:type="dxa"/>
              <w:end w:w="90" w:type="dxa"/>
            </w:tcMar>
          </w:tcPr>
          <w:p>
            <w:r>
              <w:rPr>
                <w:b/>
                <w:color w:val="112B4F"/>
                <w:sz w:val="17"/>
              </w:rPr>
              <w:t>Before Form A</w:t>
            </w:r>
          </w:p>
        </w:tc>
        <w:tc>
          <w:tcPr>
            <w:tcW w:type="dxa" w:w="3408"/>
            <w:tcMar>
              <w:top w:w="80" w:type="dxa"/>
              <w:start w:w="90" w:type="dxa"/>
              <w:bottom w:w="80" w:type="dxa"/>
              <w:end w:w="90" w:type="dxa"/>
            </w:tcMar>
          </w:tcPr>
          <w:p>
            <w:r>
              <w:rPr>
                <w:sz w:val="17"/>
              </w:rPr>
              <w:t>Complete all 12 workbooks, the matching 17-question banks, rationale review, and readiness gate.</w:t>
            </w:r>
          </w:p>
        </w:tc>
        <w:tc>
          <w:tcPr>
            <w:tcW w:type="dxa" w:w="3408"/>
            <w:tcMar>
              <w:top w:w="80" w:type="dxa"/>
              <w:start w:w="90" w:type="dxa"/>
              <w:bottom w:w="80" w:type="dxa"/>
              <w:end w:w="90" w:type="dxa"/>
            </w:tcMar>
          </w:tcPr>
          <w:p>
            <w:r>
              <w:rPr>
                <w:sz w:val="17"/>
              </w:rPr>
              <w:t>Completion status, error categories, and target domains</w:t>
            </w:r>
          </w:p>
        </w:tc>
      </w:tr>
      <w:tr>
        <w:tc>
          <w:tcPr>
            <w:tcW w:type="dxa" w:w="3408"/>
            <w:shd w:fill="EEF3F8"/>
            <w:tcMar>
              <w:top w:w="80" w:type="dxa"/>
              <w:start w:w="90" w:type="dxa"/>
              <w:bottom w:w="80" w:type="dxa"/>
              <w:end w:w="90" w:type="dxa"/>
            </w:tcMar>
          </w:tcPr>
          <w:p>
            <w:r>
              <w:rPr>
                <w:b/>
                <w:color w:val="112B4F"/>
                <w:sz w:val="17"/>
              </w:rPr>
              <w:t>Form A — Section 1</w:t>
            </w:r>
          </w:p>
        </w:tc>
        <w:tc>
          <w:tcPr>
            <w:tcW w:type="dxa" w:w="3408"/>
            <w:shd w:fill="EEF3F8"/>
            <w:tcMar>
              <w:top w:w="80" w:type="dxa"/>
              <w:start w:w="90" w:type="dxa"/>
              <w:bottom w:w="80" w:type="dxa"/>
              <w:end w:w="90" w:type="dxa"/>
            </w:tcMar>
          </w:tcPr>
          <w:p>
            <w:r>
              <w:rPr>
                <w:sz w:val="17"/>
              </w:rPr>
              <w:t>Use 61 questions and a two-hour limit. Close Section 1 when submitted.</w:t>
            </w:r>
          </w:p>
        </w:tc>
        <w:tc>
          <w:tcPr>
            <w:tcW w:type="dxa" w:w="3408"/>
            <w:shd w:fill="EEF3F8"/>
            <w:tcMar>
              <w:top w:w="80" w:type="dxa"/>
              <w:start w:w="90" w:type="dxa"/>
              <w:bottom w:w="80" w:type="dxa"/>
              <w:end w:w="90" w:type="dxa"/>
            </w:tcMar>
          </w:tcPr>
          <w:p>
            <w:r>
              <w:rPr>
                <w:sz w:val="17"/>
              </w:rPr>
              <w:t>Time checkpoints, flagged items, fatigue signs</w:t>
            </w:r>
          </w:p>
        </w:tc>
      </w:tr>
      <w:tr>
        <w:tc>
          <w:tcPr>
            <w:tcW w:type="dxa" w:w="3408"/>
            <w:tcMar>
              <w:top w:w="80" w:type="dxa"/>
              <w:start w:w="90" w:type="dxa"/>
              <w:bottom w:w="80" w:type="dxa"/>
              <w:end w:w="90" w:type="dxa"/>
            </w:tcMar>
          </w:tcPr>
          <w:p>
            <w:r>
              <w:rPr>
                <w:b/>
                <w:color w:val="112B4F"/>
                <w:sz w:val="17"/>
              </w:rPr>
              <w:t>Scheduled break</w:t>
            </w:r>
          </w:p>
        </w:tc>
        <w:tc>
          <w:tcPr>
            <w:tcW w:type="dxa" w:w="3408"/>
            <w:tcMar>
              <w:top w:w="80" w:type="dxa"/>
              <w:start w:w="90" w:type="dxa"/>
              <w:bottom w:w="80" w:type="dxa"/>
              <w:end w:w="90" w:type="dxa"/>
            </w:tcMar>
          </w:tcPr>
          <w:p>
            <w:r>
              <w:rPr>
                <w:sz w:val="17"/>
              </w:rPr>
              <w:t>Take up to 10 minutes. Stay inside the planned testing environment and do not check notes or answers.</w:t>
            </w:r>
          </w:p>
        </w:tc>
        <w:tc>
          <w:tcPr>
            <w:tcW w:type="dxa" w:w="3408"/>
            <w:tcMar>
              <w:top w:w="80" w:type="dxa"/>
              <w:start w:w="90" w:type="dxa"/>
              <w:bottom w:w="80" w:type="dxa"/>
              <w:end w:w="90" w:type="dxa"/>
            </w:tcMar>
          </w:tcPr>
          <w:p>
            <w:r>
              <w:rPr>
                <w:sz w:val="17"/>
              </w:rPr>
              <w:t>Actual break length and reset routine used</w:t>
            </w:r>
          </w:p>
        </w:tc>
      </w:tr>
      <w:tr>
        <w:tc>
          <w:tcPr>
            <w:tcW w:type="dxa" w:w="3408"/>
            <w:shd w:fill="EEF3F8"/>
            <w:tcMar>
              <w:top w:w="80" w:type="dxa"/>
              <w:start w:w="90" w:type="dxa"/>
              <w:bottom w:w="80" w:type="dxa"/>
              <w:end w:w="90" w:type="dxa"/>
            </w:tcMar>
          </w:tcPr>
          <w:p>
            <w:r>
              <w:rPr>
                <w:b/>
                <w:color w:val="112B4F"/>
                <w:sz w:val="17"/>
              </w:rPr>
              <w:t>Form A — Section 2</w:t>
            </w:r>
          </w:p>
        </w:tc>
        <w:tc>
          <w:tcPr>
            <w:tcW w:type="dxa" w:w="3408"/>
            <w:shd w:fill="EEF3F8"/>
            <w:tcMar>
              <w:top w:w="80" w:type="dxa"/>
              <w:start w:w="90" w:type="dxa"/>
              <w:bottom w:w="80" w:type="dxa"/>
              <w:end w:w="90" w:type="dxa"/>
            </w:tcMar>
          </w:tcPr>
          <w:p>
            <w:r>
              <w:rPr>
                <w:sz w:val="17"/>
              </w:rPr>
              <w:t>Use 61 questions and a two-hour limit. Do not return to Section 1.</w:t>
            </w:r>
          </w:p>
        </w:tc>
        <w:tc>
          <w:tcPr>
            <w:tcW w:type="dxa" w:w="3408"/>
            <w:shd w:fill="EEF3F8"/>
            <w:tcMar>
              <w:top w:w="80" w:type="dxa"/>
              <w:start w:w="90" w:type="dxa"/>
              <w:bottom w:w="80" w:type="dxa"/>
              <w:end w:w="90" w:type="dxa"/>
            </w:tcMar>
          </w:tcPr>
          <w:p>
            <w:r>
              <w:rPr>
                <w:sz w:val="17"/>
              </w:rPr>
              <w:t>Pacing, decision fatigue, and unanswered items</w:t>
            </w:r>
          </w:p>
        </w:tc>
      </w:tr>
      <w:tr>
        <w:tc>
          <w:tcPr>
            <w:tcW w:type="dxa" w:w="3408"/>
            <w:tcMar>
              <w:top w:w="80" w:type="dxa"/>
              <w:start w:w="90" w:type="dxa"/>
              <w:bottom w:w="80" w:type="dxa"/>
              <w:end w:w="90" w:type="dxa"/>
            </w:tcMar>
          </w:tcPr>
          <w:p>
            <w:r>
              <w:rPr>
                <w:b/>
                <w:color w:val="112B4F"/>
                <w:sz w:val="17"/>
              </w:rPr>
              <w:t>After Form A</w:t>
            </w:r>
          </w:p>
        </w:tc>
        <w:tc>
          <w:tcPr>
            <w:tcW w:type="dxa" w:w="3408"/>
            <w:tcMar>
              <w:top w:w="80" w:type="dxa"/>
              <w:start w:w="90" w:type="dxa"/>
              <w:bottom w:w="80" w:type="dxa"/>
              <w:end w:w="90" w:type="dxa"/>
            </w:tcMar>
          </w:tcPr>
          <w:p>
            <w:r>
              <w:rPr>
                <w:sz w:val="17"/>
              </w:rPr>
              <w:t>Submit the full form before opening the controlled answer key and rationales. Complete targeted remediation.</w:t>
            </w:r>
          </w:p>
        </w:tc>
        <w:tc>
          <w:tcPr>
            <w:tcW w:type="dxa" w:w="3408"/>
            <w:tcMar>
              <w:top w:w="80" w:type="dxa"/>
              <w:start w:w="90" w:type="dxa"/>
              <w:bottom w:w="80" w:type="dxa"/>
              <w:end w:w="90" w:type="dxa"/>
            </w:tcMar>
          </w:tcPr>
          <w:p>
            <w:r>
              <w:rPr>
                <w:sz w:val="17"/>
              </w:rPr>
              <w:t>Domain profile, error log, repair plan</w:t>
            </w:r>
          </w:p>
        </w:tc>
      </w:tr>
      <w:tr>
        <w:tc>
          <w:tcPr>
            <w:tcW w:type="dxa" w:w="3408"/>
            <w:shd w:fill="EEF3F8"/>
            <w:tcMar>
              <w:top w:w="80" w:type="dxa"/>
              <w:start w:w="90" w:type="dxa"/>
              <w:bottom w:w="80" w:type="dxa"/>
              <w:end w:w="90" w:type="dxa"/>
            </w:tcMar>
          </w:tcPr>
          <w:p>
            <w:r>
              <w:rPr>
                <w:b/>
                <w:color w:val="112B4F"/>
                <w:sz w:val="17"/>
              </w:rPr>
              <w:t>Form B</w:t>
            </w:r>
          </w:p>
        </w:tc>
        <w:tc>
          <w:tcPr>
            <w:tcW w:type="dxa" w:w="3408"/>
            <w:shd w:fill="EEF3F8"/>
            <w:tcMar>
              <w:top w:w="80" w:type="dxa"/>
              <w:start w:w="90" w:type="dxa"/>
              <w:bottom w:w="80" w:type="dxa"/>
              <w:end w:w="90" w:type="dxa"/>
            </w:tcMar>
          </w:tcPr>
          <w:p>
            <w:r>
              <w:rPr>
                <w:sz w:val="17"/>
              </w:rPr>
              <w:t>Repeat the exact two-section procedure only after Form A remediation is complete.</w:t>
            </w:r>
          </w:p>
        </w:tc>
        <w:tc>
          <w:tcPr>
            <w:tcW w:type="dxa" w:w="3408"/>
            <w:shd w:fill="EEF3F8"/>
            <w:tcMar>
              <w:top w:w="80" w:type="dxa"/>
              <w:start w:w="90" w:type="dxa"/>
              <w:bottom w:w="80" w:type="dxa"/>
              <w:end w:w="90" w:type="dxa"/>
            </w:tcMar>
          </w:tcPr>
          <w:p>
            <w:r>
              <w:rPr>
                <w:sz w:val="17"/>
              </w:rPr>
              <w:t>Final readiness decision and exam-week plan</w:t>
            </w:r>
          </w:p>
        </w:tc>
      </w:tr>
    </w:tbl>
    <w:p>
      <w:pPr>
        <w:pStyle w:val="CTACallout"/>
      </w:pPr>
      <w:r>
        <w:rPr>
          <w:b/>
        </w:rPr>
        <w:t xml:space="preserve">No official-score claim: </w:t>
      </w:r>
      <w:r>
        <w:t>CTA practice scores do not reproduce ASWB equating, establish a guaranteed passing score, or determine examination eligibility.</w:t>
      </w:r>
    </w:p>
    <w:p>
      <w:pPr>
        <w:pStyle w:val="Heading1"/>
      </w:pPr>
      <w:r>
        <w:t>7. Pacing and Answer Review</w:t>
      </w:r>
    </w:p>
    <w:p>
      <w:pPr>
        <w:pStyle w:val="ListBullet"/>
      </w:pPr>
      <w:r>
        <w:t>Use two hours for each 61-question section—about two minutes per item on average, with more time available for reasoning items because recall items may be faster.</w:t>
      </w:r>
    </w:p>
    <w:p>
      <w:pPr>
        <w:pStyle w:val="ListBullet"/>
      </w:pPr>
      <w:r>
        <w:t>Make a first pass through the section, answer clear items, and flag only the questions that may benefit from later review.</w:t>
      </w:r>
    </w:p>
    <w:p>
      <w:pPr>
        <w:pStyle w:val="ListBullet"/>
      </w:pPr>
      <w:r>
        <w:t>Read the qualifier and the words after it: FIRST what? BEST for which purpose? NEXT after which action?</w:t>
      </w:r>
    </w:p>
    <w:p>
      <w:pPr>
        <w:pStyle w:val="ListBullet"/>
      </w:pPr>
      <w:r>
        <w:t>Do not add facts that are not in the stem. Use the stated role, timing, risk, client preference, and system context.</w:t>
      </w:r>
    </w:p>
    <w:p>
      <w:pPr>
        <w:pStyle w:val="ListBullet"/>
      </w:pPr>
      <w:r>
        <w:t>Answer every question. ASWB does not deduct an additional penalty for an incorrect response.</w:t>
      </w:r>
    </w:p>
    <w:p>
      <w:pPr>
        <w:pStyle w:val="ListBullet"/>
      </w:pPr>
      <w:r>
        <w:t>Change an answer when you can identify a specific missed fact, task word, or comparison—not only because anxiety increased.</w:t>
      </w:r>
    </w:p>
    <w:p>
      <w:pPr>
        <w:pStyle w:val="Heading1"/>
      </w:pPr>
      <w:r>
        <w:t>8. Final Candidate Checklist</w:t>
      </w:r>
    </w:p>
    <w:p>
      <w:r>
        <w:rPr>
          <w:b/>
        </w:rPr>
        <w:t xml:space="preserve">☐ </w:t>
      </w:r>
      <w:r>
        <w:t>I verified the current ASWB guidebook and my jurisdiction’s eligibility requirements.</w:t>
      </w:r>
    </w:p>
    <w:p>
      <w:r>
        <w:rPr>
          <w:b/>
        </w:rPr>
        <w:t xml:space="preserve">☐ </w:t>
      </w:r>
      <w:r>
        <w:t>My name and identification match the Authorization to Test.</w:t>
      </w:r>
    </w:p>
    <w:p>
      <w:r>
        <w:rPr>
          <w:b/>
        </w:rPr>
        <w:t xml:space="preserve">☐ </w:t>
      </w:r>
      <w:r>
        <w:t>Any nonstandard testing arrangement was approved before scheduling.</w:t>
      </w:r>
    </w:p>
    <w:p>
      <w:r>
        <w:rPr>
          <w:b/>
        </w:rPr>
        <w:t xml:space="preserve">☐ </w:t>
      </w:r>
      <w:r>
        <w:t>I know the test-center location, arrival time, and transportation plan.</w:t>
      </w:r>
    </w:p>
    <w:p>
      <w:r>
        <w:rPr>
          <w:b/>
        </w:rPr>
        <w:t xml:space="preserve">☐ </w:t>
      </w:r>
      <w:r>
        <w:t>I know which personal items must remain outside the testing room.</w:t>
      </w:r>
    </w:p>
    <w:p>
      <w:r>
        <w:rPr>
          <w:b/>
        </w:rPr>
        <w:t xml:space="preserve">☐ </w:t>
      </w:r>
      <w:r>
        <w:t>I practiced two separate 61-question sections and an optional 10-minute scheduled break.</w:t>
      </w:r>
    </w:p>
    <w:p>
      <w:r>
        <w:rPr>
          <w:b/>
        </w:rPr>
        <w:t xml:space="preserve">☐ </w:t>
      </w:r>
      <w:r>
        <w:t>I practiced without notes, answer keys, or outside references.</w:t>
      </w:r>
    </w:p>
    <w:p>
      <w:r>
        <w:rPr>
          <w:b/>
        </w:rPr>
        <w:t xml:space="preserve">☐ </w:t>
      </w:r>
      <w:r>
        <w:t>I can use a reset routine without abandoning pacing.</w:t>
      </w:r>
    </w:p>
    <w:p>
      <w:r>
        <w:rPr>
          <w:b/>
        </w:rPr>
        <w:t xml:space="preserve">☐ </w:t>
      </w:r>
      <w:r>
        <w:t>I understand that CTA is independent and does not guarantee passage.</w:t>
      </w:r>
    </w:p>
    <w:p>
      <w:pPr>
        <w:pStyle w:val="Heading2"/>
      </w:pPr>
      <w:r>
        <w:t>Source and Currency Notice</w:t>
      </w:r>
    </w:p>
    <w:p>
      <w:r>
        <w:t>Primary source: Association of Social Work Boards, ASWB Examination Guidebook, August 2026 edition, applicable to examinations administered beginning August 3, 2026. ASWB may revise candidate guidance. Recheck the current official guidebook, Authorization to Test, Pearson confirmation, and jurisdiction instructions before the actual appointment.</w:t>
      </w:r>
    </w:p>
    <w:p>
      <w:r>
        <w:t>This CTA guide is an educational summary. It does not replace ASWB, Pearson, or licensing-board instructions and does not provide legal advice or an official examination determination.</w:t>
      </w:r>
    </w:p>
    <w:sectPr w:rsidR="00FC693F" w:rsidRPr="0006063C" w:rsidSect="00034616">
      <w:headerReference w:type="default" r:id="rId9"/>
      <w:footerReference w:type="default" r:id="rId10"/>
      <w:pgSz w:w="12240" w:h="15840"/>
      <w:pgMar w:top="864"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CTA LCSW ASWB Clinical Exam-Day and Simulation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9C98"/>
        <w:sz w:val="16"/>
      </w:rPr>
      <w:t>CTA LCSW ASWB Clinical Exam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12B4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69C98"/>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12B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2B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169C98"/>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80"/>
    </w:pPr>
    <w:rPr>
      <w:rFonts w:ascii="Aptos" w:hAnsi="Aptos"/>
      <w:b/>
      <w:color w:val="169C98"/>
      <w:sz w:val="18"/>
    </w:rPr>
  </w:style>
  <w:style w:type="paragraph" w:customStyle="1" w:styleId="CTACallout">
    <w:name w:val="CTA Callout"/>
    <w:pPr>
      <w:spacing w:after="80"/>
      <w:ind w:left="173" w:right="173"/>
    </w:pPr>
    <w:rPr>
      <w:rFonts w:ascii="Aptos" w:hAnsi="Aptos"/>
      <w:color w:val="112B4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ASWB August 2026 Exam-Day and Simulation Guide</dc:title>
  <dc:subject>ASWB structure, test-center procedures, section rules, and CTA simulation protocol</dc:subject>
  <dc:creator>Clinical Training and Supervision Academy</dc:creator>
  <cp:keywords>CTA, LCSW, ASWB Clinical, exam preparation, August 2026</cp:keywords>
  <dc:description>Initial release package prepared for website and LMS implementation.</dc:description>
  <cp:lastModifiedBy>Clinical Training and Supervision Academy</cp:lastModifiedBy>
  <cp:revision>1</cp:revision>
  <dcterms:created xsi:type="dcterms:W3CDTF">2013-12-23T23:15:00Z</dcterms:created>
  <dcterms:modified xsi:type="dcterms:W3CDTF">2013-12-23T23:15:00Z</dcterms:modified>
  <cp:category/>
</cp:coreProperties>
</file>