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drawing>
          <wp:inline xmlns:a="http://schemas.openxmlformats.org/drawingml/2006/main" xmlns:pic="http://schemas.openxmlformats.org/drawingml/2006/picture">
            <wp:extent cx="4937760" cy="1641472"/>
            <wp:docPr id="1" name="Picture 1" descr="Image: image1.jpg"/>
            <wp:cNvGraphicFramePr>
              <a:graphicFrameLocks noChangeAspect="1"/>
            </wp:cNvGraphicFramePr>
            <a:graphic>
              <a:graphicData uri="http://schemas.openxmlformats.org/drawingml/2006/picture">
                <pic:pic>
                  <pic:nvPicPr>
                    <pic:cNvPr id="0" name="Primary Logo (Final).jpg"/>
                    <pic:cNvPicPr/>
                  </pic:nvPicPr>
                  <pic:blipFill>
                    <a:blip r:embed="rId11"/>
                    <a:stretch>
                      <a:fillRect/>
                    </a:stretch>
                  </pic:blipFill>
                  <pic:spPr>
                    <a:xfrm>
                      <a:off x="0" y="0"/>
                      <a:ext cx="4937760" cy="1641472"/>
                    </a:xfrm>
                    <a:prstGeom prst="rect"/>
                  </pic:spPr>
                </pic:pic>
              </a:graphicData>
            </a:graphic>
          </wp:inline>
        </w:drawing>
      </w:r>
    </w:p>
    <w:p>
      <w:pPr>
        <w:spacing w:after="320"/>
        <w:jc w:val="center"/>
      </w:pPr>
      <w:r>
        <w:rPr>
          <w:rFonts w:ascii="Montserrat" w:hAnsi="Montserrat" w:eastAsia="Montserrat"/>
          <w:b/>
          <w:color w:val="1B9E9A"/>
          <w:sz w:val="22"/>
        </w:rPr>
        <w:t>DAVID WEBSITE RELEASE PACKAGE</w:t>
      </w:r>
    </w:p>
    <w:p>
      <w:pPr>
        <w:spacing w:after="200"/>
        <w:jc w:val="center"/>
      </w:pPr>
      <w:r>
        <w:rPr>
          <w:rFonts w:ascii="Montserrat" w:hAnsi="Montserrat" w:eastAsia="Montserrat"/>
          <w:b/>
          <w:color w:val="14294B"/>
          <w:sz w:val="48"/>
        </w:rPr>
        <w:t>CTA LCSW ASWB Clinical Exam Preparation Program</w:t>
      </w:r>
    </w:p>
    <w:p>
      <w:pPr>
        <w:spacing w:after="360"/>
        <w:jc w:val="center"/>
      </w:pPr>
      <w:r>
        <w:rPr>
          <w:rFonts w:ascii="Montserrat" w:hAnsi="Montserrat" w:eastAsia="Montserrat"/>
          <w:color w:val="1B9E9A"/>
          <w:sz w:val="26"/>
        </w:rPr>
        <w:t>For ASWs, LCSW candidates, and other eligible ASWB Clinical examinees</w:t>
      </w:r>
    </w:p>
    <w:tbl>
      <w:tblPr>
        <w:tblW w:type="auto" w:w="0"/>
        <w:jc w:val="center"/>
        <w:tblLook w:firstColumn="1" w:firstRow="1" w:lastColumn="0" w:lastRow="0" w:noHBand="0" w:noVBand="1" w:val="04A0"/>
      </w:tblPr>
      <w:tblGrid>
        <w:gridCol w:w="10224"/>
      </w:tblGrid>
      <w:tr>
        <w:tc>
          <w:tcPr>
            <w:tcW w:type="dxa" w:w="10224"/>
            <w:shd w:fill="E9F7F6"/>
            <w:tcMar>
              <w:top w:w="130" w:type="dxa"/>
              <w:start w:w="100" w:type="dxa"/>
              <w:bottom w:w="130" w:type="dxa"/>
              <w:end w:w="100" w:type="dxa"/>
            </w:tcMar>
          </w:tcPr>
          <w:p>
            <w:pPr>
              <w:jc w:val="center"/>
            </w:pPr>
            <w:r>
              <w:rPr>
                <w:rFonts w:ascii="Montserrat" w:hAnsi="Montserrat" w:eastAsia="Montserrat"/>
                <w:b/>
                <w:color w:val="14294B"/>
                <w:sz w:val="19"/>
              </w:rPr>
              <w:t>WEBSITE COPY • PRODUCT CONFIGURATION • RELEASE CONTROLS</w:t>
            </w:r>
          </w:p>
        </w:tc>
        <w:trPr>
          <w:tblHeader/>
        </w:trPr>
      </w:tr>
      <w:tr>
        <w:tc>
          <w:tcPr>
            <w:tcW w:type="dxa" w:w="10224"/>
            <w:shd w:fill="F3F4F6"/>
            <w:tcMar>
              <w:top w:w="130" w:type="dxa"/>
              <w:start w:w="100" w:type="dxa"/>
              <w:bottom w:w="130" w:type="dxa"/>
              <w:end w:w="100" w:type="dxa"/>
            </w:tcMar>
          </w:tcPr>
          <w:p>
            <w:pPr>
              <w:jc w:val="center"/>
            </w:pPr>
            <w:r>
              <w:rPr>
                <w:rFonts w:ascii="Montserrat" w:hAnsi="Montserrat" w:eastAsia="Montserrat"/>
                <w:b w:val="0"/>
                <w:color w:val="14294B"/>
                <w:sz w:val="19"/>
              </w:rPr>
              <w:t>Version 1.0 • August 3, 2026</w:t>
            </w:r>
          </w:p>
        </w:tc>
      </w:tr>
      <w:tr>
        <w:tc>
          <w:tcPr>
            <w:tcW w:type="dxa" w:w="10224"/>
            <w:shd w:fill="E9F7F6"/>
            <w:tcMar>
              <w:top w:w="130" w:type="dxa"/>
              <w:start w:w="100" w:type="dxa"/>
              <w:bottom w:w="130" w:type="dxa"/>
              <w:end w:w="100" w:type="dxa"/>
            </w:tcMar>
          </w:tcPr>
          <w:p>
            <w:pPr>
              <w:jc w:val="center"/>
            </w:pPr>
            <w:r>
              <w:rPr>
                <w:rFonts w:ascii="Montserrat" w:hAnsi="Montserrat" w:eastAsia="Montserrat"/>
                <w:b/>
                <w:color w:val="14294B"/>
                <w:sz w:val="19"/>
              </w:rPr>
              <w:t>INTERNAL WEBSITE AND LMS IMPLEMENTATION RESOURCE</w:t>
            </w:r>
          </w:p>
        </w:tc>
      </w:tr>
    </w:tbl>
    <w:p>
      <w:pPr>
        <w:spacing w:before="400"/>
        <w:jc w:val="center"/>
      </w:pPr>
      <w:r>
        <w:rPr>
          <w:rFonts w:ascii="Montserrat" w:hAnsi="Montserrat" w:eastAsia="Montserrat"/>
          <w:i/>
          <w:color w:val="6B7280"/>
          <w:sz w:val="22"/>
        </w:rPr>
        <w:t>Teaching Clinicians How to Think.</w:t>
      </w:r>
    </w:p>
    <w:p>
      <w:r>
        <w:br w:type="page"/>
      </w:r>
    </w:p>
    <w:p>
      <w:pPr>
        <w:pStyle w:val="CTALabel"/>
      </w:pPr>
      <w:r>
        <w:t>CONTENTS</w:t>
      </w:r>
    </w:p>
    <w:p>
      <w:pPr>
        <w:spacing w:after="40"/>
        <w:ind w:left="288"/>
      </w:pPr>
      <w:r>
        <w:rPr>
          <w:rFonts w:ascii="Montserrat" w:hAnsi="Montserrat" w:eastAsia="Montserrat"/>
          <w:color w:val="1F2937"/>
          <w:sz w:val="21"/>
        </w:rPr>
        <w:t>1. Release Decision and Program Identity</w:t>
      </w:r>
    </w:p>
    <w:p>
      <w:pPr>
        <w:spacing w:after="40"/>
        <w:ind w:left="288"/>
      </w:pPr>
      <w:r>
        <w:rPr>
          <w:rFonts w:ascii="Montserrat" w:hAnsi="Montserrat" w:eastAsia="Montserrat"/>
          <w:color w:val="1F2937"/>
          <w:sz w:val="21"/>
        </w:rPr>
        <w:t>2. Current Examination Structure</w:t>
      </w:r>
    </w:p>
    <w:p>
      <w:pPr>
        <w:spacing w:after="40"/>
        <w:ind w:left="288"/>
      </w:pPr>
      <w:r>
        <w:rPr>
          <w:rFonts w:ascii="Montserrat" w:hAnsi="Montserrat" w:eastAsia="Montserrat"/>
          <w:color w:val="1F2937"/>
          <w:sz w:val="21"/>
        </w:rPr>
        <w:t>3. Program Architecture</w:t>
      </w:r>
    </w:p>
    <w:p>
      <w:pPr>
        <w:spacing w:after="40"/>
        <w:ind w:left="288"/>
      </w:pPr>
      <w:r>
        <w:rPr>
          <w:rFonts w:ascii="Montserrat" w:hAnsi="Montserrat" w:eastAsia="Montserrat"/>
          <w:color w:val="1F2937"/>
          <w:sz w:val="21"/>
        </w:rPr>
        <w:t>4. Website Sales-Page Copy</w:t>
      </w:r>
    </w:p>
    <w:p>
      <w:pPr>
        <w:spacing w:after="40"/>
        <w:ind w:left="288"/>
      </w:pPr>
      <w:r>
        <w:rPr>
          <w:rFonts w:ascii="Montserrat" w:hAnsi="Montserrat" w:eastAsia="Montserrat"/>
          <w:color w:val="1F2937"/>
          <w:sz w:val="21"/>
        </w:rPr>
        <w:t>5. How the Program Works</w:t>
      </w:r>
    </w:p>
    <w:p>
      <w:pPr>
        <w:spacing w:after="40"/>
        <w:ind w:left="288"/>
      </w:pPr>
      <w:r>
        <w:rPr>
          <w:rFonts w:ascii="Montserrat" w:hAnsi="Montserrat" w:eastAsia="Montserrat"/>
          <w:color w:val="1F2937"/>
          <w:sz w:val="21"/>
        </w:rPr>
        <w:t>6. Website Product Configuration</w:t>
      </w:r>
    </w:p>
    <w:p>
      <w:pPr>
        <w:spacing w:after="40"/>
        <w:ind w:left="288"/>
      </w:pPr>
      <w:r>
        <w:rPr>
          <w:rFonts w:ascii="Montserrat" w:hAnsi="Montserrat" w:eastAsia="Montserrat"/>
          <w:color w:val="1F2937"/>
          <w:sz w:val="21"/>
        </w:rPr>
        <w:t>7. David Implementation Instructions</w:t>
      </w:r>
    </w:p>
    <w:p>
      <w:pPr>
        <w:spacing w:after="40"/>
        <w:ind w:left="288"/>
      </w:pPr>
      <w:r>
        <w:rPr>
          <w:rFonts w:ascii="Montserrat" w:hAnsi="Montserrat" w:eastAsia="Montserrat"/>
          <w:color w:val="1F2937"/>
          <w:sz w:val="21"/>
        </w:rPr>
        <w:t>8. Release Inventory and File Controls</w:t>
      </w:r>
    </w:p>
    <w:p>
      <w:pPr>
        <w:spacing w:after="40"/>
        <w:ind w:left="288"/>
      </w:pPr>
      <w:r>
        <w:rPr>
          <w:rFonts w:ascii="Montserrat" w:hAnsi="Montserrat" w:eastAsia="Montserrat"/>
          <w:color w:val="1F2937"/>
          <w:sz w:val="21"/>
        </w:rPr>
        <w:t>9. Same-Day Launch Checklist</w:t>
      </w:r>
    </w:p>
    <w:p>
      <w:pPr>
        <w:spacing w:after="40"/>
        <w:ind w:left="288"/>
      </w:pPr>
      <w:r>
        <w:rPr>
          <w:rFonts w:ascii="Montserrat" w:hAnsi="Montserrat" w:eastAsia="Montserrat"/>
          <w:color w:val="1F2937"/>
          <w:sz w:val="21"/>
        </w:rPr>
        <w:t>10. Source Basis and Currency Control</w:t>
      </w:r>
    </w:p>
    <w:tbl>
      <w:tblPr>
        <w:tblW w:type="auto" w:w="0"/>
        <w:jc w:val="center"/>
        <w:tblLook w:firstColumn="1" w:firstRow="1" w:lastColumn="0" w:lastRow="0" w:noHBand="0" w:noVBand="1" w:val="04A0"/>
      </w:tblPr>
      <w:tblGrid>
        <w:gridCol w:w="10224"/>
      </w:tblGrid>
      <w:tr>
        <w:trPr>
          <w:cantSplit/>
          <w:tblHeader/>
        </w:trPr>
        <w:tc>
          <w:tcPr>
            <w:tcW w:type="dxa" w:w="10224"/>
            <w:shd w:fill="DFF4E5"/>
            <w:tcMar>
              <w:top w:w="130" w:type="dxa"/>
              <w:start w:w="160" w:type="dxa"/>
              <w:bottom w:w="130" w:type="dxa"/>
              <w:end w:w="160" w:type="dxa"/>
            </w:tcMar>
            <w:tcBorders>
              <w:left w:val="single" w:sz="20" w:color="2E7D32"/>
            </w:tcBorders>
          </w:tcPr>
          <w:p>
            <w:r>
              <w:rPr>
                <w:rFonts w:ascii="Montserrat" w:hAnsi="Montserrat" w:eastAsia="Montserrat"/>
                <w:b/>
                <w:color w:val="14294B"/>
                <w:sz w:val="20"/>
              </w:rPr>
              <w:t>CONTROLLING RELEASE STATUS</w:t>
              <w:br/>
            </w:r>
            <w:r>
              <w:rPr>
                <w:rFonts w:ascii="Montserrat" w:hAnsi="Montserrat" w:eastAsia="Montserrat"/>
                <w:color w:val="1F2937"/>
                <w:sz w:val="20"/>
              </w:rPr>
              <w:t>The July 25, 2026 Master Program Index and Final Release Audit controls release status. The July 23 master QC report is retained as a historical remediation record and should not be used to place either program back on hold after the later final audit documented zero blocking file-integrity defects.</w:t>
            </w:r>
          </w:p>
        </w:tc>
      </w:tr>
    </w:tbl>
    <w:p>
      <w:pPr>
        <w:spacing w:after="0"/>
      </w:pPr>
    </w:p>
    <w:p>
      <w:r>
        <w:br w:type="page"/>
      </w:r>
    </w:p>
    <w:p>
      <w:pPr>
        <w:pStyle w:val="Heading1"/>
      </w:pPr>
      <w:r>
        <w:t>Release Decision and Program Identity</w:t>
      </w:r>
    </w:p>
    <w:tbl>
      <w:tblPr>
        <w:tblW w:type="auto" w:w="0"/>
        <w:jc w:val="center"/>
        <w:tblLook w:firstColumn="1" w:firstRow="1" w:lastColumn="0" w:lastRow="0" w:noHBand="0" w:noVBand="1" w:val="04A0"/>
      </w:tblPr>
      <w:tblGrid>
        <w:gridCol w:w="10224"/>
      </w:tblGrid>
      <w:tr>
        <w:trPr>
          <w:cantSplit/>
          <w:tblHeader/>
        </w:trPr>
        <w:tc>
          <w:tcPr>
            <w:tcW w:type="dxa" w:w="10224"/>
            <w:shd w:fill="DFF4E5"/>
            <w:tcMar>
              <w:top w:w="130" w:type="dxa"/>
              <w:start w:w="160" w:type="dxa"/>
              <w:bottom w:w="130" w:type="dxa"/>
              <w:end w:w="160" w:type="dxa"/>
            </w:tcMar>
            <w:tcBorders>
              <w:left w:val="single" w:sz="20" w:color="2E7D32"/>
            </w:tcBorders>
          </w:tcPr>
          <w:p>
            <w:r>
              <w:rPr>
                <w:rFonts w:ascii="Montserrat" w:hAnsi="Montserrat" w:eastAsia="Montserrat"/>
                <w:b/>
                <w:color w:val="14294B"/>
                <w:sz w:val="20"/>
              </w:rPr>
              <w:t>RELEASE STATUS</w:t>
              <w:br/>
            </w:r>
            <w:r>
              <w:rPr>
                <w:rFonts w:ascii="Montserrat" w:hAnsi="Montserrat" w:eastAsia="Montserrat"/>
                <w:color w:val="1F2937"/>
                <w:sz w:val="20"/>
              </w:rPr>
              <w:t>WEBSITE-READY • CORE CURRICULUM PACKAGE COMPLETE • ZERO BLOCKING FILE-INTEGRITY DEFECTS</w:t>
            </w:r>
          </w:p>
        </w:tc>
      </w:tr>
    </w:tbl>
    <w:p>
      <w:pPr>
        <w:spacing w:after="0"/>
      </w:pPr>
    </w:p>
    <w:tbl>
      <w:tblPr>
        <w:tblW w:type="auto" w:w="0"/>
        <w:jc w:val="center"/>
        <w:tblLayout w:type="fixed"/>
        <w:tblLook w:firstColumn="1" w:firstRow="1" w:lastColumn="0" w:lastRow="0" w:noHBand="0" w:noVBand="1" w:val="04A0"/>
      </w:tblPr>
      <w:tblGrid>
        <w:gridCol w:w="3024"/>
        <w:gridCol w:w="6912"/>
      </w:tblGrid>
      <w:tr>
        <w:tc>
          <w:tcPr>
            <w:tcW w:type="dxa" w:w="5112"/>
            <w:shd w:fill="F3F4F6"/>
            <w:tcMar>
              <w:top w:w="80" w:type="dxa"/>
              <w:start w:w="100" w:type="dxa"/>
              <w:bottom w:w="80" w:type="dxa"/>
              <w:end w:w="100" w:type="dxa"/>
            </w:tcMar>
            <w:vAlign w:val="center"/>
          </w:tcPr>
          <w:p>
            <w:r>
              <w:rPr>
                <w:rFonts w:ascii="Montserrat" w:hAnsi="Montserrat" w:eastAsia="Montserrat"/>
                <w:b/>
                <w:color w:val="14294B"/>
                <w:sz w:val="20"/>
              </w:rPr>
              <w:t>Program type</w:t>
            </w:r>
          </w:p>
        </w:tc>
        <w:tc>
          <w:tcPr>
            <w:tcW w:type="dxa" w:w="5112"/>
            <w:tcMar>
              <w:top w:w="80" w:type="dxa"/>
              <w:start w:w="100" w:type="dxa"/>
              <w:bottom w:w="80" w:type="dxa"/>
              <w:end w:w="100" w:type="dxa"/>
            </w:tcMar>
            <w:vAlign w:val="center"/>
          </w:tcPr>
          <w:p>
            <w:r>
              <w:rPr>
                <w:rFonts w:ascii="Montserrat" w:hAnsi="Montserrat" w:eastAsia="Montserrat"/>
                <w:color w:val="1F2937"/>
                <w:sz w:val="20"/>
              </w:rPr>
              <w:t>Exam Preparation Program</w:t>
            </w:r>
            <w:r>
              <w:rPr>
                <w:rFonts w:ascii="Montserrat" w:hAnsi="Montserrat" w:eastAsia="Montserrat"/>
                <w:i/>
                <w:color w:val="6B7280"/>
                <w:sz w:val="17"/>
              </w:rPr>
              <w:br/>
              <w:t>Standalone profession-specific ASWB Clinical examination product.</w:t>
            </w:r>
          </w:p>
        </w:tc>
        <w:trPr>
          <w:tblHeader/>
        </w:trPr>
      </w:tr>
    </w:tbl>
    <w:p>
      <w:pPr>
        <w:spacing w:after="0"/>
      </w:pPr>
    </w:p>
    <w:tbl>
      <w:tblPr>
        <w:tblW w:type="auto" w:w="0"/>
        <w:jc w:val="center"/>
        <w:tblLayout w:type="fixed"/>
        <w:tblLook w:firstColumn="1" w:firstRow="1" w:lastColumn="0" w:lastRow="0" w:noHBand="0" w:noVBand="1" w:val="04A0"/>
      </w:tblPr>
      <w:tblGrid>
        <w:gridCol w:w="3024"/>
        <w:gridCol w:w="6912"/>
      </w:tblGrid>
      <w:tr>
        <w:tc>
          <w:tcPr>
            <w:tcW w:type="dxa" w:w="5112"/>
            <w:shd w:fill="F3F4F6"/>
            <w:tcMar>
              <w:top w:w="80" w:type="dxa"/>
              <w:start w:w="100" w:type="dxa"/>
              <w:bottom w:w="80" w:type="dxa"/>
              <w:end w:w="100" w:type="dxa"/>
            </w:tcMar>
            <w:vAlign w:val="center"/>
          </w:tcPr>
          <w:p>
            <w:r>
              <w:rPr>
                <w:rFonts w:ascii="Montserrat" w:hAnsi="Montserrat" w:eastAsia="Montserrat"/>
                <w:b/>
                <w:color w:val="14294B"/>
                <w:sz w:val="20"/>
              </w:rPr>
              <w:t>Examination</w:t>
            </w:r>
          </w:p>
        </w:tc>
        <w:tc>
          <w:tcPr>
            <w:tcW w:type="dxa" w:w="5112"/>
            <w:tcMar>
              <w:top w:w="80" w:type="dxa"/>
              <w:start w:w="100" w:type="dxa"/>
              <w:bottom w:w="80" w:type="dxa"/>
              <w:end w:w="100" w:type="dxa"/>
            </w:tcMar>
            <w:vAlign w:val="center"/>
          </w:tcPr>
          <w:p>
            <w:r>
              <w:rPr>
                <w:rFonts w:ascii="Montserrat" w:hAnsi="Montserrat" w:eastAsia="Montserrat"/>
                <w:color w:val="1F2937"/>
                <w:sz w:val="20"/>
              </w:rPr>
              <w:t>ASWB Clinical Social Work Licensing Examination</w:t>
            </w:r>
            <w:r>
              <w:rPr>
                <w:rFonts w:ascii="Montserrat" w:hAnsi="Montserrat" w:eastAsia="Montserrat"/>
                <w:i/>
                <w:color w:val="6B7280"/>
                <w:sz w:val="17"/>
              </w:rPr>
              <w:br/>
              <w:t>Used in California and other jurisdictions that accept the ASWB Clinical exam.</w:t>
            </w:r>
          </w:p>
        </w:tc>
        <w:trPr>
          <w:tblHeader/>
        </w:trPr>
      </w:tr>
    </w:tbl>
    <w:p>
      <w:pPr>
        <w:spacing w:after="0"/>
      </w:pPr>
    </w:p>
    <w:tbl>
      <w:tblPr>
        <w:tblW w:type="auto" w:w="0"/>
        <w:jc w:val="center"/>
        <w:tblLayout w:type="fixed"/>
        <w:tblLook w:firstColumn="1" w:firstRow="1" w:lastColumn="0" w:lastRow="0" w:noHBand="0" w:noVBand="1" w:val="04A0"/>
      </w:tblPr>
      <w:tblGrid>
        <w:gridCol w:w="3024"/>
        <w:gridCol w:w="6912"/>
      </w:tblGrid>
      <w:tr>
        <w:tc>
          <w:tcPr>
            <w:tcW w:type="dxa" w:w="5112"/>
            <w:shd w:fill="F3F4F6"/>
            <w:tcMar>
              <w:top w:w="80" w:type="dxa"/>
              <w:start w:w="100" w:type="dxa"/>
              <w:bottom w:w="80" w:type="dxa"/>
              <w:end w:w="100" w:type="dxa"/>
            </w:tcMar>
            <w:vAlign w:val="center"/>
          </w:tcPr>
          <w:p>
            <w:r>
              <w:rPr>
                <w:rFonts w:ascii="Montserrat" w:hAnsi="Montserrat" w:eastAsia="Montserrat"/>
                <w:b/>
                <w:color w:val="14294B"/>
                <w:sz w:val="20"/>
              </w:rPr>
              <w:t>Target candidate</w:t>
            </w:r>
          </w:p>
        </w:tc>
        <w:tc>
          <w:tcPr>
            <w:tcW w:type="dxa" w:w="5112"/>
            <w:tcMar>
              <w:top w:w="80" w:type="dxa"/>
              <w:start w:w="100" w:type="dxa"/>
              <w:bottom w:w="80" w:type="dxa"/>
              <w:end w:w="100" w:type="dxa"/>
            </w:tcMar>
            <w:vAlign w:val="center"/>
          </w:tcPr>
          <w:p>
            <w:r>
              <w:rPr>
                <w:rFonts w:ascii="Montserrat" w:hAnsi="Montserrat" w:eastAsia="Montserrat"/>
                <w:color w:val="1F2937"/>
                <w:sz w:val="20"/>
              </w:rPr>
              <w:t>ASWs, LCSW candidates, and other eligible ASWB Clinical examinees</w:t>
            </w:r>
            <w:r>
              <w:rPr>
                <w:rFonts w:ascii="Montserrat" w:hAnsi="Montserrat" w:eastAsia="Montserrat"/>
                <w:i/>
                <w:color w:val="6B7280"/>
                <w:sz w:val="17"/>
              </w:rPr>
              <w:br/>
              <w:t>Eligibility is determined by the applicable licensing board and ASWB, not CTA.</w:t>
            </w:r>
          </w:p>
        </w:tc>
        <w:trPr>
          <w:tblHeader/>
        </w:trPr>
      </w:tr>
    </w:tbl>
    <w:p>
      <w:pPr>
        <w:spacing w:after="0"/>
      </w:pPr>
    </w:p>
    <w:tbl>
      <w:tblPr>
        <w:tblW w:type="auto" w:w="0"/>
        <w:jc w:val="center"/>
        <w:tblLayout w:type="fixed"/>
        <w:tblLook w:firstColumn="1" w:firstRow="1" w:lastColumn="0" w:lastRow="0" w:noHBand="0" w:noVBand="1" w:val="04A0"/>
      </w:tblPr>
      <w:tblGrid>
        <w:gridCol w:w="3024"/>
        <w:gridCol w:w="6912"/>
      </w:tblGrid>
      <w:tr>
        <w:tc>
          <w:tcPr>
            <w:tcW w:type="dxa" w:w="5112"/>
            <w:shd w:fill="F3F4F6"/>
            <w:tcMar>
              <w:top w:w="80" w:type="dxa"/>
              <w:start w:w="100" w:type="dxa"/>
              <w:bottom w:w="80" w:type="dxa"/>
              <w:end w:w="100" w:type="dxa"/>
            </w:tcMar>
            <w:vAlign w:val="center"/>
          </w:tcPr>
          <w:p>
            <w:r>
              <w:rPr>
                <w:rFonts w:ascii="Montserrat" w:hAnsi="Montserrat" w:eastAsia="Montserrat"/>
                <w:b/>
                <w:color w:val="14294B"/>
                <w:sz w:val="20"/>
              </w:rPr>
              <w:t>Instructional method</w:t>
            </w:r>
          </w:p>
        </w:tc>
        <w:tc>
          <w:tcPr>
            <w:tcW w:type="dxa" w:w="5112"/>
            <w:tcMar>
              <w:top w:w="80" w:type="dxa"/>
              <w:start w:w="100" w:type="dxa"/>
              <w:bottom w:w="80" w:type="dxa"/>
              <w:end w:w="100" w:type="dxa"/>
            </w:tcMar>
            <w:vAlign w:val="center"/>
          </w:tcPr>
          <w:p>
            <w:r>
              <w:rPr>
                <w:rFonts w:ascii="Montserrat" w:hAnsi="Montserrat" w:eastAsia="Montserrat"/>
                <w:color w:val="1F2937"/>
                <w:sz w:val="20"/>
              </w:rPr>
              <w:t>Self-paced asynchronous online program</w:t>
            </w:r>
            <w:r>
              <w:rPr>
                <w:rFonts w:ascii="Montserrat" w:hAnsi="Montserrat" w:eastAsia="Montserrat"/>
                <w:i/>
                <w:color w:val="6B7280"/>
                <w:sz w:val="17"/>
              </w:rPr>
              <w:br/>
              <w:t>Printable and digital study resources.</w:t>
            </w:r>
          </w:p>
        </w:tc>
        <w:trPr>
          <w:tblHeader/>
        </w:trPr>
      </w:tr>
    </w:tbl>
    <w:p>
      <w:pPr>
        <w:spacing w:after="0"/>
      </w:pPr>
    </w:p>
    <w:tbl>
      <w:tblPr>
        <w:tblW w:type="auto" w:w="0"/>
        <w:jc w:val="center"/>
        <w:tblLayout w:type="fixed"/>
        <w:tblLook w:firstColumn="1" w:firstRow="1" w:lastColumn="0" w:lastRow="0" w:noHBand="0" w:noVBand="1" w:val="04A0"/>
      </w:tblPr>
      <w:tblGrid>
        <w:gridCol w:w="3024"/>
        <w:gridCol w:w="6912"/>
      </w:tblGrid>
      <w:tr>
        <w:tc>
          <w:tcPr>
            <w:tcW w:type="dxa" w:w="5112"/>
            <w:shd w:fill="F3F4F6"/>
            <w:tcMar>
              <w:top w:w="80" w:type="dxa"/>
              <w:start w:w="100" w:type="dxa"/>
              <w:bottom w:w="80" w:type="dxa"/>
              <w:end w:w="100" w:type="dxa"/>
            </w:tcMar>
            <w:vAlign w:val="center"/>
          </w:tcPr>
          <w:p>
            <w:r>
              <w:rPr>
                <w:rFonts w:ascii="Montserrat" w:hAnsi="Montserrat" w:eastAsia="Montserrat"/>
                <w:b/>
                <w:color w:val="14294B"/>
                <w:sz w:val="20"/>
              </w:rPr>
              <w:t>Core release package</w:t>
            </w:r>
          </w:p>
        </w:tc>
        <w:tc>
          <w:tcPr>
            <w:tcW w:type="dxa" w:w="5112"/>
            <w:tcMar>
              <w:top w:w="80" w:type="dxa"/>
              <w:start w:w="100" w:type="dxa"/>
              <w:bottom w:w="80" w:type="dxa"/>
              <w:end w:w="100" w:type="dxa"/>
            </w:tcMar>
            <w:vAlign w:val="center"/>
          </w:tcPr>
          <w:p>
            <w:r>
              <w:rPr>
                <w:rFonts w:ascii="Montserrat" w:hAnsi="Montserrat" w:eastAsia="Montserrat"/>
                <w:color w:val="1F2937"/>
                <w:sz w:val="20"/>
              </w:rPr>
              <w:t>12 workbooks • 12 paired 17-question banks • 2026 Forms A and B</w:t>
            </w:r>
            <w:r>
              <w:rPr>
                <w:rFonts w:ascii="Montserrat" w:hAnsi="Montserrat" w:eastAsia="Montserrat"/>
                <w:i/>
                <w:color w:val="6B7280"/>
                <w:sz w:val="17"/>
              </w:rPr>
              <w:br/>
              <w:t>Detailed rationales and controlled answer review.</w:t>
            </w:r>
          </w:p>
        </w:tc>
        <w:trPr>
          <w:tblHeader/>
        </w:trPr>
      </w:tr>
    </w:tbl>
    <w:p>
      <w:pPr>
        <w:spacing w:after="0"/>
      </w:pPr>
    </w:p>
    <w:tbl>
      <w:tblPr>
        <w:tblW w:type="auto" w:w="0"/>
        <w:jc w:val="center"/>
        <w:tblLayout w:type="fixed"/>
        <w:tblLook w:firstColumn="1" w:firstRow="1" w:lastColumn="0" w:lastRow="0" w:noHBand="0" w:noVBand="1" w:val="04A0"/>
      </w:tblPr>
      <w:tblGrid>
        <w:gridCol w:w="3024"/>
        <w:gridCol w:w="6912"/>
      </w:tblGrid>
      <w:tr>
        <w:tc>
          <w:tcPr>
            <w:tcW w:type="dxa" w:w="5112"/>
            <w:shd w:fill="F3F4F6"/>
            <w:tcMar>
              <w:top w:w="80" w:type="dxa"/>
              <w:start w:w="100" w:type="dxa"/>
              <w:bottom w:w="80" w:type="dxa"/>
              <w:end w:w="100" w:type="dxa"/>
            </w:tcMar>
            <w:vAlign w:val="center"/>
          </w:tcPr>
          <w:p>
            <w:r>
              <w:rPr>
                <w:rFonts w:ascii="Montserrat" w:hAnsi="Montserrat" w:eastAsia="Montserrat"/>
                <w:b/>
                <w:color w:val="14294B"/>
                <w:sz w:val="20"/>
              </w:rPr>
              <w:t>Launch price</w:t>
            </w:r>
          </w:p>
        </w:tc>
        <w:tc>
          <w:tcPr>
            <w:tcW w:type="dxa" w:w="5112"/>
            <w:tcMar>
              <w:top w:w="80" w:type="dxa"/>
              <w:start w:w="100" w:type="dxa"/>
              <w:bottom w:w="80" w:type="dxa"/>
              <w:end w:w="100" w:type="dxa"/>
            </w:tcMar>
            <w:vAlign w:val="center"/>
          </w:tcPr>
          <w:p>
            <w:r>
              <w:rPr>
                <w:rFonts w:ascii="Montserrat" w:hAnsi="Montserrat" w:eastAsia="Montserrat"/>
                <w:color w:val="1F2937"/>
                <w:sz w:val="20"/>
              </w:rPr>
              <w:t>$249</w:t>
            </w:r>
            <w:r>
              <w:rPr>
                <w:rFonts w:ascii="Montserrat" w:hAnsi="Montserrat" w:eastAsia="Montserrat"/>
                <w:i/>
                <w:color w:val="6B7280"/>
                <w:sz w:val="17"/>
              </w:rPr>
              <w:br/>
              <w:t>Current CTA launch price.</w:t>
            </w:r>
          </w:p>
        </w:tc>
        <w:trPr>
          <w:tblHeader/>
        </w:trPr>
      </w:tr>
    </w:tbl>
    <w:p>
      <w:pPr>
        <w:spacing w:after="0"/>
      </w:pPr>
    </w:p>
    <w:tbl>
      <w:tblPr>
        <w:tblW w:type="auto" w:w="0"/>
        <w:jc w:val="center"/>
        <w:tblLayout w:type="fixed"/>
        <w:tblLook w:firstColumn="1" w:firstRow="1" w:lastColumn="0" w:lastRow="0" w:noHBand="0" w:noVBand="1" w:val="04A0"/>
      </w:tblPr>
      <w:tblGrid>
        <w:gridCol w:w="3024"/>
        <w:gridCol w:w="6912"/>
      </w:tblGrid>
      <w:tr>
        <w:tc>
          <w:tcPr>
            <w:tcW w:type="dxa" w:w="5112"/>
            <w:shd w:fill="F3F4F6"/>
            <w:tcMar>
              <w:top w:w="80" w:type="dxa"/>
              <w:start w:w="100" w:type="dxa"/>
              <w:bottom w:w="80" w:type="dxa"/>
              <w:end w:w="100" w:type="dxa"/>
            </w:tcMar>
            <w:vAlign w:val="center"/>
          </w:tcPr>
          <w:p>
            <w:r>
              <w:rPr>
                <w:rFonts w:ascii="Montserrat" w:hAnsi="Montserrat" w:eastAsia="Montserrat"/>
                <w:b/>
                <w:color w:val="14294B"/>
                <w:sz w:val="20"/>
              </w:rPr>
              <w:t>Access period</w:t>
            </w:r>
          </w:p>
        </w:tc>
        <w:tc>
          <w:tcPr>
            <w:tcW w:type="dxa" w:w="5112"/>
            <w:tcMar>
              <w:top w:w="80" w:type="dxa"/>
              <w:start w:w="100" w:type="dxa"/>
              <w:bottom w:w="80" w:type="dxa"/>
              <w:end w:w="100" w:type="dxa"/>
            </w:tcMar>
            <w:vAlign w:val="center"/>
          </w:tcPr>
          <w:p>
            <w:r>
              <w:rPr>
                <w:rFonts w:ascii="Montserrat" w:hAnsi="Montserrat" w:eastAsia="Montserrat"/>
                <w:color w:val="1F2937"/>
                <w:sz w:val="20"/>
              </w:rPr>
              <w:t>6 months from enrollment</w:t>
            </w:r>
            <w:r>
              <w:rPr>
                <w:rFonts w:ascii="Montserrat" w:hAnsi="Montserrat" w:eastAsia="Montserrat"/>
                <w:i/>
                <w:color w:val="6B7280"/>
                <w:sz w:val="17"/>
              </w:rPr>
              <w:br/>
              <w:t>Standard standalone exam-preparation access.</w:t>
            </w:r>
          </w:p>
        </w:tc>
        <w:trPr>
          <w:tblHeader/>
        </w:trPr>
      </w:tr>
    </w:tbl>
    <w:p>
      <w:pPr>
        <w:spacing w:after="0"/>
      </w:pPr>
    </w:p>
    <w:tbl>
      <w:tblPr>
        <w:tblW w:type="auto" w:w="0"/>
        <w:jc w:val="center"/>
        <w:tblLayout w:type="fixed"/>
        <w:tblLook w:firstColumn="1" w:firstRow="1" w:lastColumn="0" w:lastRow="0" w:noHBand="0" w:noVBand="1" w:val="04A0"/>
      </w:tblPr>
      <w:tblGrid>
        <w:gridCol w:w="3024"/>
        <w:gridCol w:w="6912"/>
      </w:tblGrid>
      <w:tr>
        <w:tc>
          <w:tcPr>
            <w:tcW w:type="dxa" w:w="5112"/>
            <w:shd w:fill="F3F4F6"/>
            <w:tcMar>
              <w:top w:w="80" w:type="dxa"/>
              <w:start w:w="100" w:type="dxa"/>
              <w:bottom w:w="80" w:type="dxa"/>
              <w:end w:w="100" w:type="dxa"/>
            </w:tcMar>
            <w:vAlign w:val="center"/>
          </w:tcPr>
          <w:p>
            <w:r>
              <w:rPr>
                <w:rFonts w:ascii="Montserrat" w:hAnsi="Montserrat" w:eastAsia="Montserrat"/>
                <w:b/>
                <w:color w:val="14294B"/>
                <w:sz w:val="20"/>
              </w:rPr>
              <w:t>Continuing education</w:t>
            </w:r>
          </w:p>
        </w:tc>
        <w:tc>
          <w:tcPr>
            <w:tcW w:type="dxa" w:w="5112"/>
            <w:tcMar>
              <w:top w:w="80" w:type="dxa"/>
              <w:start w:w="100" w:type="dxa"/>
              <w:bottom w:w="80" w:type="dxa"/>
              <w:end w:w="100" w:type="dxa"/>
            </w:tcMar>
            <w:vAlign w:val="center"/>
          </w:tcPr>
          <w:p>
            <w:r>
              <w:rPr>
                <w:rFonts w:ascii="Montserrat" w:hAnsi="Montserrat" w:eastAsia="Montserrat"/>
                <w:color w:val="1F2937"/>
                <w:sz w:val="20"/>
              </w:rPr>
              <w:t>No CE credit or CE certificate</w:t>
            </w:r>
            <w:r>
              <w:rPr>
                <w:rFonts w:ascii="Montserrat" w:hAnsi="Montserrat" w:eastAsia="Montserrat"/>
                <w:i/>
                <w:color w:val="6B7280"/>
                <w:sz w:val="17"/>
              </w:rPr>
              <w:br/>
              <w:t>Keep outside CE evaluation and certificate workflows.</w:t>
            </w:r>
          </w:p>
        </w:tc>
        <w:trPr>
          <w:tblHeader/>
        </w:trPr>
      </w:tr>
    </w:tbl>
    <w:p>
      <w:pPr>
        <w:spacing w:after="0"/>
      </w:pPr>
    </w:p>
    <w:tbl>
      <w:tblPr>
        <w:tblW w:type="auto" w:w="0"/>
        <w:jc w:val="center"/>
        <w:tblLayout w:type="fixed"/>
        <w:tblLook w:firstColumn="1" w:firstRow="1" w:lastColumn="0" w:lastRow="0" w:noHBand="0" w:noVBand="1" w:val="04A0"/>
      </w:tblPr>
      <w:tblGrid>
        <w:gridCol w:w="3024"/>
        <w:gridCol w:w="6912"/>
      </w:tblGrid>
      <w:tr>
        <w:tc>
          <w:tcPr>
            <w:tcW w:type="dxa" w:w="5112"/>
            <w:shd w:fill="F3F4F6"/>
            <w:tcMar>
              <w:top w:w="80" w:type="dxa"/>
              <w:start w:w="100" w:type="dxa"/>
              <w:bottom w:w="80" w:type="dxa"/>
              <w:end w:w="100" w:type="dxa"/>
            </w:tcMar>
            <w:vAlign w:val="center"/>
          </w:tcPr>
          <w:p>
            <w:r>
              <w:rPr>
                <w:rFonts w:ascii="Montserrat" w:hAnsi="Montserrat" w:eastAsia="Montserrat"/>
                <w:b/>
                <w:color w:val="14294B"/>
                <w:sz w:val="20"/>
              </w:rPr>
              <w:t>Release status</w:t>
            </w:r>
          </w:p>
        </w:tc>
        <w:tc>
          <w:tcPr>
            <w:tcW w:type="dxa" w:w="5112"/>
            <w:tcMar>
              <w:top w:w="80" w:type="dxa"/>
              <w:start w:w="100" w:type="dxa"/>
              <w:bottom w:w="80" w:type="dxa"/>
              <w:end w:w="100" w:type="dxa"/>
            </w:tcMar>
            <w:vAlign w:val="center"/>
          </w:tcPr>
          <w:p>
            <w:r>
              <w:rPr>
                <w:rFonts w:ascii="Montserrat" w:hAnsi="Montserrat" w:eastAsia="Montserrat"/>
                <w:color w:val="1F2937"/>
                <w:sz w:val="20"/>
              </w:rPr>
              <w:t>Website-ready; core curriculum complete</w:t>
            </w:r>
            <w:r>
              <w:rPr>
                <w:rFonts w:ascii="Montserrat" w:hAnsi="Montserrat" w:eastAsia="Montserrat"/>
                <w:i/>
                <w:color w:val="6B7280"/>
                <w:sz w:val="17"/>
              </w:rPr>
              <w:br/>
              <w:t>Final program audit reports zero blocking file-integrity defects.</w:t>
            </w:r>
          </w:p>
        </w:tc>
        <w:trPr>
          <w:tblHeader/>
        </w:trPr>
      </w:tr>
    </w:tbl>
    <w:p>
      <w:pPr>
        <w:spacing w:after="0"/>
      </w:pPr>
    </w:p>
    <w:tbl>
      <w:tblPr>
        <w:tblW w:type="auto" w:w="0"/>
        <w:jc w:val="center"/>
        <w:tblLook w:firstColumn="1" w:firstRow="1" w:lastColumn="0" w:lastRow="0" w:noHBand="0" w:noVBand="1" w:val="04A0"/>
      </w:tblPr>
      <w:tblGrid>
        <w:gridCol w:w="10224"/>
      </w:tblGrid>
      <w:tr>
        <w:trPr>
          <w:cantSplit/>
          <w:tblHeader/>
        </w:trPr>
        <w:tc>
          <w:tcPr>
            <w:tcW w:type="dxa" w:w="10224"/>
            <w:shd w:fill="E9F7F6"/>
            <w:tcMar>
              <w:top w:w="130" w:type="dxa"/>
              <w:start w:w="160" w:type="dxa"/>
              <w:bottom w:w="130" w:type="dxa"/>
              <w:end w:w="160" w:type="dxa"/>
            </w:tcMar>
            <w:tcBorders>
              <w:left w:val="single" w:sz="20" w:color="1B9E9A"/>
            </w:tcBorders>
          </w:tcPr>
          <w:p>
            <w:r>
              <w:rPr>
                <w:rFonts w:ascii="Montserrat" w:hAnsi="Montserrat" w:eastAsia="Montserrat"/>
                <w:b/>
                <w:color w:val="14294B"/>
                <w:sz w:val="20"/>
              </w:rPr>
              <w:t>NAMING CONTROL</w:t>
              <w:br/>
            </w:r>
            <w:r>
              <w:rPr>
                <w:rFonts w:ascii="Montserrat" w:hAnsi="Montserrat" w:eastAsia="Montserrat"/>
                <w:color w:val="1F2937"/>
                <w:sz w:val="20"/>
              </w:rPr>
              <w:t>Use “CTA LCSW ASWB Clinical Exam Preparation Program” publicly. This accurately identifies the national ASWB examination while allowing the page subtitle and audience copy to address California ASW/LCSW licensure candidates. Treat older “LCSW California Clinical” labels as internal naming variants.</w:t>
            </w:r>
          </w:p>
        </w:tc>
      </w:tr>
    </w:tbl>
    <w:p>
      <w:pPr>
        <w:spacing w:after="0"/>
      </w:pPr>
    </w:p>
    <w:p>
      <w:pPr>
        <w:pStyle w:val="Heading1"/>
      </w:pPr>
      <w:r>
        <w:t>Current Examination Structure</w:t>
      </w:r>
    </w:p>
    <w:tbl>
      <w:tblPr>
        <w:tblW w:type="auto" w:w="0"/>
        <w:jc w:val="center"/>
        <w:tblLayout w:type="fixed"/>
        <w:tblLook w:firstColumn="1" w:firstRow="1" w:lastColumn="0" w:lastRow="0" w:noHBand="0" w:noVBand="1" w:val="04A0"/>
      </w:tblPr>
      <w:tblGrid>
        <w:gridCol w:w="3168"/>
        <w:gridCol w:w="6768"/>
      </w:tblGrid>
      <w:tr>
        <w:trPr>
          <w:tblHeader w:val="true"/>
        </w:trPr>
        <w:tc>
          <w:tcPr>
            <w:tcW w:type="dxa" w:w="5112"/>
            <w:shd w:fill="14294B"/>
            <w:tcMar>
              <w:top w:w="80" w:type="dxa"/>
              <w:start w:w="100" w:type="dxa"/>
              <w:bottom w:w="80" w:type="dxa"/>
              <w:end w:w="100" w:type="dxa"/>
            </w:tcMar>
          </w:tcPr>
          <w:p>
            <w:r>
              <w:rPr>
                <w:rFonts w:ascii="Montserrat" w:hAnsi="Montserrat" w:eastAsia="Montserrat"/>
                <w:b/>
                <w:color w:val="FFFFFF"/>
                <w:sz w:val="19"/>
              </w:rPr>
              <w:t>Field</w:t>
            </w:r>
          </w:p>
        </w:tc>
        <w:tc>
          <w:tcPr>
            <w:tcW w:type="dxa" w:w="5112"/>
            <w:shd w:fill="14294B"/>
            <w:tcMar>
              <w:top w:w="80" w:type="dxa"/>
              <w:start w:w="100" w:type="dxa"/>
              <w:bottom w:w="80" w:type="dxa"/>
              <w:end w:w="100" w:type="dxa"/>
            </w:tcMar>
          </w:tcPr>
          <w:p>
            <w:r>
              <w:rPr>
                <w:rFonts w:ascii="Montserrat" w:hAnsi="Montserrat" w:eastAsia="Montserrat"/>
                <w:b/>
                <w:color w:val="FFFFFF"/>
                <w:sz w:val="19"/>
              </w:rPr>
              <w:t>Approved entry</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Effective structure</w:t>
            </w:r>
          </w:p>
        </w:tc>
        <w:tc>
          <w:tcPr>
            <w:tcW w:type="dxa" w:w="6768"/>
            <w:tcMar>
              <w:top w:w="80" w:type="dxa"/>
              <w:start w:w="100" w:type="dxa"/>
              <w:bottom w:w="80" w:type="dxa"/>
              <w:end w:w="100" w:type="dxa"/>
            </w:tcMar>
            <w:vAlign w:val="top"/>
          </w:tcPr>
          <w:p>
            <w:r>
              <w:rPr>
                <w:rFonts w:ascii="Montserrat" w:hAnsi="Montserrat" w:eastAsia="Montserrat"/>
                <w:color w:val="1F2937"/>
                <w:sz w:val="19"/>
              </w:rPr>
              <w:t>For examinations taken on or after August 3, 2026</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Total questions</w:t>
            </w:r>
          </w:p>
        </w:tc>
        <w:tc>
          <w:tcPr>
            <w:tcW w:type="dxa" w:w="6768"/>
            <w:tcMar>
              <w:top w:w="80" w:type="dxa"/>
              <w:start w:w="100" w:type="dxa"/>
              <w:bottom w:w="80" w:type="dxa"/>
              <w:end w:w="100" w:type="dxa"/>
            </w:tcMar>
            <w:vAlign w:val="top"/>
          </w:tcPr>
          <w:p>
            <w:r>
              <w:rPr>
                <w:rFonts w:ascii="Montserrat" w:hAnsi="Montserrat" w:eastAsia="Montserrat"/>
                <w:color w:val="1F2937"/>
                <w:sz w:val="19"/>
              </w:rPr>
              <w:t>122</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Scored questions</w:t>
            </w:r>
          </w:p>
        </w:tc>
        <w:tc>
          <w:tcPr>
            <w:tcW w:type="dxa" w:w="6768"/>
            <w:tcMar>
              <w:top w:w="80" w:type="dxa"/>
              <w:start w:w="100" w:type="dxa"/>
              <w:bottom w:w="80" w:type="dxa"/>
              <w:end w:w="100" w:type="dxa"/>
            </w:tcMar>
            <w:vAlign w:val="top"/>
          </w:tcPr>
          <w:p>
            <w:r>
              <w:rPr>
                <w:rFonts w:ascii="Montserrat" w:hAnsi="Montserrat" w:eastAsia="Montserrat"/>
                <w:color w:val="1F2937"/>
                <w:sz w:val="19"/>
              </w:rPr>
              <w:t>110</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Unscored pretest questions</w:t>
            </w:r>
          </w:p>
        </w:tc>
        <w:tc>
          <w:tcPr>
            <w:tcW w:type="dxa" w:w="6768"/>
            <w:tcMar>
              <w:top w:w="80" w:type="dxa"/>
              <w:start w:w="100" w:type="dxa"/>
              <w:bottom w:w="80" w:type="dxa"/>
              <w:end w:w="100" w:type="dxa"/>
            </w:tcMar>
            <w:vAlign w:val="top"/>
          </w:tcPr>
          <w:p>
            <w:r>
              <w:rPr>
                <w:rFonts w:ascii="Montserrat" w:hAnsi="Montserrat" w:eastAsia="Montserrat"/>
                <w:color w:val="1F2937"/>
                <w:sz w:val="19"/>
              </w:rPr>
              <w:t>12</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Time allotted</w:t>
            </w:r>
          </w:p>
        </w:tc>
        <w:tc>
          <w:tcPr>
            <w:tcW w:type="dxa" w:w="6768"/>
            <w:tcMar>
              <w:top w:w="80" w:type="dxa"/>
              <w:start w:w="100" w:type="dxa"/>
              <w:bottom w:w="80" w:type="dxa"/>
              <w:end w:w="100" w:type="dxa"/>
            </w:tcMar>
            <w:vAlign w:val="top"/>
          </w:tcPr>
          <w:p>
            <w:r>
              <w:rPr>
                <w:rFonts w:ascii="Montserrat" w:hAnsi="Montserrat" w:eastAsia="Montserrat"/>
                <w:color w:val="1F2937"/>
                <w:sz w:val="19"/>
              </w:rPr>
              <w:t>4 hours</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Answer format</w:t>
            </w:r>
          </w:p>
        </w:tc>
        <w:tc>
          <w:tcPr>
            <w:tcW w:type="dxa" w:w="6768"/>
            <w:tcMar>
              <w:top w:w="80" w:type="dxa"/>
              <w:start w:w="100" w:type="dxa"/>
              <w:bottom w:w="80" w:type="dxa"/>
              <w:end w:w="100" w:type="dxa"/>
            </w:tcMar>
            <w:vAlign w:val="top"/>
          </w:tcPr>
          <w:p>
            <w:r>
              <w:rPr>
                <w:rFonts w:ascii="Montserrat" w:hAnsi="Montserrat" w:eastAsia="Montserrat"/>
                <w:color w:val="1F2937"/>
                <w:sz w:val="19"/>
              </w:rPr>
              <w:t>Mixture of three- and four-option multiple-choice questions</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Official content areas</w:t>
            </w:r>
          </w:p>
        </w:tc>
        <w:tc>
          <w:tcPr>
            <w:tcW w:type="dxa" w:w="6768"/>
            <w:tcMar>
              <w:top w:w="80" w:type="dxa"/>
              <w:start w:w="100" w:type="dxa"/>
              <w:bottom w:w="80" w:type="dxa"/>
              <w:end w:w="100" w:type="dxa"/>
            </w:tcMar>
            <w:vAlign w:val="top"/>
          </w:tcPr>
          <w:p>
            <w:r>
              <w:rPr>
                <w:rFonts w:ascii="Montserrat" w:hAnsi="Montserrat" w:eastAsia="Montserrat"/>
                <w:color w:val="1F2937"/>
                <w:sz w:val="19"/>
              </w:rPr>
              <w:t>Values and Ethics 36%; Assessment and Planning 32%; Intervention and Practice 32%</w:t>
            </w:r>
          </w:p>
        </w:tc>
      </w:tr>
    </w:tbl>
    <w:tbl>
      <w:tblPr>
        <w:tblW w:type="auto" w:w="0"/>
        <w:jc w:val="center"/>
        <w:tblLook w:firstColumn="1" w:firstRow="1" w:lastColumn="0" w:lastRow="0" w:noHBand="0" w:noVBand="1" w:val="04A0"/>
      </w:tblPr>
      <w:tblGrid>
        <w:gridCol w:w="10224"/>
      </w:tblGrid>
      <w:tr>
        <w:trPr>
          <w:cantSplit/>
          <w:tblHeader/>
        </w:trPr>
        <w:tc>
          <w:tcPr>
            <w:tcW w:type="dxa" w:w="10224"/>
            <w:shd w:fill="FFF4D6"/>
            <w:tcMar>
              <w:top w:w="130" w:type="dxa"/>
              <w:start w:w="160" w:type="dxa"/>
              <w:bottom w:w="130" w:type="dxa"/>
              <w:end w:w="160" w:type="dxa"/>
            </w:tcMar>
            <w:tcBorders>
              <w:left w:val="single" w:sz="20" w:color="C58A00"/>
            </w:tcBorders>
          </w:tcPr>
          <w:p>
            <w:r>
              <w:rPr>
                <w:rFonts w:ascii="Montserrat" w:hAnsi="Montserrat" w:eastAsia="Montserrat"/>
                <w:b/>
                <w:color w:val="14294B"/>
                <w:sz w:val="20"/>
              </w:rPr>
              <w:t>ACCURACY DATE</w:t>
              <w:br/>
            </w:r>
            <w:r>
              <w:rPr>
                <w:rFonts w:ascii="Montserrat" w:hAnsi="Montserrat" w:eastAsia="Montserrat"/>
                <w:color w:val="1F2937"/>
                <w:sz w:val="20"/>
              </w:rPr>
              <w:t>ASWB’s redesigned Clinical examination took effect August 3, 2026. Official ASWB sources confirm 122 total questions, 110 scored, 12 unscored, mixed three- and four-option items, and a four-hour limit.</w:t>
            </w:r>
          </w:p>
        </w:tc>
      </w:tr>
    </w:tbl>
    <w:p>
      <w:pPr>
        <w:spacing w:after="0"/>
      </w:pPr>
    </w:p>
    <w:p>
      <w:pPr>
        <w:pStyle w:val="Heading1"/>
      </w:pPr>
      <w:r>
        <w:t>Program Architecture</w:t>
      </w:r>
    </w:p>
    <w:p>
      <w:r>
        <w:rPr>
          <w:rFonts w:ascii="Montserrat" w:hAnsi="Montserrat" w:eastAsia="Montserrat"/>
          <w:color w:val="1F2937"/>
          <w:sz w:val="21"/>
        </w:rPr>
        <w:t>The program uses a shared clinical-reasoning foundation where appropriate, then applies an LCSW-specific values, self-determination, person-in-environment, social justice, assessment, intervention, advocacy, systems, and collaboration lens.</w:t>
      </w:r>
    </w:p>
    <w:p>
      <w:pPr>
        <w:pStyle w:val="ListBullet"/>
        <w:spacing w:after="40"/>
      </w:pPr>
      <w:r>
        <w:rPr>
          <w:rFonts w:ascii="Montserrat" w:hAnsi="Montserrat" w:eastAsia="Montserrat"/>
          <w:color w:val="1F2937"/>
          <w:sz w:val="21"/>
        </w:rPr>
        <w:t>Shared exam-success instruction is embedded within the LCSW program.</w:t>
      </w:r>
    </w:p>
    <w:p>
      <w:pPr>
        <w:pStyle w:val="ListBullet"/>
        <w:spacing w:after="40"/>
      </w:pPr>
      <w:r>
        <w:rPr>
          <w:rFonts w:ascii="Montserrat" w:hAnsi="Montserrat" w:eastAsia="Montserrat"/>
          <w:color w:val="1F2937"/>
          <w:sz w:val="21"/>
        </w:rPr>
        <w:t>All 12 LCSW workbooks retain social work–specific objectives, examples, terminology, and applied-knowledge reasoning.</w:t>
      </w:r>
    </w:p>
    <w:p>
      <w:pPr>
        <w:pStyle w:val="ListBullet"/>
        <w:spacing w:after="40"/>
      </w:pPr>
      <w:r>
        <w:rPr>
          <w:rFonts w:ascii="Montserrat" w:hAnsi="Montserrat" w:eastAsia="Montserrat"/>
          <w:color w:val="1F2937"/>
          <w:sz w:val="21"/>
        </w:rPr>
        <w:t>Each workbook has its own original 17-question bank with complete rationales.</w:t>
      </w:r>
    </w:p>
    <w:p>
      <w:pPr>
        <w:pStyle w:val="ListBullet"/>
        <w:spacing w:after="40"/>
      </w:pPr>
      <w:r>
        <w:rPr>
          <w:rFonts w:ascii="Montserrat" w:hAnsi="Montserrat" w:eastAsia="Montserrat"/>
          <w:color w:val="1F2937"/>
          <w:sz w:val="21"/>
        </w:rPr>
        <w:t>Workbook 12 includes a separate 25-question integrated mini-mock.</w:t>
      </w:r>
    </w:p>
    <w:p>
      <w:pPr>
        <w:pStyle w:val="ListBullet"/>
        <w:spacing w:after="40"/>
      </w:pPr>
      <w:r>
        <w:rPr>
          <w:rFonts w:ascii="Montserrat" w:hAnsi="Montserrat" w:eastAsia="Montserrat"/>
          <w:color w:val="1F2937"/>
          <w:sz w:val="21"/>
        </w:rPr>
        <w:t>2026 Forms A and B each contain 122 mixed items without workbook or chapter cues.</w:t>
      </w:r>
    </w:p>
    <w:p>
      <w:pPr>
        <w:pStyle w:val="ListBullet"/>
        <w:spacing w:after="40"/>
      </w:pPr>
      <w:r>
        <w:rPr>
          <w:rFonts w:ascii="Montserrat" w:hAnsi="Montserrat" w:eastAsia="Montserrat"/>
          <w:color w:val="1F2937"/>
          <w:sz w:val="21"/>
        </w:rPr>
        <w:t>Administrative item banks, use logs, and QC reports remain restricted.</w:t>
      </w:r>
    </w:p>
    <w:tbl>
      <w:tblPr>
        <w:tblW w:type="auto" w:w="0"/>
        <w:jc w:val="center"/>
        <w:tblLook w:firstColumn="1" w:firstRow="1" w:lastColumn="0" w:lastRow="0" w:noHBand="0" w:noVBand="1" w:val="04A0"/>
      </w:tblPr>
      <w:tblGrid>
        <w:gridCol w:w="10224"/>
      </w:tblGrid>
      <w:tr>
        <w:trPr>
          <w:cantSplit/>
          <w:tblHeader/>
        </w:trPr>
        <w:tc>
          <w:tcPr>
            <w:tcW w:type="dxa" w:w="10224"/>
            <w:shd w:fill="E9F7F6"/>
            <w:tcMar>
              <w:top w:w="130" w:type="dxa"/>
              <w:start w:w="160" w:type="dxa"/>
              <w:bottom w:w="130" w:type="dxa"/>
              <w:end w:w="160" w:type="dxa"/>
            </w:tcMar>
            <w:tcBorders>
              <w:left w:val="single" w:sz="20" w:color="1B9E9A"/>
            </w:tcBorders>
          </w:tcPr>
          <w:p>
            <w:r>
              <w:rPr>
                <w:rFonts w:ascii="Montserrat" w:hAnsi="Montserrat" w:eastAsia="Montserrat"/>
                <w:b/>
                <w:color w:val="14294B"/>
                <w:sz w:val="20"/>
              </w:rPr>
              <w:t>SHARED-CORE RULE</w:t>
              <w:br/>
            </w:r>
            <w:r>
              <w:rPr>
                <w:rFonts w:ascii="Montserrat" w:hAnsi="Montserrat" w:eastAsia="Montserrat"/>
                <w:color w:val="1F2937"/>
                <w:sz w:val="20"/>
              </w:rPr>
              <w:t>Shared content is a development and instructional layer inside both programs. It is not a third public product. LMFT and LCSW examples, legal/ethical framing, question banks, rationales, and comprehensive simulations remain profession-specific.</w:t>
            </w:r>
          </w:p>
        </w:tc>
      </w:tr>
    </w:tbl>
    <w:p>
      <w:pPr>
        <w:spacing w:after="0"/>
      </w:pPr>
    </w:p>
    <w:p>
      <w:r>
        <w:br w:type="page"/>
      </w:r>
    </w:p>
    <w:p>
      <w:pPr>
        <w:pStyle w:val="Heading1"/>
      </w:pPr>
      <w:r>
        <w:t>Website Sales-Page Copy</w:t>
      </w:r>
    </w:p>
    <w:p>
      <w:pPr>
        <w:pStyle w:val="CTALabel"/>
      </w:pPr>
      <w:r>
        <w:t>HERO HEADLINE</w:t>
      </w:r>
    </w:p>
    <w:tbl>
      <w:tblPr>
        <w:tblW w:type="auto" w:w="0"/>
        <w:jc w:val="center"/>
        <w:tblLook w:firstColumn="1" w:firstRow="1" w:lastColumn="0" w:lastRow="0" w:noHBand="0" w:noVBand="1" w:val="04A0"/>
      </w:tblPr>
      <w:tblGrid>
        <w:gridCol w:w="10224"/>
      </w:tblGrid>
      <w:tr>
        <w:trPr>
          <w:cantSplit/>
          <w:tblHeader/>
        </w:trPr>
        <w:tc>
          <w:tcPr>
            <w:tcW w:type="dxa" w:w="10224"/>
            <w:shd w:fill="E9F7F6"/>
            <w:tcMar>
              <w:top w:w="130" w:type="dxa"/>
              <w:start w:w="160" w:type="dxa"/>
              <w:bottom w:w="130" w:type="dxa"/>
              <w:end w:w="160" w:type="dxa"/>
            </w:tcMar>
            <w:tcBorders>
              <w:left w:val="single" w:sz="20" w:color="1B9E9A"/>
            </w:tcBorders>
          </w:tcPr>
          <w:p>
            <w:r>
              <w:rPr>
                <w:rFonts w:ascii="Montserrat" w:hAnsi="Montserrat" w:eastAsia="Montserrat"/>
                <w:b/>
                <w:color w:val="14294B"/>
                <w:sz w:val="20"/>
              </w:rPr>
              <w:br/>
            </w:r>
            <w:r>
              <w:rPr>
                <w:rFonts w:ascii="Montserrat" w:hAnsi="Montserrat" w:eastAsia="Montserrat"/>
                <w:color w:val="1F2937"/>
                <w:sz w:val="20"/>
              </w:rPr>
              <w:t>Prepare for the ASWB Clinical Exam with a Person-in-Environment Reasoning System</w:t>
            </w:r>
          </w:p>
        </w:tc>
      </w:tr>
    </w:tbl>
    <w:p>
      <w:pPr>
        <w:spacing w:after="0"/>
      </w:pPr>
    </w:p>
    <w:p>
      <w:pPr>
        <w:pStyle w:val="CTALabel"/>
      </w:pPr>
      <w:r>
        <w:t>SUBHEADLINE</w:t>
      </w:r>
    </w:p>
    <w:p>
      <w:r>
        <w:rPr>
          <w:rFonts w:ascii="Montserrat" w:hAnsi="Montserrat" w:eastAsia="Montserrat"/>
          <w:color w:val="1F2937"/>
          <w:sz w:val="22"/>
        </w:rPr>
        <w:t>Twelve social work–specific workbooks, focused practice banks, complete rationales, and two 122-question simulations aligned to the 2026 ASWB Clinical examination structure.</w:t>
      </w:r>
    </w:p>
    <w:p>
      <w:pPr>
        <w:pStyle w:val="CTALabel"/>
      </w:pPr>
      <w:r>
        <w:t>PRIMARY CALL TO ACTION</w:t>
      </w:r>
    </w:p>
    <w:p>
      <w:r>
        <w:rPr>
          <w:rFonts w:ascii="Montserrat" w:hAnsi="Montserrat" w:eastAsia="Montserrat"/>
          <w:b/>
          <w:color w:val="1B9E9A"/>
          <w:sz w:val="22"/>
        </w:rPr>
        <w:t>Begin Your Clinical Exam Preparation</w:t>
      </w:r>
    </w:p>
    <w:p>
      <w:pPr>
        <w:pStyle w:val="Heading2"/>
      </w:pPr>
      <w:r>
        <w:t>Program Description</w:t>
      </w:r>
    </w:p>
    <w:p>
      <w:r>
        <w:rPr>
          <w:rFonts w:ascii="Montserrat" w:hAnsi="Montserrat" w:eastAsia="Montserrat"/>
          <w:color w:val="1F2937"/>
          <w:sz w:val="21"/>
        </w:rPr>
        <w:t>The CTA LCSW ASWB Clinical Exam Preparation Program is a complete self-paced system for ASWs, LCSW candidates, and other eligible examinees preparing for the ASWB Clinical Social Work Licensing Examination.</w:t>
      </w:r>
    </w:p>
    <w:p>
      <w:r>
        <w:rPr>
          <w:rFonts w:ascii="Montserrat" w:hAnsi="Montserrat" w:eastAsia="Montserrat"/>
          <w:color w:val="1F2937"/>
          <w:sz w:val="21"/>
        </w:rPr>
        <w:t>The program teaches candidates to combine social work values, self-determination, person-in-environment assessment, clinical judgment, service planning, intervention, advocacy, and systems reasoning when several answers appear plausible.</w:t>
      </w:r>
    </w:p>
    <w:p>
      <w:r>
        <w:rPr>
          <w:rFonts w:ascii="Montserrat" w:hAnsi="Montserrat" w:eastAsia="Montserrat"/>
          <w:color w:val="1F2937"/>
          <w:sz w:val="21"/>
        </w:rPr>
        <w:t>Content and simulations reflect the redesigned examination structure used for testing on or after August 3, 2026, including three content areas and a mixture of three- and four-option questions.</w:t>
      </w:r>
    </w:p>
    <w:p>
      <w:pPr>
        <w:pStyle w:val="Heading2"/>
      </w:pPr>
      <w:r>
        <w:t>What Candidates Will Build</w:t>
      </w:r>
    </w:p>
    <w:p>
      <w:pPr>
        <w:pStyle w:val="ListBullet"/>
        <w:spacing w:after="40"/>
      </w:pPr>
      <w:r>
        <w:rPr>
          <w:rFonts w:ascii="Montserrat" w:hAnsi="Montserrat" w:eastAsia="Montserrat"/>
          <w:color w:val="1F2937"/>
          <w:sz w:val="21"/>
        </w:rPr>
        <w:t>Identify FIRST, NEXT, BEST, MOST, INITIAL, and PRIMARY action cues.</w:t>
      </w:r>
    </w:p>
    <w:p>
      <w:pPr>
        <w:pStyle w:val="ListBullet"/>
        <w:spacing w:after="40"/>
      </w:pPr>
      <w:r>
        <w:rPr>
          <w:rFonts w:ascii="Montserrat" w:hAnsi="Montserrat" w:eastAsia="Montserrat"/>
          <w:color w:val="1F2937"/>
          <w:sz w:val="21"/>
        </w:rPr>
        <w:t>Sequence engagement, assessment, planning, intervention, evaluation, referral, and follow-up.</w:t>
      </w:r>
    </w:p>
    <w:p>
      <w:pPr>
        <w:pStyle w:val="ListBullet"/>
        <w:spacing w:after="40"/>
      </w:pPr>
      <w:r>
        <w:rPr>
          <w:rFonts w:ascii="Montserrat" w:hAnsi="Montserrat" w:eastAsia="Montserrat"/>
          <w:color w:val="1F2937"/>
          <w:sz w:val="21"/>
        </w:rPr>
        <w:t>Apply social work values, self-determination, social justice, and person-in-environment reasoning.</w:t>
      </w:r>
    </w:p>
    <w:p>
      <w:pPr>
        <w:pStyle w:val="ListBullet"/>
        <w:spacing w:after="40"/>
      </w:pPr>
      <w:r>
        <w:rPr>
          <w:rFonts w:ascii="Montserrat" w:hAnsi="Montserrat" w:eastAsia="Montserrat"/>
          <w:color w:val="1F2937"/>
          <w:sz w:val="21"/>
        </w:rPr>
        <w:t>Distinguish the best response from answers that are plausible but premature, overly restrictive, outside scope, or insufficiently collaborative.</w:t>
      </w:r>
    </w:p>
    <w:p>
      <w:pPr>
        <w:pStyle w:val="ListBullet"/>
        <w:spacing w:after="40"/>
      </w:pPr>
      <w:r>
        <w:rPr>
          <w:rFonts w:ascii="Montserrat" w:hAnsi="Montserrat" w:eastAsia="Montserrat"/>
          <w:color w:val="1F2937"/>
          <w:sz w:val="21"/>
        </w:rPr>
        <w:t>Use complete rationales and error logs to repair reasoning rather than memorize answer choices.</w:t>
      </w:r>
    </w:p>
    <w:p>
      <w:pPr>
        <w:pStyle w:val="ListBullet"/>
        <w:spacing w:after="40"/>
      </w:pPr>
      <w:r>
        <w:rPr>
          <w:rFonts w:ascii="Montserrat" w:hAnsi="Montserrat" w:eastAsia="Montserrat"/>
          <w:color w:val="1F2937"/>
          <w:sz w:val="21"/>
        </w:rPr>
        <w:t>Build pacing and stamina under the current 122-question examination structure.</w:t>
      </w:r>
    </w:p>
    <w:p>
      <w:pPr>
        <w:pStyle w:val="Heading2"/>
      </w:pPr>
      <w:r>
        <w:t>What Is Included</w:t>
      </w:r>
    </w:p>
    <w:p>
      <w:pPr>
        <w:pStyle w:val="ListBullet"/>
        <w:spacing w:after="40"/>
      </w:pPr>
      <w:r>
        <w:rPr>
          <w:rFonts w:ascii="Montserrat" w:hAnsi="Montserrat" w:eastAsia="Montserrat"/>
          <w:color w:val="1F2937"/>
          <w:sz w:val="21"/>
        </w:rPr>
        <w:t>12 editable and print-optimized LCSW student workbooks.</w:t>
      </w:r>
    </w:p>
    <w:p>
      <w:pPr>
        <w:pStyle w:val="ListBullet"/>
        <w:spacing w:after="40"/>
      </w:pPr>
      <w:r>
        <w:rPr>
          <w:rFonts w:ascii="Montserrat" w:hAnsi="Montserrat" w:eastAsia="Montserrat"/>
          <w:color w:val="1F2937"/>
          <w:sz w:val="21"/>
        </w:rPr>
        <w:t>12 paired 17-question workbook banks with 204 total practice placements and complete rationales.</w:t>
      </w:r>
    </w:p>
    <w:p>
      <w:pPr>
        <w:pStyle w:val="ListBullet"/>
        <w:spacing w:after="40"/>
      </w:pPr>
      <w:r>
        <w:rPr>
          <w:rFonts w:ascii="Montserrat" w:hAnsi="Montserrat" w:eastAsia="Montserrat"/>
          <w:color w:val="1F2937"/>
          <w:sz w:val="21"/>
        </w:rPr>
        <w:t>A 25-question integrated mini-mock within Workbook 12.</w:t>
      </w:r>
    </w:p>
    <w:p>
      <w:pPr>
        <w:pStyle w:val="ListBullet"/>
        <w:spacing w:after="40"/>
      </w:pPr>
      <w:r>
        <w:rPr>
          <w:rFonts w:ascii="Montserrat" w:hAnsi="Montserrat" w:eastAsia="Montserrat"/>
          <w:color w:val="1F2937"/>
          <w:sz w:val="21"/>
        </w:rPr>
        <w:t>2026 Comprehensive Simulation Form A — 122 questions.</w:t>
      </w:r>
    </w:p>
    <w:p>
      <w:pPr>
        <w:pStyle w:val="ListBullet"/>
        <w:spacing w:after="40"/>
      </w:pPr>
      <w:r>
        <w:rPr>
          <w:rFonts w:ascii="Montserrat" w:hAnsi="Montserrat" w:eastAsia="Montserrat"/>
          <w:color w:val="1F2937"/>
          <w:sz w:val="21"/>
        </w:rPr>
        <w:t>2026 Comprehensive Simulation Form B — 122 questions.</w:t>
      </w:r>
    </w:p>
    <w:p>
      <w:pPr>
        <w:pStyle w:val="ListBullet"/>
        <w:spacing w:after="40"/>
      </w:pPr>
      <w:r>
        <w:rPr>
          <w:rFonts w:ascii="Montserrat" w:hAnsi="Montserrat" w:eastAsia="Montserrat"/>
          <w:color w:val="1F2937"/>
          <w:sz w:val="21"/>
        </w:rPr>
        <w:t>Controlled answer keys and detailed rationales for both simulations.</w:t>
      </w:r>
    </w:p>
    <w:p>
      <w:pPr>
        <w:pStyle w:val="ListBullet"/>
        <w:spacing w:after="40"/>
      </w:pPr>
      <w:r>
        <w:rPr>
          <w:rFonts w:ascii="Montserrat" w:hAnsi="Montserrat" w:eastAsia="Montserrat"/>
          <w:color w:val="1F2937"/>
          <w:sz w:val="21"/>
        </w:rPr>
        <w:t>Mixed three- and four-option question practice.</w:t>
      </w:r>
    </w:p>
    <w:p>
      <w:pPr>
        <w:pStyle w:val="ListBullet"/>
        <w:spacing w:after="40"/>
      </w:pPr>
      <w:r>
        <w:rPr>
          <w:rFonts w:ascii="Montserrat" w:hAnsi="Montserrat" w:eastAsia="Montserrat"/>
          <w:color w:val="1F2937"/>
          <w:sz w:val="21"/>
        </w:rPr>
        <w:t>A 132-card flashcard collection, quick-reference sheets, readiness tracker, Student FAQ, August 2026 exam-day guide, and 10-, 14-, and 18-week study schedules. Recorded audio and video are not included at launch.</w:t>
      </w:r>
    </w:p>
    <w:tbl>
      <w:tblPr>
        <w:tblW w:type="auto" w:w="0"/>
        <w:jc w:val="center"/>
        <w:tblLook w:firstColumn="1" w:firstRow="1" w:lastColumn="0" w:lastRow="0" w:noHBand="0" w:noVBand="1" w:val="04A0"/>
      </w:tblPr>
      <w:tblGrid>
        <w:gridCol w:w="10224"/>
      </w:tblGrid>
      <w:tr>
        <w:trPr>
          <w:cantSplit/>
          <w:tblHeader/>
        </w:trPr>
        <w:tc>
          <w:tcPr>
            <w:tcW w:type="dxa" w:w="10224"/>
            <w:shd w:fill="FFF4D6"/>
            <w:tcMar>
              <w:top w:w="130" w:type="dxa"/>
              <w:start w:w="160" w:type="dxa"/>
              <w:bottom w:w="130" w:type="dxa"/>
              <w:end w:w="160" w:type="dxa"/>
            </w:tcMar>
            <w:tcBorders>
              <w:left w:val="single" w:sz="20" w:color="C58A00"/>
            </w:tcBorders>
          </w:tcPr>
          <w:p>
            <w:r>
              <w:rPr>
                <w:rFonts w:ascii="Montserrat" w:hAnsi="Montserrat" w:eastAsia="Montserrat"/>
                <w:b/>
                <w:color w:val="14294B"/>
                <w:sz w:val="20"/>
              </w:rPr>
              <w:t>WRITTEN PROGRAM COMPLETE • RECORDED MEDIA NOT INCLUDED</w:t>
              <w:br/>
              <w:t>The initial release includes the complete written learner system and controlled assessments. No recorded audio or video exists at launch. Unrecorded scripts and slide decks are retained only in the clearly labeled future-production folder and must not be published or advertised as completed media.</w:t>
            </w:r>
            <w:r>
              <w:rPr>
                <w:rFonts w:ascii="Montserrat" w:hAnsi="Montserrat" w:eastAsia="Montserrat"/>
                <w:color w:val="1F2937"/>
                <w:sz w:val="20"/>
              </w:rPr>
            </w:r>
          </w:p>
        </w:tc>
      </w:tr>
    </w:tbl>
    <w:p>
      <w:pPr>
        <w:spacing w:after="0"/>
      </w:pPr>
    </w:p>
    <w:p>
      <w:pPr>
        <w:pStyle w:val="Heading1"/>
      </w:pPr>
      <w:r>
        <w:t>How the Program Works</w:t>
      </w:r>
    </w:p>
    <w:p>
      <w:pPr>
        <w:pStyle w:val="ListNumber"/>
        <w:spacing w:after="40"/>
      </w:pPr>
      <w:r>
        <w:rPr>
          <w:rFonts w:ascii="Montserrat" w:hAnsi="Montserrat" w:eastAsia="Montserrat"/>
          <w:color w:val="1F2937"/>
          <w:sz w:val="21"/>
        </w:rPr>
        <w:t>Complete one LCSW workbook and its applied learning activities.</w:t>
      </w:r>
    </w:p>
    <w:p>
      <w:pPr>
        <w:pStyle w:val="ListNumber"/>
        <w:spacing w:after="40"/>
      </w:pPr>
      <w:r>
        <w:rPr>
          <w:rFonts w:ascii="Montserrat" w:hAnsi="Montserrat" w:eastAsia="Montserrat"/>
          <w:color w:val="1F2937"/>
          <w:sz w:val="21"/>
        </w:rPr>
        <w:t>Take the matching 17-question bank before reviewing the rationales.</w:t>
      </w:r>
    </w:p>
    <w:p>
      <w:pPr>
        <w:pStyle w:val="ListNumber"/>
        <w:spacing w:after="40"/>
      </w:pPr>
      <w:r>
        <w:rPr>
          <w:rFonts w:ascii="Montserrat" w:hAnsi="Montserrat" w:eastAsia="Montserrat"/>
          <w:color w:val="1F2937"/>
          <w:sz w:val="21"/>
        </w:rPr>
        <w:t>Analyze every option, record reasoning errors, and revisit weak concepts.</w:t>
      </w:r>
    </w:p>
    <w:p>
      <w:pPr>
        <w:pStyle w:val="ListNumber"/>
        <w:spacing w:after="40"/>
      </w:pPr>
      <w:r>
        <w:rPr>
          <w:rFonts w:ascii="Montserrat" w:hAnsi="Montserrat" w:eastAsia="Montserrat"/>
          <w:color w:val="1F2937"/>
          <w:sz w:val="21"/>
        </w:rPr>
        <w:t>Continue through all 12 workbooks using the selected study schedule.</w:t>
      </w:r>
    </w:p>
    <w:p>
      <w:pPr>
        <w:pStyle w:val="ListNumber"/>
        <w:spacing w:after="40"/>
      </w:pPr>
      <w:r>
        <w:rPr>
          <w:rFonts w:ascii="Montserrat" w:hAnsi="Montserrat" w:eastAsia="Montserrat"/>
          <w:color w:val="1F2937"/>
          <w:sz w:val="21"/>
        </w:rPr>
        <w:t>Use the Workbook 12 mini-mock for integrated review.</w:t>
      </w:r>
    </w:p>
    <w:p>
      <w:pPr>
        <w:pStyle w:val="ListNumber"/>
        <w:spacing w:after="40"/>
      </w:pPr>
      <w:r>
        <w:rPr>
          <w:rFonts w:ascii="Montserrat" w:hAnsi="Montserrat" w:eastAsia="Montserrat"/>
          <w:color w:val="1F2937"/>
          <w:sz w:val="21"/>
        </w:rPr>
        <w:t>Take 2026 Comprehensive Simulation Form A under timed, closed-book conditions.</w:t>
      </w:r>
    </w:p>
    <w:p>
      <w:pPr>
        <w:pStyle w:val="ListNumber"/>
        <w:spacing w:after="40"/>
      </w:pPr>
      <w:r>
        <w:rPr>
          <w:rFonts w:ascii="Montserrat" w:hAnsi="Montserrat" w:eastAsia="Montserrat"/>
          <w:color w:val="1F2937"/>
          <w:sz w:val="21"/>
        </w:rPr>
        <w:t>Complete targeted remediation using the score profile and rationales.</w:t>
      </w:r>
    </w:p>
    <w:p>
      <w:pPr>
        <w:pStyle w:val="ListNumber"/>
        <w:spacing w:after="40"/>
      </w:pPr>
      <w:r>
        <w:rPr>
          <w:rFonts w:ascii="Montserrat" w:hAnsi="Montserrat" w:eastAsia="Montserrat"/>
          <w:color w:val="1F2937"/>
          <w:sz w:val="21"/>
        </w:rPr>
        <w:t>Take 2026 Comprehensive Simulation Form B as the final readiness assessment.</w:t>
      </w:r>
    </w:p>
    <w:p>
      <w:pPr>
        <w:pStyle w:val="Heading2"/>
      </w:pPr>
      <w:r>
        <w:t>CTA Learning Model</w:t>
      </w:r>
    </w:p>
    <w:tbl>
      <w:tblPr>
        <w:tblW w:type="auto" w:w="0"/>
        <w:jc w:val="center"/>
        <w:tblLook w:firstColumn="1" w:firstRow="1" w:lastColumn="0" w:lastRow="0" w:noHBand="0" w:noVBand="1" w:val="04A0"/>
      </w:tblPr>
      <w:tblGrid>
        <w:gridCol w:w="10224"/>
      </w:tblGrid>
      <w:tr>
        <w:trPr>
          <w:cantSplit/>
          <w:tblHeader/>
        </w:trPr>
        <w:tc>
          <w:tcPr>
            <w:tcW w:type="dxa" w:w="10224"/>
            <w:shd w:fill="E9F7F6"/>
            <w:tcMar>
              <w:top w:w="130" w:type="dxa"/>
              <w:start w:w="160" w:type="dxa"/>
              <w:bottom w:w="130" w:type="dxa"/>
              <w:end w:w="160" w:type="dxa"/>
            </w:tcMar>
            <w:tcBorders>
              <w:left w:val="single" w:sz="20" w:color="1B9E9A"/>
            </w:tcBorders>
          </w:tcPr>
          <w:p>
            <w:r>
              <w:rPr>
                <w:rFonts w:ascii="Montserrat" w:hAnsi="Montserrat" w:eastAsia="Montserrat"/>
                <w:b/>
                <w:color w:val="14294B"/>
                <w:sz w:val="20"/>
              </w:rPr>
              <w:t>PREVIEW → LEARN → APPLY → ANALYZE → REPAIR → REVISIT</w:t>
              <w:br/>
            </w:r>
            <w:r>
              <w:rPr>
                <w:rFonts w:ascii="Montserrat" w:hAnsi="Montserrat" w:eastAsia="Montserrat"/>
                <w:color w:val="1F2937"/>
                <w:sz w:val="20"/>
              </w:rPr>
              <w:t>Candidates preview the exam task, learn structured content, apply it in original questions, analyze complete rationales, repair reasoning errors, and revisit weak areas before comprehensive simulation.</w:t>
            </w:r>
          </w:p>
        </w:tc>
      </w:tr>
    </w:tbl>
    <w:p>
      <w:pPr>
        <w:spacing w:after="0"/>
      </w:pPr>
    </w:p>
    <w:p>
      <w:pPr>
        <w:pStyle w:val="Heading2"/>
      </w:pPr>
      <w:r>
        <w:t>Who This Program Is For</w:t>
      </w:r>
    </w:p>
    <w:p>
      <w:pPr>
        <w:pStyle w:val="ListBullet"/>
        <w:spacing w:after="40"/>
      </w:pPr>
      <w:r>
        <w:rPr>
          <w:rFonts w:ascii="Montserrat" w:hAnsi="Montserrat" w:eastAsia="Montserrat"/>
          <w:color w:val="1F2937"/>
          <w:sz w:val="21"/>
        </w:rPr>
        <w:t>ASWs and LCSW candidates preparing for the ASWB Clinical examination.</w:t>
      </w:r>
    </w:p>
    <w:p>
      <w:pPr>
        <w:pStyle w:val="ListBullet"/>
        <w:spacing w:after="40"/>
      </w:pPr>
      <w:r>
        <w:rPr>
          <w:rFonts w:ascii="Montserrat" w:hAnsi="Montserrat" w:eastAsia="Montserrat"/>
          <w:color w:val="1F2937"/>
          <w:sz w:val="21"/>
        </w:rPr>
        <w:t>Candidates in California and other jurisdictions that use the ASWB Clinical exam.</w:t>
      </w:r>
    </w:p>
    <w:p>
      <w:pPr>
        <w:pStyle w:val="ListBullet"/>
        <w:spacing w:after="40"/>
      </w:pPr>
      <w:r>
        <w:rPr>
          <w:rFonts w:ascii="Montserrat" w:hAnsi="Montserrat" w:eastAsia="Montserrat"/>
          <w:color w:val="1F2937"/>
          <w:sz w:val="21"/>
        </w:rPr>
        <w:t>Candidates who need person-in-environment and applied social work reasoning rather than isolated recall.</w:t>
      </w:r>
    </w:p>
    <w:p>
      <w:pPr>
        <w:pStyle w:val="ListBullet"/>
        <w:spacing w:after="40"/>
      </w:pPr>
      <w:r>
        <w:rPr>
          <w:rFonts w:ascii="Montserrat" w:hAnsi="Montserrat" w:eastAsia="Montserrat"/>
          <w:color w:val="1F2937"/>
          <w:sz w:val="21"/>
        </w:rPr>
        <w:t>Working professionals who need a self-paced, printable, asynchronous study system.</w:t>
      </w:r>
    </w:p>
    <w:p>
      <w:pPr>
        <w:pStyle w:val="Heading2"/>
      </w:pPr>
      <w:r>
        <w:t>What This Program Is Not</w:t>
      </w:r>
    </w:p>
    <w:p>
      <w:pPr>
        <w:pStyle w:val="ListBullet"/>
        <w:spacing w:after="40"/>
      </w:pPr>
      <w:r>
        <w:rPr>
          <w:rFonts w:ascii="Montserrat" w:hAnsi="Montserrat" w:eastAsia="Montserrat"/>
          <w:color w:val="1F2937"/>
          <w:sz w:val="21"/>
        </w:rPr>
        <w:t>It is not continuing education and does not provide CE credit or a CE certificate.</w:t>
      </w:r>
    </w:p>
    <w:p>
      <w:pPr>
        <w:pStyle w:val="ListBullet"/>
        <w:spacing w:after="40"/>
      </w:pPr>
      <w:r>
        <w:rPr>
          <w:rFonts w:ascii="Montserrat" w:hAnsi="Montserrat" w:eastAsia="Montserrat"/>
          <w:color w:val="1F2937"/>
          <w:sz w:val="21"/>
        </w:rPr>
        <w:t>It does not determine examination eligibility, licensure, employment, or certification.</w:t>
      </w:r>
    </w:p>
    <w:p>
      <w:pPr>
        <w:pStyle w:val="ListBullet"/>
        <w:spacing w:after="40"/>
      </w:pPr>
      <w:r>
        <w:rPr>
          <w:rFonts w:ascii="Montserrat" w:hAnsi="Montserrat" w:eastAsia="Montserrat"/>
          <w:color w:val="1F2937"/>
          <w:sz w:val="21"/>
        </w:rPr>
        <w:t>It does not reproduce live, recalled, copied, or unauthorized licensing-examination questions.</w:t>
      </w:r>
    </w:p>
    <w:p>
      <w:pPr>
        <w:pStyle w:val="ListBullet"/>
        <w:spacing w:after="40"/>
      </w:pPr>
      <w:r>
        <w:rPr>
          <w:rFonts w:ascii="Montserrat" w:hAnsi="Montserrat" w:eastAsia="Montserrat"/>
          <w:color w:val="1F2937"/>
          <w:sz w:val="21"/>
        </w:rPr>
        <w:t>It does not guarantee passage and is not affiliated with or endorsed by the licensing board or testing organization.</w:t>
      </w:r>
    </w:p>
    <w:p>
      <w:r>
        <w:br w:type="page"/>
      </w:r>
    </w:p>
    <w:p>
      <w:pPr>
        <w:pStyle w:val="Heading1"/>
      </w:pPr>
      <w:r>
        <w:t>Website Product Configuration</w:t>
      </w:r>
    </w:p>
    <w:tbl>
      <w:tblPr>
        <w:tblW w:type="auto" w:w="0"/>
        <w:jc w:val="center"/>
        <w:tblLayout w:type="fixed"/>
        <w:tblLook w:firstColumn="1" w:firstRow="1" w:lastColumn="0" w:lastRow="0" w:noHBand="0" w:noVBand="1" w:val="04A0"/>
      </w:tblPr>
      <w:tblGrid>
        <w:gridCol w:w="3168"/>
        <w:gridCol w:w="6768"/>
      </w:tblGrid>
      <w:tr>
        <w:trPr>
          <w:tblHeader w:val="true"/>
        </w:trPr>
        <w:tc>
          <w:tcPr>
            <w:tcW w:type="dxa" w:w="5112"/>
            <w:shd w:fill="14294B"/>
            <w:tcMar>
              <w:top w:w="80" w:type="dxa"/>
              <w:start w:w="100" w:type="dxa"/>
              <w:bottom w:w="80" w:type="dxa"/>
              <w:end w:w="100" w:type="dxa"/>
            </w:tcMar>
          </w:tcPr>
          <w:p>
            <w:r>
              <w:rPr>
                <w:rFonts w:ascii="Montserrat" w:hAnsi="Montserrat" w:eastAsia="Montserrat"/>
                <w:b/>
                <w:color w:val="FFFFFF"/>
                <w:sz w:val="19"/>
              </w:rPr>
              <w:t>Field</w:t>
            </w:r>
          </w:p>
        </w:tc>
        <w:tc>
          <w:tcPr>
            <w:tcW w:type="dxa" w:w="5112"/>
            <w:shd w:fill="14294B"/>
            <w:tcMar>
              <w:top w:w="80" w:type="dxa"/>
              <w:start w:w="100" w:type="dxa"/>
              <w:bottom w:w="80" w:type="dxa"/>
              <w:end w:w="100" w:type="dxa"/>
            </w:tcMar>
          </w:tcPr>
          <w:p>
            <w:r>
              <w:rPr>
                <w:rFonts w:ascii="Montserrat" w:hAnsi="Montserrat" w:eastAsia="Montserrat"/>
                <w:b/>
                <w:color w:val="FFFFFF"/>
                <w:sz w:val="19"/>
              </w:rPr>
              <w:t>Approved entry</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Public product title</w:t>
            </w:r>
          </w:p>
        </w:tc>
        <w:tc>
          <w:tcPr>
            <w:tcW w:type="dxa" w:w="6768"/>
            <w:tcMar>
              <w:top w:w="80" w:type="dxa"/>
              <w:start w:w="100" w:type="dxa"/>
              <w:bottom w:w="80" w:type="dxa"/>
              <w:end w:w="100" w:type="dxa"/>
            </w:tcMar>
            <w:vAlign w:val="top"/>
          </w:tcPr>
          <w:p>
            <w:r>
              <w:rPr>
                <w:rFonts w:ascii="Montserrat" w:hAnsi="Montserrat" w:eastAsia="Montserrat"/>
                <w:color w:val="1F2937"/>
                <w:sz w:val="19"/>
              </w:rPr>
              <w:t>CTA LCSW ASWB Clinical Exam Preparation Program</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Product category</w:t>
            </w:r>
          </w:p>
        </w:tc>
        <w:tc>
          <w:tcPr>
            <w:tcW w:type="dxa" w:w="6768"/>
            <w:tcMar>
              <w:top w:w="80" w:type="dxa"/>
              <w:start w:w="100" w:type="dxa"/>
              <w:bottom w:w="80" w:type="dxa"/>
              <w:end w:w="100" w:type="dxa"/>
            </w:tcMar>
            <w:vAlign w:val="top"/>
          </w:tcPr>
          <w:p>
            <w:r>
              <w:rPr>
                <w:rFonts w:ascii="Montserrat" w:hAnsi="Montserrat" w:eastAsia="Montserrat"/>
                <w:color w:val="1F2937"/>
                <w:sz w:val="19"/>
              </w:rPr>
              <w:t>Exam Preparation &gt; Clinical Examination</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Status</w:t>
            </w:r>
          </w:p>
        </w:tc>
        <w:tc>
          <w:tcPr>
            <w:tcW w:type="dxa" w:w="6768"/>
            <w:tcMar>
              <w:top w:w="80" w:type="dxa"/>
              <w:start w:w="100" w:type="dxa"/>
              <w:bottom w:w="80" w:type="dxa"/>
              <w:end w:w="100" w:type="dxa"/>
            </w:tcMar>
            <w:vAlign w:val="top"/>
          </w:tcPr>
          <w:p>
            <w:r>
              <w:rPr>
                <w:rFonts w:ascii="Montserrat" w:hAnsi="Montserrat" w:eastAsia="Montserrat"/>
                <w:color w:val="1F2937"/>
                <w:sz w:val="19"/>
              </w:rPr>
              <w:t>Available / Launch</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Launch price</w:t>
            </w:r>
          </w:p>
        </w:tc>
        <w:tc>
          <w:tcPr>
            <w:tcW w:type="dxa" w:w="6768"/>
            <w:tcMar>
              <w:top w:w="80" w:type="dxa"/>
              <w:start w:w="100" w:type="dxa"/>
              <w:bottom w:w="80" w:type="dxa"/>
              <w:end w:w="100" w:type="dxa"/>
            </w:tcMar>
            <w:vAlign w:val="top"/>
          </w:tcPr>
          <w:p>
            <w:r>
              <w:rPr>
                <w:rFonts w:ascii="Montserrat" w:hAnsi="Montserrat" w:eastAsia="Montserrat"/>
                <w:color w:val="1F2937"/>
                <w:sz w:val="19"/>
              </w:rPr>
              <w:t>$249</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Access period</w:t>
            </w:r>
          </w:p>
        </w:tc>
        <w:tc>
          <w:tcPr>
            <w:tcW w:type="dxa" w:w="6768"/>
            <w:tcMar>
              <w:top w:w="80" w:type="dxa"/>
              <w:start w:w="100" w:type="dxa"/>
              <w:bottom w:w="80" w:type="dxa"/>
              <w:end w:w="100" w:type="dxa"/>
            </w:tcMar>
            <w:vAlign w:val="top"/>
          </w:tcPr>
          <w:p>
            <w:r>
              <w:rPr>
                <w:rFonts w:ascii="Montserrat" w:hAnsi="Montserrat" w:eastAsia="Montserrat"/>
                <w:color w:val="1F2937"/>
                <w:sz w:val="19"/>
              </w:rPr>
              <w:t>6 months from enrollment</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Instructional method</w:t>
            </w:r>
          </w:p>
        </w:tc>
        <w:tc>
          <w:tcPr>
            <w:tcW w:type="dxa" w:w="6768"/>
            <w:tcMar>
              <w:top w:w="80" w:type="dxa"/>
              <w:start w:w="100" w:type="dxa"/>
              <w:bottom w:w="80" w:type="dxa"/>
              <w:end w:w="100" w:type="dxa"/>
            </w:tcMar>
            <w:vAlign w:val="top"/>
          </w:tcPr>
          <w:p>
            <w:r>
              <w:rPr>
                <w:rFonts w:ascii="Montserrat" w:hAnsi="Montserrat" w:eastAsia="Montserrat"/>
                <w:color w:val="1F2937"/>
                <w:sz w:val="19"/>
              </w:rPr>
              <w:t>Self-paced asynchronous online program with printable resources</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CE classification</w:t>
            </w:r>
          </w:p>
        </w:tc>
        <w:tc>
          <w:tcPr>
            <w:tcW w:type="dxa" w:w="6768"/>
            <w:tcMar>
              <w:top w:w="80" w:type="dxa"/>
              <w:start w:w="100" w:type="dxa"/>
              <w:bottom w:w="80" w:type="dxa"/>
              <w:end w:w="100" w:type="dxa"/>
            </w:tcMar>
            <w:vAlign w:val="top"/>
          </w:tcPr>
          <w:p>
            <w:r>
              <w:rPr>
                <w:rFonts w:ascii="Montserrat" w:hAnsi="Montserrat" w:eastAsia="Montserrat"/>
                <w:color w:val="1F2937"/>
                <w:sz w:val="19"/>
              </w:rPr>
              <w:t>Exam Preparation Only | No CE Credit</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Primary button</w:t>
            </w:r>
          </w:p>
        </w:tc>
        <w:tc>
          <w:tcPr>
            <w:tcW w:type="dxa" w:w="6768"/>
            <w:tcMar>
              <w:top w:w="80" w:type="dxa"/>
              <w:start w:w="100" w:type="dxa"/>
              <w:bottom w:w="80" w:type="dxa"/>
              <w:end w:w="100" w:type="dxa"/>
            </w:tcMar>
            <w:vAlign w:val="top"/>
          </w:tcPr>
          <w:p>
            <w:r>
              <w:rPr>
                <w:rFonts w:ascii="Montserrat" w:hAnsi="Montserrat" w:eastAsia="Montserrat"/>
                <w:color w:val="1F2937"/>
                <w:sz w:val="19"/>
              </w:rPr>
              <w:t>Begin Your Clinical Exam Preparation</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URL slug</w:t>
            </w:r>
          </w:p>
        </w:tc>
        <w:tc>
          <w:tcPr>
            <w:tcW w:type="dxa" w:w="6768"/>
            <w:tcMar>
              <w:top w:w="80" w:type="dxa"/>
              <w:start w:w="100" w:type="dxa"/>
              <w:bottom w:w="80" w:type="dxa"/>
              <w:end w:w="100" w:type="dxa"/>
            </w:tcMar>
            <w:vAlign w:val="top"/>
          </w:tcPr>
          <w:p>
            <w:r>
              <w:rPr>
                <w:rFonts w:ascii="Montserrat" w:hAnsi="Montserrat" w:eastAsia="Montserrat"/>
                <w:color w:val="1F2937"/>
                <w:sz w:val="19"/>
              </w:rPr>
              <w:t>lcsw-aswb-clinical-exam-preparation</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SEO title</w:t>
            </w:r>
          </w:p>
        </w:tc>
        <w:tc>
          <w:tcPr>
            <w:tcW w:type="dxa" w:w="6768"/>
            <w:tcMar>
              <w:top w:w="80" w:type="dxa"/>
              <w:start w:w="100" w:type="dxa"/>
              <w:bottom w:w="80" w:type="dxa"/>
              <w:end w:w="100" w:type="dxa"/>
            </w:tcMar>
            <w:vAlign w:val="top"/>
          </w:tcPr>
          <w:p>
            <w:r>
              <w:rPr>
                <w:rFonts w:ascii="Montserrat" w:hAnsi="Montserrat" w:eastAsia="Montserrat"/>
                <w:color w:val="1F2937"/>
                <w:sz w:val="19"/>
              </w:rPr>
              <w:t>LCSW ASWB Clinical Exam Prep | CTA</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Meta description</w:t>
            </w:r>
          </w:p>
        </w:tc>
        <w:tc>
          <w:tcPr>
            <w:tcW w:type="dxa" w:w="6768"/>
            <w:tcMar>
              <w:top w:w="80" w:type="dxa"/>
              <w:start w:w="100" w:type="dxa"/>
              <w:bottom w:w="80" w:type="dxa"/>
              <w:end w:w="100" w:type="dxa"/>
            </w:tcMar>
            <w:vAlign w:val="top"/>
          </w:tcPr>
          <w:p>
            <w:r>
              <w:rPr>
                <w:rFonts w:ascii="Montserrat" w:hAnsi="Montserrat" w:eastAsia="Montserrat"/>
                <w:color w:val="1F2937"/>
                <w:sz w:val="19"/>
              </w:rPr>
              <w:t>Prepare for the 2026 ASWB Clinical exam with 12 workbooks, 204 focused practice questions, complete rationales, a 25-question mini-mock, and two 122-question simulations.</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Page badge</w:t>
            </w:r>
          </w:p>
        </w:tc>
        <w:tc>
          <w:tcPr>
            <w:tcW w:type="dxa" w:w="6768"/>
            <w:tcMar>
              <w:top w:w="80" w:type="dxa"/>
              <w:start w:w="100" w:type="dxa"/>
              <w:bottom w:w="80" w:type="dxa"/>
              <w:end w:w="100" w:type="dxa"/>
            </w:tcMar>
            <w:vAlign w:val="top"/>
          </w:tcPr>
          <w:p>
            <w:r>
              <w:rPr>
                <w:rFonts w:ascii="Montserrat" w:hAnsi="Montserrat" w:eastAsia="Montserrat"/>
                <w:color w:val="1F2937"/>
                <w:sz w:val="19"/>
              </w:rPr>
              <w:t>Exam Preparation • No CE Credit</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Image alt text</w:t>
            </w:r>
          </w:p>
        </w:tc>
        <w:tc>
          <w:tcPr>
            <w:tcW w:type="dxa" w:w="6768"/>
            <w:tcMar>
              <w:top w:w="80" w:type="dxa"/>
              <w:start w:w="100" w:type="dxa"/>
              <w:bottom w:w="80" w:type="dxa"/>
              <w:end w:w="100" w:type="dxa"/>
            </w:tcMar>
            <w:vAlign w:val="top"/>
          </w:tcPr>
          <w:p>
            <w:r>
              <w:rPr>
                <w:rFonts w:ascii="Montserrat" w:hAnsi="Montserrat" w:eastAsia="Montserrat"/>
                <w:color w:val="1F2937"/>
                <w:sz w:val="19"/>
              </w:rPr>
              <w:t>Clinical Training and Supervision Academy LCSW ASWB Clinical Exam Preparation Program graphic</w:t>
            </w:r>
          </w:p>
        </w:tc>
      </w:tr>
    </w:tbl>
    <w:p>
      <w:pPr>
        <w:pStyle w:val="Heading2"/>
      </w:pPr>
      <w:r>
        <w:t>Required Notices</w:t>
      </w:r>
    </w:p>
    <w:p>
      <w:pPr>
        <w:pStyle w:val="ListBullet"/>
        <w:spacing w:after="40"/>
      </w:pPr>
      <w:r>
        <w:rPr>
          <w:rFonts w:ascii="Montserrat" w:hAnsi="Montserrat" w:eastAsia="Montserrat"/>
          <w:color w:val="1F2937"/>
          <w:sz w:val="21"/>
        </w:rPr>
        <w:t>Exam Preparation Only — No CE Credit.</w:t>
      </w:r>
    </w:p>
    <w:p>
      <w:pPr>
        <w:pStyle w:val="ListBullet"/>
        <w:spacing w:after="40"/>
      </w:pPr>
      <w:r>
        <w:rPr>
          <w:rFonts w:ascii="Montserrat" w:hAnsi="Montserrat" w:eastAsia="Montserrat"/>
          <w:color w:val="1F2937"/>
          <w:sz w:val="21"/>
        </w:rPr>
        <w:t>CTA is an independent educational resource and is not affiliated with or endorsed by ASWB, Pearson VUE, or any state licensing board.</w:t>
      </w:r>
    </w:p>
    <w:p>
      <w:pPr>
        <w:pStyle w:val="ListBullet"/>
        <w:spacing w:after="40"/>
      </w:pPr>
      <w:r>
        <w:rPr>
          <w:rFonts w:ascii="Montserrat" w:hAnsi="Montserrat" w:eastAsia="Montserrat"/>
          <w:color w:val="1F2937"/>
          <w:sz w:val="21"/>
        </w:rPr>
        <w:t>Participation supports examination readiness but does not guarantee passage or determine eligibility.</w:t>
      </w:r>
    </w:p>
    <w:p>
      <w:pPr>
        <w:pStyle w:val="ListBullet"/>
        <w:spacing w:after="40"/>
      </w:pPr>
      <w:r>
        <w:rPr>
          <w:rFonts w:ascii="Montserrat" w:hAnsi="Montserrat" w:eastAsia="Montserrat"/>
          <w:color w:val="1F2937"/>
          <w:sz w:val="21"/>
        </w:rPr>
        <w:t>Candidates should follow the blueprint and rules that apply to their actual testing date and jurisdiction.</w:t>
      </w:r>
    </w:p>
    <w:p>
      <w:pPr>
        <w:pStyle w:val="Heading2"/>
      </w:pPr>
      <w:r>
        <w:t>Frequently Asked Questions</w:t>
      </w:r>
    </w:p>
    <w:p>
      <w:r>
        <w:rPr>
          <w:rFonts w:ascii="Montserrat" w:hAnsi="Montserrat" w:eastAsia="Montserrat"/>
          <w:b/>
          <w:color w:val="14294B"/>
          <w:sz w:val="21"/>
        </w:rPr>
        <w:t>Does this program provide continuing education credit?</w:t>
      </w:r>
    </w:p>
    <w:p>
      <w:r>
        <w:rPr>
          <w:rFonts w:ascii="Montserrat" w:hAnsi="Montserrat" w:eastAsia="Montserrat"/>
          <w:color w:val="1F2937"/>
          <w:sz w:val="20"/>
        </w:rPr>
        <w:t>No. It is an examination-preparation program and does not provide CE hours or a CE certificate.</w:t>
      </w:r>
    </w:p>
    <w:p>
      <w:r>
        <w:rPr>
          <w:rFonts w:ascii="Montserrat" w:hAnsi="Montserrat" w:eastAsia="Montserrat"/>
          <w:b/>
          <w:color w:val="14294B"/>
          <w:sz w:val="21"/>
        </w:rPr>
        <w:t>Is this program only for California candidates?</w:t>
      </w:r>
    </w:p>
    <w:p>
      <w:r>
        <w:rPr>
          <w:rFonts w:ascii="Montserrat" w:hAnsi="Montserrat" w:eastAsia="Montserrat"/>
          <w:color w:val="1F2937"/>
          <w:sz w:val="20"/>
        </w:rPr>
        <w:t>The program is designed around the national ASWB Clinical exam and is appropriate for eligible candidates in jurisdictions using that examination. California ASW/LCSW candidates are a primary audience.</w:t>
      </w:r>
    </w:p>
    <w:p>
      <w:r>
        <w:rPr>
          <w:rFonts w:ascii="Montserrat" w:hAnsi="Montserrat" w:eastAsia="Montserrat"/>
          <w:b/>
          <w:color w:val="14294B"/>
          <w:sz w:val="21"/>
        </w:rPr>
        <w:t>Does it reflect the August 2026 ASWB changes?</w:t>
      </w:r>
    </w:p>
    <w:p>
      <w:r>
        <w:rPr>
          <w:rFonts w:ascii="Montserrat" w:hAnsi="Montserrat" w:eastAsia="Montserrat"/>
          <w:color w:val="1F2937"/>
          <w:sz w:val="20"/>
        </w:rPr>
        <w:t>Yes. The controlling structure uses 122 total questions, 110 scored, 12 unscored, three content areas, mixed three- and four-option questions, and a four-hour limit.</w:t>
      </w:r>
    </w:p>
    <w:p>
      <w:r>
        <w:rPr>
          <w:rFonts w:ascii="Montserrat" w:hAnsi="Montserrat" w:eastAsia="Montserrat"/>
          <w:b/>
          <w:color w:val="14294B"/>
          <w:sz w:val="21"/>
        </w:rPr>
        <w:t>How many full simulations are included?</w:t>
      </w:r>
    </w:p>
    <w:p>
      <w:r>
        <w:rPr>
          <w:rFonts w:ascii="Montserrat" w:hAnsi="Montserrat" w:eastAsia="Montserrat"/>
          <w:color w:val="1F2937"/>
          <w:sz w:val="20"/>
        </w:rPr>
        <w:t>Two separate 122-question forms are included. Simulation rationales remain controlled until the associated form is submitted.</w:t>
      </w:r>
    </w:p>
    <w:p>
      <w:r>
        <w:rPr>
          <w:rFonts w:ascii="Montserrat" w:hAnsi="Montserrat" w:eastAsia="Montserrat"/>
          <w:b/>
          <w:color w:val="14294B"/>
          <w:sz w:val="21"/>
        </w:rPr>
        <w:t>Are the materials printable?</w:t>
      </w:r>
    </w:p>
    <w:p>
      <w:r>
        <w:rPr>
          <w:rFonts w:ascii="Montserrat" w:hAnsi="Montserrat" w:eastAsia="Montserrat"/>
          <w:color w:val="1F2937"/>
          <w:sz w:val="20"/>
        </w:rPr>
        <w:t>Yes. The program is designed for online study and printable use.</w:t>
      </w:r>
    </w:p>
    <w:p>
      <w:r>
        <w:rPr>
          <w:rFonts w:ascii="Montserrat" w:hAnsi="Montserrat" w:eastAsia="Montserrat"/>
          <w:b/>
          <w:color w:val="14294B"/>
          <w:sz w:val="21"/>
        </w:rPr>
        <w:t>Does CTA guarantee that I will pass?</w:t>
      </w:r>
    </w:p>
    <w:p>
      <w:r>
        <w:rPr>
          <w:rFonts w:ascii="Montserrat" w:hAnsi="Montserrat" w:eastAsia="Montserrat"/>
          <w:color w:val="1F2937"/>
          <w:sz w:val="20"/>
        </w:rPr>
        <w:t>No. CTA supports preparation and professional reasoning but cannot guarantee passage or determine exam eligibility.</w:t>
      </w:r>
    </w:p>
    <w:p>
      <w:r>
        <w:br w:type="page"/>
      </w:r>
    </w:p>
    <w:p>
      <w:pPr>
        <w:pStyle w:val="Heading1"/>
      </w:pPr>
      <w:r>
        <w:t>David Implementation Instructions</w:t>
      </w:r>
    </w:p>
    <w:tbl>
      <w:tblPr>
        <w:tblW w:type="auto" w:w="0"/>
        <w:jc w:val="center"/>
        <w:tblLook w:firstColumn="1" w:firstRow="1" w:lastColumn="0" w:lastRow="0" w:noHBand="0" w:noVBand="1" w:val="04A0"/>
      </w:tblPr>
      <w:tblGrid>
        <w:gridCol w:w="10224"/>
      </w:tblGrid>
      <w:tr>
        <w:trPr>
          <w:cantSplit/>
          <w:tblHeader/>
        </w:trPr>
        <w:tc>
          <w:tcPr>
            <w:tcW w:type="dxa" w:w="10224"/>
            <w:shd w:fill="DFF4E5"/>
            <w:tcMar>
              <w:top w:w="130" w:type="dxa"/>
              <w:start w:w="160" w:type="dxa"/>
              <w:bottom w:w="130" w:type="dxa"/>
              <w:end w:w="160" w:type="dxa"/>
            </w:tcMar>
            <w:tcBorders>
              <w:left w:val="single" w:sz="20" w:color="2E7D32"/>
            </w:tcBorders>
          </w:tcPr>
          <w:p>
            <w:r>
              <w:rPr>
                <w:rFonts w:ascii="Montserrat" w:hAnsi="Montserrat" w:eastAsia="Montserrat"/>
                <w:b/>
                <w:color w:val="14294B"/>
                <w:sz w:val="20"/>
              </w:rPr>
              <w:t>TWO SEPARATE PRODUCT PAGES</w:t>
              <w:br/>
            </w:r>
            <w:r>
              <w:rPr>
                <w:rFonts w:ascii="Montserrat" w:hAnsi="Montserrat" w:eastAsia="Montserrat"/>
                <w:color w:val="1F2937"/>
                <w:sz w:val="20"/>
              </w:rPr>
              <w:t>Create one LMFT product page and one LCSW ASWB product page. Do not create or sell a third “shared LMFT/LCSW” program. Shared lessons are an internal production layer and should appear inside each profession-specific program.</w:t>
            </w:r>
          </w:p>
        </w:tc>
      </w:tr>
    </w:tbl>
    <w:p>
      <w:pPr>
        <w:spacing w:after="0"/>
      </w:pPr>
    </w:p>
    <w:p>
      <w:pPr>
        <w:pStyle w:val="ListBullet"/>
        <w:spacing w:after="40"/>
      </w:pPr>
      <w:r>
        <w:rPr>
          <w:rFonts w:ascii="Montserrat" w:hAnsi="Montserrat" w:eastAsia="Montserrat"/>
          <w:color w:val="1F2937"/>
          <w:sz w:val="21"/>
        </w:rPr>
        <w:t>Use the exact public title, price, access period, examination name, and no-CE classification shown in this package.</w:t>
      </w:r>
    </w:p>
    <w:p>
      <w:pPr>
        <w:pStyle w:val="ListBullet"/>
        <w:spacing w:after="40"/>
      </w:pPr>
      <w:r>
        <w:rPr>
          <w:rFonts w:ascii="Montserrat" w:hAnsi="Montserrat" w:eastAsia="Montserrat"/>
          <w:color w:val="1F2937"/>
          <w:sz w:val="21"/>
        </w:rPr>
        <w:t>Keep the programs outside CTA CE-only memberships unless a later approved bundle specifically includes them.</w:t>
      </w:r>
    </w:p>
    <w:p>
      <w:pPr>
        <w:pStyle w:val="ListBullet"/>
        <w:spacing w:after="40"/>
      </w:pPr>
      <w:r>
        <w:rPr>
          <w:rFonts w:ascii="Montserrat" w:hAnsi="Montserrat" w:eastAsia="Montserrat"/>
          <w:color w:val="1F2937"/>
          <w:sz w:val="21"/>
        </w:rPr>
        <w:t>Use approved CTA branding and preserve the logo’s original proportions and white space.</w:t>
      </w:r>
    </w:p>
    <w:p>
      <w:pPr>
        <w:pStyle w:val="ListBullet"/>
        <w:spacing w:after="40"/>
      </w:pPr>
      <w:r>
        <w:rPr>
          <w:rFonts w:ascii="Montserrat" w:hAnsi="Montserrat" w:eastAsia="Montserrat"/>
          <w:color w:val="1F2937"/>
          <w:sz w:val="21"/>
        </w:rPr>
        <w:t>Do not place workbooks, question banks, simulation forms, answer keys, administrative item banks, QC reports, or production standards on a public webpage.</w:t>
      </w:r>
    </w:p>
    <w:p>
      <w:pPr>
        <w:pStyle w:val="ListBullet"/>
        <w:spacing w:after="40"/>
      </w:pPr>
      <w:r>
        <w:rPr>
          <w:rFonts w:ascii="Montserrat" w:hAnsi="Montserrat" w:eastAsia="Montserrat"/>
          <w:color w:val="1F2937"/>
          <w:sz w:val="21"/>
        </w:rPr>
        <w:t>Within the LMS, release each 17-question workbook bank after the matching workbook. The bank contains rationales and is a learning resource, not a closed-book summative exam.</w:t>
      </w:r>
    </w:p>
    <w:p>
      <w:pPr>
        <w:pStyle w:val="ListBullet"/>
        <w:spacing w:after="40"/>
      </w:pPr>
      <w:r>
        <w:rPr>
          <w:rFonts w:ascii="Montserrat" w:hAnsi="Montserrat" w:eastAsia="Montserrat"/>
          <w:color w:val="1F2937"/>
          <w:sz w:val="21"/>
        </w:rPr>
        <w:t>Keep comprehensive Form A and Form B answer keys and detailed rationales hidden until the associated form is submitted.</w:t>
      </w:r>
    </w:p>
    <w:p>
      <w:pPr>
        <w:pStyle w:val="ListBullet"/>
        <w:spacing w:after="40"/>
      </w:pPr>
      <w:r>
        <w:rPr>
          <w:rFonts w:ascii="Montserrat" w:hAnsi="Montserrat" w:eastAsia="Montserrat"/>
          <w:color w:val="1F2937"/>
          <w:sz w:val="21"/>
        </w:rPr>
        <w:t>Place administrative item banks, use logs, blueprint/QC reports, and production standards in a restricted administrator folder only.</w:t>
      </w:r>
    </w:p>
    <w:p>
      <w:pPr>
        <w:pStyle w:val="ListBullet"/>
        <w:spacing w:after="40"/>
      </w:pPr>
      <w:r>
        <w:rPr>
          <w:rFonts w:ascii="Montserrat" w:hAnsi="Montserrat" w:eastAsia="Montserrat"/>
          <w:color w:val="1F2937"/>
          <w:sz w:val="21"/>
        </w:rPr>
        <w:t>Move older 50-question workbook-exam drafts and legacy mock files to a clearly labeled nonpublishing archive.</w:t>
      </w:r>
    </w:p>
    <w:p>
      <w:pPr>
        <w:pStyle w:val="ListBullet"/>
        <w:spacing w:after="40"/>
      </w:pPr>
      <w:r>
        <w:rPr>
          <w:rFonts w:ascii="Montserrat" w:hAnsi="Montserrat" w:eastAsia="Montserrat"/>
          <w:color w:val="1F2937"/>
          <w:sz w:val="21"/>
        </w:rPr>
        <w:t>Complete a desktop, tablet, mobile, checkout, enrollment, download, score, completion, and student-role preview before making the page publicly available.</w:t>
      </w:r>
    </w:p>
    <w:p>
      <w:pPr>
        <w:pStyle w:val="Heading2"/>
      </w:pPr>
      <w:r>
        <w:t>Recommended LMS Folder Structure</w:t>
      </w:r>
    </w:p>
    <w:tbl>
      <w:tblPr>
        <w:tblW w:type="auto" w:w="0"/>
        <w:jc w:val="center"/>
        <w:tblLook w:firstColumn="1" w:firstRow="1" w:lastColumn="0" w:lastRow="0" w:noHBand="0" w:noVBand="1" w:val="04A0"/>
      </w:tblPr>
      <w:tblGrid>
        <w:gridCol w:w="10224"/>
      </w:tblGrid>
      <w:tr>
        <w:trPr>
          <w:cantSplit/>
          <w:tblHeader/>
        </w:trPr>
        <w:tc>
          <w:tcPr>
            <w:tcW w:type="dxa" w:w="10224"/>
            <w:shd w:fill="F3F4F6"/>
            <w:tcMar>
              <w:top w:w="130" w:type="dxa"/>
              <w:start w:w="160" w:type="dxa"/>
              <w:bottom w:w="130" w:type="dxa"/>
              <w:end w:w="160" w:type="dxa"/>
            </w:tcMar>
            <w:tcBorders>
              <w:left w:val="single" w:sz="20" w:color="14294B"/>
            </w:tcBorders>
          </w:tcPr>
          <w:p>
            <w:r>
              <w:rPr>
                <w:rFonts w:ascii="Montserrat" w:hAnsi="Montserrat" w:eastAsia="Montserrat"/>
                <w:b/>
                <w:color w:val="14294B"/>
                <w:sz w:val="20"/>
              </w:rPr>
              <w:br/>
            </w:r>
            <w:r>
              <w:rPr>
                <w:rFonts w:ascii="Montserrat" w:hAnsi="Montserrat" w:eastAsia="Montserrat"/>
                <w:color w:val="1F2937"/>
                <w:sz w:val="20"/>
              </w:rPr>
              <w:t>LCSW_ASWB_Clinical_Exam_Preparation/</w:t>
              <w:br/>
              <w:t xml:space="preserve">  00_Start_Here/</w:t>
              <w:br/>
              <w:t xml:space="preserve">  01_Workbooks/WB01 ... WB12/</w:t>
              <w:br/>
              <w:t xml:space="preserve">  02_Workbook_Question_Banks/WB01 ... WB12/</w:t>
              <w:br/>
              <w:t xml:space="preserve">  03_Comprehensive_Simulations/Form_A and Form_B/</w:t>
              <w:br/>
              <w:t xml:space="preserve">  90_Instructor_Admin_Restricted/</w:t>
              <w:br/>
              <w:t xml:space="preserve">  99_Archive_Superseded_Do_Not_Publish/</w:t>
            </w:r>
          </w:p>
        </w:tc>
      </w:tr>
    </w:tbl>
    <w:p>
      <w:pPr>
        <w:spacing w:after="0"/>
      </w:pPr>
    </w:p>
    <w:p>
      <w:r>
        <w:br w:type="page"/>
      </w:r>
    </w:p>
    <w:p>
      <w:pPr>
        <w:pStyle w:val="Heading1"/>
      </w:pPr>
      <w:r>
        <w:t>Release Inventory and File Controls</w:t>
      </w:r>
    </w:p>
    <w:tbl>
      <w:tblPr>
        <w:tblW w:type="auto" w:w="0"/>
        <w:jc w:val="center"/>
        <w:tblLayout w:type="fixed"/>
        <w:tblLook w:firstColumn="1" w:firstRow="1" w:lastColumn="0" w:lastRow="0" w:noHBand="0" w:noVBand="1" w:val="04A0"/>
      </w:tblPr>
      <w:tblGrid>
        <w:gridCol w:w="3168"/>
        <w:gridCol w:w="6768"/>
      </w:tblGrid>
      <w:tr>
        <w:trPr>
          <w:tblHeader w:val="true"/>
        </w:trPr>
        <w:tc>
          <w:tcPr>
            <w:tcW w:type="dxa" w:w="5112"/>
            <w:shd w:fill="14294B"/>
            <w:tcMar>
              <w:top w:w="80" w:type="dxa"/>
              <w:start w:w="100" w:type="dxa"/>
              <w:bottom w:w="80" w:type="dxa"/>
              <w:end w:w="100" w:type="dxa"/>
            </w:tcMar>
          </w:tcPr>
          <w:p>
            <w:r>
              <w:rPr>
                <w:rFonts w:ascii="Montserrat" w:hAnsi="Montserrat" w:eastAsia="Montserrat"/>
                <w:b/>
                <w:color w:val="FFFFFF"/>
                <w:sz w:val="19"/>
              </w:rPr>
              <w:t>Field</w:t>
            </w:r>
          </w:p>
        </w:tc>
        <w:tc>
          <w:tcPr>
            <w:tcW w:type="dxa" w:w="5112"/>
            <w:shd w:fill="14294B"/>
            <w:tcMar>
              <w:top w:w="80" w:type="dxa"/>
              <w:start w:w="100" w:type="dxa"/>
              <w:bottom w:w="80" w:type="dxa"/>
              <w:end w:w="100" w:type="dxa"/>
            </w:tcMar>
          </w:tcPr>
          <w:p>
            <w:r>
              <w:rPr>
                <w:rFonts w:ascii="Montserrat" w:hAnsi="Montserrat" w:eastAsia="Montserrat"/>
                <w:b/>
                <w:color w:val="FFFFFF"/>
                <w:sz w:val="19"/>
              </w:rPr>
              <w:t>Approved entry</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Student workbooks</w:t>
            </w:r>
          </w:p>
        </w:tc>
        <w:tc>
          <w:tcPr>
            <w:tcW w:type="dxa" w:w="6768"/>
            <w:tcMar>
              <w:top w:w="80" w:type="dxa"/>
              <w:start w:w="100" w:type="dxa"/>
              <w:bottom w:w="80" w:type="dxa"/>
              <w:end w:w="100" w:type="dxa"/>
            </w:tcMar>
            <w:vAlign w:val="top"/>
          </w:tcPr>
          <w:p>
            <w:r>
              <w:rPr>
                <w:rFonts w:ascii="Montserrat" w:hAnsi="Montserrat" w:eastAsia="Montserrat"/>
                <w:color w:val="1F2937"/>
                <w:sz w:val="19"/>
              </w:rPr>
              <w:t>12 — Ready</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Paired workbook question banks</w:t>
            </w:r>
          </w:p>
        </w:tc>
        <w:tc>
          <w:tcPr>
            <w:tcW w:type="dxa" w:w="6768"/>
            <w:tcMar>
              <w:top w:w="80" w:type="dxa"/>
              <w:start w:w="100" w:type="dxa"/>
              <w:bottom w:w="80" w:type="dxa"/>
              <w:end w:w="100" w:type="dxa"/>
            </w:tcMar>
            <w:vAlign w:val="top"/>
          </w:tcPr>
          <w:p>
            <w:r>
              <w:rPr>
                <w:rFonts w:ascii="Montserrat" w:hAnsi="Montserrat" w:eastAsia="Montserrat"/>
                <w:color w:val="1F2937"/>
                <w:sz w:val="19"/>
              </w:rPr>
              <w:t>12 — Ready; 17 items each; 204 total placements</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Comprehensive student forms</w:t>
            </w:r>
          </w:p>
        </w:tc>
        <w:tc>
          <w:tcPr>
            <w:tcW w:type="dxa" w:w="6768"/>
            <w:tcMar>
              <w:top w:w="80" w:type="dxa"/>
              <w:start w:w="100" w:type="dxa"/>
              <w:bottom w:w="80" w:type="dxa"/>
              <w:end w:w="100" w:type="dxa"/>
            </w:tcMar>
            <w:vAlign w:val="top"/>
          </w:tcPr>
          <w:p>
            <w:r>
              <w:rPr>
                <w:rFonts w:ascii="Montserrat" w:hAnsi="Montserrat" w:eastAsia="Montserrat"/>
                <w:color w:val="1F2937"/>
                <w:sz w:val="19"/>
              </w:rPr>
              <w:t>2 — Ready</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Comprehensive item placements</w:t>
            </w:r>
          </w:p>
        </w:tc>
        <w:tc>
          <w:tcPr>
            <w:tcW w:type="dxa" w:w="6768"/>
            <w:tcMar>
              <w:top w:w="80" w:type="dxa"/>
              <w:start w:w="100" w:type="dxa"/>
              <w:bottom w:w="80" w:type="dxa"/>
              <w:end w:w="100" w:type="dxa"/>
            </w:tcMar>
            <w:vAlign w:val="top"/>
          </w:tcPr>
          <w:p>
            <w:r>
              <w:rPr>
                <w:rFonts w:ascii="Montserrat" w:hAnsi="Montserrat" w:eastAsia="Montserrat"/>
                <w:color w:val="1F2937"/>
                <w:sz w:val="19"/>
              </w:rPr>
              <w:t>244 — 122 per form</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Answer-key/rationale files</w:t>
            </w:r>
          </w:p>
        </w:tc>
        <w:tc>
          <w:tcPr>
            <w:tcW w:type="dxa" w:w="6768"/>
            <w:tcMar>
              <w:top w:w="80" w:type="dxa"/>
              <w:start w:w="100" w:type="dxa"/>
              <w:bottom w:w="80" w:type="dxa"/>
              <w:end w:w="100" w:type="dxa"/>
            </w:tcMar>
            <w:vAlign w:val="top"/>
          </w:tcPr>
          <w:p>
            <w:r>
              <w:rPr>
                <w:rFonts w:ascii="Montserrat" w:hAnsi="Montserrat" w:eastAsia="Montserrat"/>
                <w:color w:val="1F2937"/>
                <w:sz w:val="19"/>
              </w:rPr>
              <w:t>2 — Controlled student release</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Administrative item banks</w:t>
            </w:r>
          </w:p>
        </w:tc>
        <w:tc>
          <w:tcPr>
            <w:tcW w:type="dxa" w:w="6768"/>
            <w:tcMar>
              <w:top w:w="80" w:type="dxa"/>
              <w:start w:w="100" w:type="dxa"/>
              <w:bottom w:w="80" w:type="dxa"/>
              <w:end w:w="100" w:type="dxa"/>
            </w:tcMar>
            <w:vAlign w:val="top"/>
          </w:tcPr>
          <w:p>
            <w:r>
              <w:rPr>
                <w:rFonts w:ascii="Montserrat" w:hAnsi="Montserrat" w:eastAsia="Montserrat"/>
                <w:color w:val="1F2937"/>
                <w:sz w:val="19"/>
              </w:rPr>
              <w:t>2 — Internal only</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Blueprint/QC reports</w:t>
            </w:r>
          </w:p>
        </w:tc>
        <w:tc>
          <w:tcPr>
            <w:tcW w:type="dxa" w:w="6768"/>
            <w:tcMar>
              <w:top w:w="80" w:type="dxa"/>
              <w:start w:w="100" w:type="dxa"/>
              <w:bottom w:w="80" w:type="dxa"/>
              <w:end w:w="100" w:type="dxa"/>
            </w:tcMar>
            <w:vAlign w:val="top"/>
          </w:tcPr>
          <w:p>
            <w:r>
              <w:rPr>
                <w:rFonts w:ascii="Montserrat" w:hAnsi="Montserrat" w:eastAsia="Montserrat"/>
                <w:color w:val="1F2937"/>
                <w:sz w:val="19"/>
              </w:rPr>
              <w:t>2 — Internal only</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Blocking file-integrity defects</w:t>
            </w:r>
          </w:p>
        </w:tc>
        <w:tc>
          <w:tcPr>
            <w:tcW w:type="dxa" w:w="6768"/>
            <w:tcMar>
              <w:top w:w="80" w:type="dxa"/>
              <w:start w:w="100" w:type="dxa"/>
              <w:bottom w:w="80" w:type="dxa"/>
              <w:end w:w="100" w:type="dxa"/>
            </w:tcMar>
            <w:vAlign w:val="top"/>
          </w:tcPr>
          <w:p>
            <w:r>
              <w:rPr>
                <w:rFonts w:ascii="Montserrat" w:hAnsi="Montserrat" w:eastAsia="Montserrat"/>
                <w:color w:val="1F2937"/>
                <w:sz w:val="19"/>
              </w:rPr>
              <w:t>0 — Pass</w:t>
            </w:r>
          </w:p>
        </w:tc>
      </w:tr>
    </w:tbl>
    <w:p>
      <w:pPr>
        <w:pStyle w:val="Heading2"/>
      </w:pPr>
      <w:r>
        <w:t>Files Included in This Complete Release Package</w:t>
      </w:r>
    </w:p>
    <w:p>
      <w:pPr>
        <w:pStyle w:val="ListBullet"/>
        <w:spacing w:after="40"/>
      </w:pPr>
      <w:r>
        <w:rPr>
          <w:rFonts w:ascii="Montserrat" w:hAnsi="Montserrat" w:eastAsia="Montserrat"/>
          <w:color w:val="1F2937"/>
          <w:sz w:val="21"/>
        </w:rPr>
        <w:t>This complete LMS and website release package, the package file manifest, and the SHA-256 verification manifest.</w:t>
      </w:r>
    </w:p>
    <w:p>
      <w:pPr>
        <w:pStyle w:val="ListBullet"/>
        <w:spacing w:after="40"/>
      </w:pPr>
      <w:r>
        <w:rPr>
          <w:rFonts w:ascii="Montserrat" w:hAnsi="Montserrat" w:eastAsia="Montserrat"/>
          <w:color w:val="1F2937"/>
          <w:sz w:val="21"/>
        </w:rPr>
        <w:t>All current learner-facing workbooks, banks, simulations, flashcards, quick references, schedules, trackers, FAQ, and implementation assets.</w:t>
      </w:r>
    </w:p>
    <w:p>
      <w:pPr>
        <w:pStyle w:val="ListBullet"/>
        <w:spacing w:after="40"/>
      </w:pPr>
      <w:r>
        <w:rPr>
          <w:rFonts w:ascii="Montserrat" w:hAnsi="Montserrat" w:eastAsia="Montserrat"/>
          <w:color w:val="1F2937"/>
          <w:sz w:val="21"/>
        </w:rPr>
        <w:t>The public program description, price, access period, FAQs, disclaimers, call-to-action text, and current ASWB test-day guidance.</w:t>
      </w:r>
    </w:p>
    <w:p>
      <w:pPr>
        <w:pStyle w:val="ListBullet"/>
        <w:spacing w:after="40"/>
      </w:pPr>
      <w:r>
        <w:rPr>
          <w:rFonts w:ascii="Montserrat" w:hAnsi="Montserrat" w:eastAsia="Montserrat"/>
          <w:color w:val="1F2937"/>
          <w:sz w:val="21"/>
        </w:rPr>
        <w:t>Controlled simulation rationales and administrative records are included in restricted folders. Unrecorded scripts and decks are included only in a clearly labeled future-production folder and must not be published.</w:t>
      </w:r>
    </w:p>
    <w:p>
      <w:pPr>
        <w:pStyle w:val="Heading2"/>
      </w:pPr>
      <w:r>
        <w:t>Files That Must Remain Restricted</w:t>
      </w:r>
    </w:p>
    <w:p>
      <w:pPr>
        <w:pStyle w:val="ListBullet"/>
        <w:spacing w:after="40"/>
      </w:pPr>
      <w:r>
        <w:rPr>
          <w:rFonts w:ascii="Montserrat" w:hAnsi="Montserrat" w:eastAsia="Montserrat"/>
          <w:color w:val="1F2937"/>
          <w:sz w:val="21"/>
        </w:rPr>
        <w:t>Administrative master item banks and use logs.</w:t>
      </w:r>
    </w:p>
    <w:p>
      <w:pPr>
        <w:pStyle w:val="ListBullet"/>
        <w:spacing w:after="40"/>
      </w:pPr>
      <w:r>
        <w:rPr>
          <w:rFonts w:ascii="Montserrat" w:hAnsi="Montserrat" w:eastAsia="Montserrat"/>
          <w:color w:val="1F2937"/>
          <w:sz w:val="21"/>
        </w:rPr>
        <w:t>Blueprint and quality-control reports.</w:t>
      </w:r>
    </w:p>
    <w:p>
      <w:pPr>
        <w:pStyle w:val="ListBullet"/>
        <w:spacing w:after="40"/>
      </w:pPr>
      <w:r>
        <w:rPr>
          <w:rFonts w:ascii="Montserrat" w:hAnsi="Montserrat" w:eastAsia="Montserrat"/>
          <w:color w:val="1F2937"/>
          <w:sz w:val="21"/>
        </w:rPr>
        <w:t>Simulation answer keys before form submission.</w:t>
      </w:r>
    </w:p>
    <w:p>
      <w:pPr>
        <w:pStyle w:val="ListBullet"/>
        <w:spacing w:after="40"/>
      </w:pPr>
      <w:r>
        <w:rPr>
          <w:rFonts w:ascii="Montserrat" w:hAnsi="Montserrat" w:eastAsia="Montserrat"/>
          <w:color w:val="1F2937"/>
          <w:sz w:val="21"/>
        </w:rPr>
        <w:t>Production standards, internal crosswalks, audit evidence files, and superseded drafts.</w:t>
      </w:r>
    </w:p>
    <w:p>
      <w:pPr>
        <w:pStyle w:val="ListBullet"/>
        <w:spacing w:after="40"/>
      </w:pPr>
      <w:r>
        <w:rPr>
          <w:rFonts w:ascii="Montserrat" w:hAnsi="Montserrat" w:eastAsia="Montserrat"/>
          <w:color w:val="1F2937"/>
          <w:sz w:val="21"/>
        </w:rPr>
        <w:t>Any file containing development notes, internal source paths, or protected unused items.</w:t>
      </w:r>
    </w:p>
    <w:p>
      <w:pPr>
        <w:pStyle w:val="Heading2"/>
      </w:pPr>
      <w:r>
        <w:t>Controlling Release Files</w:t>
      </w:r>
    </w:p>
    <w:p>
      <w:pPr>
        <w:pStyle w:val="ListBullet"/>
        <w:spacing w:after="40"/>
      </w:pPr>
      <w:r>
        <w:rPr>
          <w:rFonts w:ascii="Montserrat" w:hAnsi="Montserrat" w:eastAsia="Montserrat"/>
          <w:color w:val="1F2937"/>
          <w:sz w:val="21"/>
        </w:rPr>
        <w:t>CTA_LCSW_Master_Program_Index_and_Final_Release_Audit_v1.0.docx</w:t>
      </w:r>
    </w:p>
    <w:p>
      <w:pPr>
        <w:pStyle w:val="ListBullet"/>
        <w:spacing w:after="40"/>
      </w:pPr>
      <w:r>
        <w:rPr>
          <w:rFonts w:ascii="Montserrat" w:hAnsi="Montserrat" w:eastAsia="Montserrat"/>
          <w:color w:val="1F2937"/>
          <w:sz w:val="21"/>
        </w:rPr>
        <w:t>CTA_LCSW_WB7_17_Question_Bank_v1.0.docx</w:t>
      </w:r>
    </w:p>
    <w:p>
      <w:pPr>
        <w:pStyle w:val="ListBullet"/>
        <w:spacing w:after="40"/>
      </w:pPr>
      <w:r>
        <w:rPr>
          <w:rFonts w:ascii="Montserrat" w:hAnsi="Montserrat" w:eastAsia="Montserrat"/>
          <w:color w:val="1F2937"/>
          <w:sz w:val="21"/>
        </w:rPr>
        <w:t>CTA_LMFT_LCSW_Question_Bank_and_Comprehensive_Exam_Production_Standard_v1.1.docx</w:t>
      </w:r>
    </w:p>
    <w:p>
      <w:pPr>
        <w:pStyle w:val="ListBullet"/>
        <w:spacing w:after="40"/>
      </w:pPr>
      <w:r>
        <w:rPr>
          <w:rFonts w:ascii="Montserrat" w:hAnsi="Montserrat" w:eastAsia="Montserrat"/>
          <w:color w:val="1F2937"/>
          <w:sz w:val="21"/>
        </w:rPr>
        <w:t>CTA_LCSW_ASWB_Clinical_David_Complete_Release_File_Manifest_v1.0.csv</w:t>
      </w:r>
    </w:p>
    <w:p>
      <w:pPr>
        <w:pStyle w:val="ListBullet"/>
        <w:spacing w:after="40"/>
      </w:pPr>
      <w:r>
        <w:rPr>
          <w:rFonts w:ascii="Montserrat" w:hAnsi="Montserrat" w:eastAsia="Montserrat"/>
          <w:color w:val="1F2937"/>
          <w:sz w:val="21"/>
        </w:rPr>
        <w:t>CTA_LMFT_LCSW_Shared_Content_Dual_Development_Crosswalk_v1.3.xlsx</w:t>
      </w:r>
    </w:p>
    <w:p>
      <w:r>
        <w:br w:type="page"/>
      </w:r>
    </w:p>
    <w:p>
      <w:pPr>
        <w:pStyle w:val="Heading1"/>
      </w:pPr>
      <w:r>
        <w:t>Same-Day Launch Checklist</w:t>
      </w:r>
    </w:p>
    <w:tbl>
      <w:tblPr>
        <w:tblW w:type="auto" w:w="0"/>
        <w:jc w:val="center"/>
        <w:tblLayout w:type="fixed"/>
        <w:tblLook w:firstColumn="1" w:firstRow="1" w:lastColumn="0" w:lastRow="0" w:noHBand="0" w:noVBand="1" w:val="04A0"/>
      </w:tblPr>
      <w:tblGrid>
        <w:gridCol w:w="648"/>
        <w:gridCol w:w="9288"/>
      </w:tblGrid>
      <w:tr>
        <w:trPr>
          <w:tblHeader w:val="true"/>
        </w:trPr>
        <w:tc>
          <w:tcPr>
            <w:tcW w:type="dxa" w:w="5112"/>
            <w:shd w:fill="14294B"/>
            <w:tcMar>
              <w:top w:w="80" w:type="dxa"/>
              <w:start w:w="100" w:type="dxa"/>
              <w:bottom w:w="80" w:type="dxa"/>
              <w:end w:w="100" w:type="dxa"/>
            </w:tcMar>
          </w:tcPr>
          <w:p>
            <w:r>
              <w:rPr>
                <w:rFonts w:ascii="Montserrat" w:hAnsi="Montserrat" w:eastAsia="Montserrat"/>
                <w:b/>
                <w:color w:val="FFFFFF"/>
                <w:sz w:val="19"/>
              </w:rPr>
              <w:t>Done</w:t>
            </w:r>
          </w:p>
        </w:tc>
        <w:tc>
          <w:tcPr>
            <w:tcW w:type="dxa" w:w="5112"/>
            <w:shd w:fill="14294B"/>
            <w:tcMar>
              <w:top w:w="80" w:type="dxa"/>
              <w:start w:w="100" w:type="dxa"/>
              <w:bottom w:w="80" w:type="dxa"/>
              <w:end w:w="100" w:type="dxa"/>
            </w:tcMar>
          </w:tcPr>
          <w:p>
            <w:r>
              <w:rPr>
                <w:rFonts w:ascii="Montserrat" w:hAnsi="Montserrat" w:eastAsia="Montserrat"/>
                <w:b/>
                <w:color w:val="FFFFFF"/>
                <w:sz w:val="19"/>
              </w:rPr>
              <w:t>Launch action</w:t>
            </w:r>
          </w:p>
        </w:tc>
      </w:tr>
      <w:tr>
        <w:tc>
          <w:tcPr>
            <w:tcW w:type="dxa" w:w="648"/>
            <w:tcMar>
              <w:top w:w="80" w:type="dxa"/>
              <w:start w:w="100" w:type="dxa"/>
              <w:bottom w:w="80" w:type="dxa"/>
              <w:end w:w="100" w:type="dxa"/>
            </w:tcMar>
          </w:tcPr>
          <w:p>
            <w:pPr>
              <w:jc w:val="center"/>
            </w:pPr>
            <w:r>
              <w:rPr>
                <w:rFonts w:ascii="Montserrat" w:hAnsi="Montserrat" w:eastAsia="Montserrat"/>
                <w:color w:val="14294B"/>
                <w:sz w:val="24"/>
              </w:rPr>
              <w:t>☐</w:t>
            </w:r>
          </w:p>
        </w:tc>
        <w:tc>
          <w:tcPr>
            <w:tcW w:type="dxa" w:w="9288"/>
            <w:tcMar>
              <w:top w:w="80" w:type="dxa"/>
              <w:start w:w="100" w:type="dxa"/>
              <w:bottom w:w="80" w:type="dxa"/>
              <w:end w:w="100" w:type="dxa"/>
            </w:tcMar>
          </w:tcPr>
          <w:p>
            <w:r>
              <w:rPr>
                <w:rFonts w:ascii="Montserrat" w:hAnsi="Montserrat" w:eastAsia="Montserrat"/>
                <w:color w:val="1F2937"/>
                <w:sz w:val="19"/>
              </w:rPr>
              <w:t>Create the correct separate product page and use the exact public title.</w:t>
            </w:r>
          </w:p>
        </w:tc>
      </w:tr>
      <w:tr>
        <w:tc>
          <w:tcPr>
            <w:tcW w:type="dxa" w:w="648"/>
            <w:tcMar>
              <w:top w:w="80" w:type="dxa"/>
              <w:start w:w="100" w:type="dxa"/>
              <w:bottom w:w="80" w:type="dxa"/>
              <w:end w:w="100" w:type="dxa"/>
            </w:tcMar>
          </w:tcPr>
          <w:p>
            <w:pPr>
              <w:jc w:val="center"/>
            </w:pPr>
            <w:r>
              <w:rPr>
                <w:rFonts w:ascii="Montserrat" w:hAnsi="Montserrat" w:eastAsia="Montserrat"/>
                <w:color w:val="14294B"/>
                <w:sz w:val="24"/>
              </w:rPr>
              <w:t>☐</w:t>
            </w:r>
          </w:p>
        </w:tc>
        <w:tc>
          <w:tcPr>
            <w:tcW w:type="dxa" w:w="9288"/>
            <w:tcMar>
              <w:top w:w="80" w:type="dxa"/>
              <w:start w:w="100" w:type="dxa"/>
              <w:bottom w:w="80" w:type="dxa"/>
              <w:end w:w="100" w:type="dxa"/>
            </w:tcMar>
          </w:tcPr>
          <w:p>
            <w:r>
              <w:rPr>
                <w:rFonts w:ascii="Montserrat" w:hAnsi="Montserrat" w:eastAsia="Montserrat"/>
                <w:color w:val="1F2937"/>
                <w:sz w:val="19"/>
              </w:rPr>
              <w:t>Enter the $249 launch price and six-month access period.</w:t>
            </w:r>
          </w:p>
        </w:tc>
      </w:tr>
      <w:tr>
        <w:tc>
          <w:tcPr>
            <w:tcW w:type="dxa" w:w="648"/>
            <w:tcMar>
              <w:top w:w="80" w:type="dxa"/>
              <w:start w:w="100" w:type="dxa"/>
              <w:bottom w:w="80" w:type="dxa"/>
              <w:end w:w="100" w:type="dxa"/>
            </w:tcMar>
          </w:tcPr>
          <w:p>
            <w:pPr>
              <w:jc w:val="center"/>
            </w:pPr>
            <w:r>
              <w:rPr>
                <w:rFonts w:ascii="Montserrat" w:hAnsi="Montserrat" w:eastAsia="Montserrat"/>
                <w:color w:val="14294B"/>
                <w:sz w:val="24"/>
              </w:rPr>
              <w:t>☐</w:t>
            </w:r>
          </w:p>
        </w:tc>
        <w:tc>
          <w:tcPr>
            <w:tcW w:type="dxa" w:w="9288"/>
            <w:tcMar>
              <w:top w:w="80" w:type="dxa"/>
              <w:start w:w="100" w:type="dxa"/>
              <w:bottom w:w="80" w:type="dxa"/>
              <w:end w:w="100" w:type="dxa"/>
            </w:tcMar>
          </w:tcPr>
          <w:p>
            <w:r>
              <w:rPr>
                <w:rFonts w:ascii="Montserrat" w:hAnsi="Montserrat" w:eastAsia="Montserrat"/>
                <w:color w:val="1F2937"/>
                <w:sz w:val="19"/>
              </w:rPr>
              <w:t>Add the Exam Preparation • No CE Credit badge and notices.</w:t>
            </w:r>
          </w:p>
        </w:tc>
      </w:tr>
      <w:tr>
        <w:tc>
          <w:tcPr>
            <w:tcW w:type="dxa" w:w="648"/>
            <w:tcMar>
              <w:top w:w="80" w:type="dxa"/>
              <w:start w:w="100" w:type="dxa"/>
              <w:bottom w:w="80" w:type="dxa"/>
              <w:end w:w="100" w:type="dxa"/>
            </w:tcMar>
          </w:tcPr>
          <w:p>
            <w:pPr>
              <w:jc w:val="center"/>
            </w:pPr>
            <w:r>
              <w:rPr>
                <w:rFonts w:ascii="Montserrat" w:hAnsi="Montserrat" w:eastAsia="Montserrat"/>
                <w:color w:val="14294B"/>
                <w:sz w:val="24"/>
              </w:rPr>
              <w:t>☐</w:t>
            </w:r>
          </w:p>
        </w:tc>
        <w:tc>
          <w:tcPr>
            <w:tcW w:type="dxa" w:w="9288"/>
            <w:tcMar>
              <w:top w:w="80" w:type="dxa"/>
              <w:start w:w="100" w:type="dxa"/>
              <w:bottom w:w="80" w:type="dxa"/>
              <w:end w:w="100" w:type="dxa"/>
            </w:tcMar>
          </w:tcPr>
          <w:p>
            <w:r>
              <w:rPr>
                <w:rFonts w:ascii="Montserrat" w:hAnsi="Montserrat" w:eastAsia="Montserrat"/>
                <w:color w:val="1F2937"/>
                <w:sz w:val="19"/>
              </w:rPr>
              <w:t>Load the approved website description, inclusions, FAQs, SEO title, and meta description.</w:t>
            </w:r>
          </w:p>
        </w:tc>
      </w:tr>
      <w:tr>
        <w:tc>
          <w:tcPr>
            <w:tcW w:type="dxa" w:w="648"/>
            <w:tcMar>
              <w:top w:w="80" w:type="dxa"/>
              <w:start w:w="100" w:type="dxa"/>
              <w:bottom w:w="80" w:type="dxa"/>
              <w:end w:w="100" w:type="dxa"/>
            </w:tcMar>
          </w:tcPr>
          <w:p>
            <w:pPr>
              <w:jc w:val="center"/>
            </w:pPr>
            <w:r>
              <w:rPr>
                <w:rFonts w:ascii="Montserrat" w:hAnsi="Montserrat" w:eastAsia="Montserrat"/>
                <w:color w:val="14294B"/>
                <w:sz w:val="24"/>
              </w:rPr>
              <w:t>☐</w:t>
            </w:r>
          </w:p>
        </w:tc>
        <w:tc>
          <w:tcPr>
            <w:tcW w:type="dxa" w:w="9288"/>
            <w:tcMar>
              <w:top w:w="80" w:type="dxa"/>
              <w:start w:w="100" w:type="dxa"/>
              <w:bottom w:w="80" w:type="dxa"/>
              <w:end w:w="100" w:type="dxa"/>
            </w:tcMar>
          </w:tcPr>
          <w:p>
            <w:r>
              <w:rPr>
                <w:rFonts w:ascii="Montserrat" w:hAnsi="Montserrat" w:eastAsia="Montserrat"/>
                <w:color w:val="1F2937"/>
                <w:sz w:val="19"/>
              </w:rPr>
              <w:t>Use an approved CTA image and accessible alt text.</w:t>
            </w:r>
          </w:p>
        </w:tc>
      </w:tr>
      <w:tr>
        <w:tc>
          <w:tcPr>
            <w:tcW w:type="dxa" w:w="648"/>
            <w:tcMar>
              <w:top w:w="80" w:type="dxa"/>
              <w:start w:w="100" w:type="dxa"/>
              <w:bottom w:w="80" w:type="dxa"/>
              <w:end w:w="100" w:type="dxa"/>
            </w:tcMar>
          </w:tcPr>
          <w:p>
            <w:pPr>
              <w:jc w:val="center"/>
            </w:pPr>
            <w:r>
              <w:rPr>
                <w:rFonts w:ascii="Montserrat" w:hAnsi="Montserrat" w:eastAsia="Montserrat"/>
                <w:color w:val="14294B"/>
                <w:sz w:val="24"/>
              </w:rPr>
              <w:t>☐</w:t>
            </w:r>
          </w:p>
        </w:tc>
        <w:tc>
          <w:tcPr>
            <w:tcW w:type="dxa" w:w="9288"/>
            <w:tcMar>
              <w:top w:w="80" w:type="dxa"/>
              <w:start w:w="100" w:type="dxa"/>
              <w:bottom w:w="80" w:type="dxa"/>
              <w:end w:w="100" w:type="dxa"/>
            </w:tcMar>
          </w:tcPr>
          <w:p>
            <w:r>
              <w:rPr>
                <w:rFonts w:ascii="Montserrat" w:hAnsi="Montserrat" w:eastAsia="Montserrat"/>
                <w:color w:val="1F2937"/>
                <w:sz w:val="19"/>
              </w:rPr>
              <w:t>Configure checkout, enrollment, access expiration, and protected downloads.</w:t>
            </w:r>
          </w:p>
        </w:tc>
      </w:tr>
      <w:tr>
        <w:tc>
          <w:tcPr>
            <w:tcW w:type="dxa" w:w="648"/>
            <w:tcMar>
              <w:top w:w="80" w:type="dxa"/>
              <w:start w:w="100" w:type="dxa"/>
              <w:bottom w:w="80" w:type="dxa"/>
              <w:end w:w="100" w:type="dxa"/>
            </w:tcMar>
          </w:tcPr>
          <w:p>
            <w:pPr>
              <w:jc w:val="center"/>
            </w:pPr>
            <w:r>
              <w:rPr>
                <w:rFonts w:ascii="Montserrat" w:hAnsi="Montserrat" w:eastAsia="Montserrat"/>
                <w:color w:val="14294B"/>
                <w:sz w:val="24"/>
              </w:rPr>
              <w:t>☐</w:t>
            </w:r>
          </w:p>
        </w:tc>
        <w:tc>
          <w:tcPr>
            <w:tcW w:type="dxa" w:w="9288"/>
            <w:tcMar>
              <w:top w:w="80" w:type="dxa"/>
              <w:start w:w="100" w:type="dxa"/>
              <w:bottom w:w="80" w:type="dxa"/>
              <w:end w:w="100" w:type="dxa"/>
            </w:tcMar>
          </w:tcPr>
          <w:p>
            <w:r>
              <w:rPr>
                <w:rFonts w:ascii="Montserrat" w:hAnsi="Montserrat" w:eastAsia="Montserrat"/>
                <w:color w:val="1F2937"/>
                <w:sz w:val="19"/>
              </w:rPr>
              <w:t>Upload only current v1.0 files listed in the release manifest.</w:t>
            </w:r>
          </w:p>
        </w:tc>
      </w:tr>
      <w:tr>
        <w:tc>
          <w:tcPr>
            <w:tcW w:type="dxa" w:w="648"/>
            <w:tcMar>
              <w:top w:w="80" w:type="dxa"/>
              <w:start w:w="100" w:type="dxa"/>
              <w:bottom w:w="80" w:type="dxa"/>
              <w:end w:w="100" w:type="dxa"/>
            </w:tcMar>
          </w:tcPr>
          <w:p>
            <w:pPr>
              <w:jc w:val="center"/>
            </w:pPr>
            <w:r>
              <w:rPr>
                <w:rFonts w:ascii="Montserrat" w:hAnsi="Montserrat" w:eastAsia="Montserrat"/>
                <w:color w:val="14294B"/>
                <w:sz w:val="24"/>
              </w:rPr>
              <w:t>☐</w:t>
            </w:r>
          </w:p>
        </w:tc>
        <w:tc>
          <w:tcPr>
            <w:tcW w:type="dxa" w:w="9288"/>
            <w:tcMar>
              <w:top w:w="80" w:type="dxa"/>
              <w:start w:w="100" w:type="dxa"/>
              <w:bottom w:w="80" w:type="dxa"/>
              <w:end w:w="100" w:type="dxa"/>
            </w:tcMar>
          </w:tcPr>
          <w:p>
            <w:r>
              <w:rPr>
                <w:rFonts w:ascii="Montserrat" w:hAnsi="Montserrat" w:eastAsia="Montserrat"/>
                <w:color w:val="1F2937"/>
                <w:sz w:val="19"/>
              </w:rPr>
              <w:t>Keep simulation keys and all administrative files restricted.</w:t>
            </w:r>
          </w:p>
        </w:tc>
      </w:tr>
      <w:tr>
        <w:tc>
          <w:tcPr>
            <w:tcW w:type="dxa" w:w="648"/>
            <w:tcMar>
              <w:top w:w="80" w:type="dxa"/>
              <w:start w:w="100" w:type="dxa"/>
              <w:bottom w:w="80" w:type="dxa"/>
              <w:end w:w="100" w:type="dxa"/>
            </w:tcMar>
          </w:tcPr>
          <w:p>
            <w:pPr>
              <w:jc w:val="center"/>
            </w:pPr>
            <w:r>
              <w:rPr>
                <w:rFonts w:ascii="Montserrat" w:hAnsi="Montserrat" w:eastAsia="Montserrat"/>
                <w:color w:val="14294B"/>
                <w:sz w:val="24"/>
              </w:rPr>
              <w:t>☐</w:t>
            </w:r>
          </w:p>
        </w:tc>
        <w:tc>
          <w:tcPr>
            <w:tcW w:type="dxa" w:w="9288"/>
            <w:tcMar>
              <w:top w:w="80" w:type="dxa"/>
              <w:start w:w="100" w:type="dxa"/>
              <w:bottom w:w="80" w:type="dxa"/>
              <w:end w:w="100" w:type="dxa"/>
            </w:tcMar>
          </w:tcPr>
          <w:p>
            <w:r>
              <w:rPr>
                <w:rFonts w:ascii="Montserrat" w:hAnsi="Montserrat" w:eastAsia="Montserrat"/>
                <w:color w:val="1F2937"/>
                <w:sz w:val="19"/>
              </w:rPr>
              <w:t>Move superseded and legacy files to the nonpublishing archive.</w:t>
            </w:r>
          </w:p>
        </w:tc>
      </w:tr>
      <w:tr>
        <w:tc>
          <w:tcPr>
            <w:tcW w:type="dxa" w:w="648"/>
            <w:tcMar>
              <w:top w:w="80" w:type="dxa"/>
              <w:start w:w="100" w:type="dxa"/>
              <w:bottom w:w="80" w:type="dxa"/>
              <w:end w:w="100" w:type="dxa"/>
            </w:tcMar>
          </w:tcPr>
          <w:p>
            <w:pPr>
              <w:jc w:val="center"/>
            </w:pPr>
            <w:r>
              <w:rPr>
                <w:rFonts w:ascii="Montserrat" w:hAnsi="Montserrat" w:eastAsia="Montserrat"/>
                <w:color w:val="14294B"/>
                <w:sz w:val="24"/>
              </w:rPr>
              <w:t>☐</w:t>
            </w:r>
          </w:p>
        </w:tc>
        <w:tc>
          <w:tcPr>
            <w:tcW w:type="dxa" w:w="9288"/>
            <w:tcMar>
              <w:top w:w="80" w:type="dxa"/>
              <w:start w:w="100" w:type="dxa"/>
              <w:bottom w:w="80" w:type="dxa"/>
              <w:end w:w="100" w:type="dxa"/>
            </w:tcMar>
          </w:tcPr>
          <w:p>
            <w:r>
              <w:rPr>
                <w:rFonts w:ascii="Montserrat" w:hAnsi="Montserrat" w:eastAsia="Montserrat"/>
                <w:color w:val="1F2937"/>
                <w:sz w:val="19"/>
              </w:rPr>
              <w:t>Run a student-role test on desktop and mobile.</w:t>
            </w:r>
          </w:p>
        </w:tc>
      </w:tr>
      <w:tr>
        <w:tc>
          <w:tcPr>
            <w:tcW w:type="dxa" w:w="648"/>
            <w:tcMar>
              <w:top w:w="80" w:type="dxa"/>
              <w:start w:w="100" w:type="dxa"/>
              <w:bottom w:w="80" w:type="dxa"/>
              <w:end w:w="100" w:type="dxa"/>
            </w:tcMar>
          </w:tcPr>
          <w:p>
            <w:pPr>
              <w:jc w:val="center"/>
            </w:pPr>
            <w:r>
              <w:rPr>
                <w:rFonts w:ascii="Montserrat" w:hAnsi="Montserrat" w:eastAsia="Montserrat"/>
                <w:color w:val="14294B"/>
                <w:sz w:val="24"/>
              </w:rPr>
              <w:t>☐</w:t>
            </w:r>
          </w:p>
        </w:tc>
        <w:tc>
          <w:tcPr>
            <w:tcW w:type="dxa" w:w="9288"/>
            <w:tcMar>
              <w:top w:w="80" w:type="dxa"/>
              <w:start w:w="100" w:type="dxa"/>
              <w:bottom w:w="80" w:type="dxa"/>
              <w:end w:w="100" w:type="dxa"/>
            </w:tcMar>
          </w:tcPr>
          <w:p>
            <w:r>
              <w:rPr>
                <w:rFonts w:ascii="Montserrat" w:hAnsi="Montserrat" w:eastAsia="Montserrat"/>
                <w:color w:val="1F2937"/>
                <w:sz w:val="19"/>
              </w:rPr>
              <w:t>Confirm the website clearly states that recorded audio and video are not included at launch.</w:t>
            </w:r>
          </w:p>
        </w:tc>
      </w:tr>
      <w:tr>
        <w:tc>
          <w:tcPr>
            <w:tcW w:type="dxa" w:w="648"/>
            <w:tcMar>
              <w:top w:w="80" w:type="dxa"/>
              <w:start w:w="100" w:type="dxa"/>
              <w:bottom w:w="80" w:type="dxa"/>
              <w:end w:w="100" w:type="dxa"/>
            </w:tcMar>
          </w:tcPr>
          <w:p>
            <w:pPr>
              <w:jc w:val="center"/>
            </w:pPr>
            <w:r>
              <w:rPr>
                <w:rFonts w:ascii="Montserrat" w:hAnsi="Montserrat" w:eastAsia="Montserrat"/>
                <w:color w:val="14294B"/>
                <w:sz w:val="24"/>
              </w:rPr>
              <w:t>☐</w:t>
            </w:r>
          </w:p>
        </w:tc>
        <w:tc>
          <w:tcPr>
            <w:tcW w:type="dxa" w:w="9288"/>
            <w:tcMar>
              <w:top w:w="80" w:type="dxa"/>
              <w:start w:w="100" w:type="dxa"/>
              <w:bottom w:w="80" w:type="dxa"/>
              <w:end w:w="100" w:type="dxa"/>
            </w:tcMar>
          </w:tcPr>
          <w:p>
            <w:r>
              <w:rPr>
                <w:rFonts w:ascii="Montserrat" w:hAnsi="Montserrat" w:eastAsia="Montserrat"/>
                <w:color w:val="1F2937"/>
                <w:sz w:val="19"/>
              </w:rPr>
              <w:t>Obtain final administrator approval and record the launch date.</w:t>
            </w:r>
          </w:p>
        </w:tc>
      </w:tr>
    </w:tbl>
    <w:p>
      <w:pPr>
        <w:pStyle w:val="Heading2"/>
      </w:pPr>
      <w:r>
        <w:t>Final Sign-Off</w:t>
      </w:r>
    </w:p>
    <w:tbl>
      <w:tblPr>
        <w:tblW w:type="auto" w:w="0"/>
        <w:jc w:val="center"/>
        <w:tblLayout w:type="fixed"/>
        <w:tblLook w:firstColumn="1" w:firstRow="1" w:lastColumn="0" w:lastRow="0" w:noHBand="0" w:noVBand="1" w:val="04A0"/>
      </w:tblPr>
      <w:tblGrid>
        <w:gridCol w:w="3168"/>
        <w:gridCol w:w="6768"/>
      </w:tblGrid>
      <w:tr>
        <w:trPr>
          <w:tblHeader w:val="true"/>
        </w:trPr>
        <w:tc>
          <w:tcPr>
            <w:tcW w:type="dxa" w:w="5112"/>
            <w:shd w:fill="14294B"/>
            <w:tcMar>
              <w:top w:w="80" w:type="dxa"/>
              <w:start w:w="100" w:type="dxa"/>
              <w:bottom w:w="80" w:type="dxa"/>
              <w:end w:w="100" w:type="dxa"/>
            </w:tcMar>
          </w:tcPr>
          <w:p>
            <w:r>
              <w:rPr>
                <w:rFonts w:ascii="Montserrat" w:hAnsi="Montserrat" w:eastAsia="Montserrat"/>
                <w:b/>
                <w:color w:val="FFFFFF"/>
                <w:sz w:val="19"/>
              </w:rPr>
              <w:t>Field</w:t>
            </w:r>
          </w:p>
        </w:tc>
        <w:tc>
          <w:tcPr>
            <w:tcW w:type="dxa" w:w="5112"/>
            <w:shd w:fill="14294B"/>
            <w:tcMar>
              <w:top w:w="80" w:type="dxa"/>
              <w:start w:w="100" w:type="dxa"/>
              <w:bottom w:w="80" w:type="dxa"/>
              <w:end w:w="100" w:type="dxa"/>
            </w:tcMar>
          </w:tcPr>
          <w:p>
            <w:r>
              <w:rPr>
                <w:rFonts w:ascii="Montserrat" w:hAnsi="Montserrat" w:eastAsia="Montserrat"/>
                <w:b/>
                <w:color w:val="FFFFFF"/>
                <w:sz w:val="19"/>
              </w:rPr>
              <w:t>Approved entry</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Program administrator</w:t>
            </w:r>
          </w:p>
        </w:tc>
        <w:tc>
          <w:tcPr>
            <w:tcW w:type="dxa" w:w="6768"/>
            <w:tcMar>
              <w:top w:w="80" w:type="dxa"/>
              <w:start w:w="100" w:type="dxa"/>
              <w:bottom w:w="80" w:type="dxa"/>
              <w:end w:w="100" w:type="dxa"/>
            </w:tcMar>
            <w:vAlign w:val="top"/>
          </w:tcPr>
          <w:p>
            <w:r>
              <w:rPr>
                <w:rFonts w:ascii="Montserrat" w:hAnsi="Montserrat" w:eastAsia="Montserrat"/>
                <w:color w:val="1F2937"/>
                <w:sz w:val="19"/>
              </w:rPr>
              <w:t>______________________________</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Approval date</w:t>
            </w:r>
          </w:p>
        </w:tc>
        <w:tc>
          <w:tcPr>
            <w:tcW w:type="dxa" w:w="6768"/>
            <w:tcMar>
              <w:top w:w="80" w:type="dxa"/>
              <w:start w:w="100" w:type="dxa"/>
              <w:bottom w:w="80" w:type="dxa"/>
              <w:end w:w="100" w:type="dxa"/>
            </w:tcMar>
            <w:vAlign w:val="top"/>
          </w:tcPr>
          <w:p>
            <w:r>
              <w:rPr>
                <w:rFonts w:ascii="Montserrat" w:hAnsi="Montserrat" w:eastAsia="Montserrat"/>
                <w:color w:val="1F2937"/>
                <w:sz w:val="19"/>
              </w:rPr>
              <w:t>______________________________</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Website/LMS reviewer</w:t>
            </w:r>
          </w:p>
        </w:tc>
        <w:tc>
          <w:tcPr>
            <w:tcW w:type="dxa" w:w="6768"/>
            <w:tcMar>
              <w:top w:w="80" w:type="dxa"/>
              <w:start w:w="100" w:type="dxa"/>
              <w:bottom w:w="80" w:type="dxa"/>
              <w:end w:w="100" w:type="dxa"/>
            </w:tcMar>
            <w:vAlign w:val="top"/>
          </w:tcPr>
          <w:p>
            <w:r>
              <w:rPr>
                <w:rFonts w:ascii="Montserrat" w:hAnsi="Montserrat" w:eastAsia="Montserrat"/>
                <w:color w:val="1F2937"/>
                <w:sz w:val="19"/>
              </w:rPr>
              <w:t>______________________________</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Launch date</w:t>
            </w:r>
          </w:p>
        </w:tc>
        <w:tc>
          <w:tcPr>
            <w:tcW w:type="dxa" w:w="6768"/>
            <w:tcMar>
              <w:top w:w="80" w:type="dxa"/>
              <w:start w:w="100" w:type="dxa"/>
              <w:bottom w:w="80" w:type="dxa"/>
              <w:end w:w="100" w:type="dxa"/>
            </w:tcMar>
            <w:vAlign w:val="top"/>
          </w:tcPr>
          <w:p>
            <w:r>
              <w:rPr>
                <w:rFonts w:ascii="Montserrat" w:hAnsi="Montserrat" w:eastAsia="Montserrat"/>
                <w:color w:val="1F2937"/>
                <w:sz w:val="19"/>
              </w:rPr>
              <w:t>______________________________</w:t>
            </w:r>
          </w:p>
        </w:tc>
      </w:tr>
    </w:tbl>
    <w:p>
      <w:r>
        <w:br w:type="page"/>
      </w:r>
    </w:p>
    <w:p>
      <w:pPr>
        <w:pStyle w:val="Heading1"/>
      </w:pPr>
      <w:r>
        <w:t>Source Basis and Currency Control</w:t>
      </w:r>
    </w:p>
    <w:p>
      <w:r>
        <w:rPr>
          <w:rFonts w:ascii="Montserrat" w:hAnsi="Montserrat" w:eastAsia="Montserrat"/>
          <w:b/>
          <w:color w:val="1B9E9A"/>
          <w:sz w:val="22"/>
        </w:rPr>
        <w:t>Official sources rechecked August 3, 2026</w:t>
      </w:r>
    </w:p>
    <w:p>
      <w:r>
        <w:rPr>
          <w:rFonts w:ascii="Montserrat" w:hAnsi="Montserrat" w:eastAsia="Montserrat"/>
          <w:b/>
          <w:color w:val="14294B"/>
          <w:sz w:val="20"/>
        </w:rPr>
        <w:t>ASWB 2026 Exam Changes</w:t>
      </w:r>
      <w:r>
        <w:rPr>
          <w:rFonts w:ascii="Montserrat" w:hAnsi="Montserrat" w:eastAsia="Montserrat"/>
          <w:color w:val="1F2937"/>
          <w:sz w:val="18"/>
        </w:rPr>
        <w:br/>
        <w:t>Controls the effective date, total item count, unscored count, mixed option format, and time limit.</w:t>
        <w:br/>
        <w:t>https://www.aswb.org/2026exams/</w:t>
      </w:r>
    </w:p>
    <w:p>
      <w:r>
        <w:rPr>
          <w:rFonts w:ascii="Montserrat" w:hAnsi="Montserrat" w:eastAsia="Montserrat"/>
          <w:b/>
          <w:color w:val="14294B"/>
          <w:sz w:val="20"/>
        </w:rPr>
        <w:t>ASWB Examination Guidebook — August 2026 edition. Controls the Clinical content outline, question framework, section and break rules, and current test-center procedures for examinations administered beginning August 3, 2026.</w:t>
      </w:r>
      <w:r>
        <w:rPr>
          <w:rFonts w:ascii="Montserrat" w:hAnsi="Montserrat" w:eastAsia="Montserrat"/>
          <w:color w:val="1F2937"/>
          <w:sz w:val="18"/>
        </w:rPr>
      </w:r>
    </w:p>
    <w:p>
      <w:pPr>
        <w:pStyle w:val="Heading2"/>
      </w:pPr>
      <w:r>
        <w:t>Internal Sources</w:t>
      </w:r>
    </w:p>
    <w:p>
      <w:pPr>
        <w:pStyle w:val="ListBullet"/>
        <w:spacing w:after="40"/>
      </w:pPr>
      <w:r>
        <w:rPr>
          <w:rFonts w:ascii="Montserrat" w:hAnsi="Montserrat" w:eastAsia="Montserrat"/>
          <w:color w:val="1F2937"/>
          <w:sz w:val="21"/>
        </w:rPr>
        <w:t>CTA LCSW Master Program Index and Final Release Audit v1.0 — July 25, 2026.</w:t>
      </w:r>
    </w:p>
    <w:p>
      <w:pPr>
        <w:pStyle w:val="ListBullet"/>
        <w:spacing w:after="40"/>
      </w:pPr>
      <w:r>
        <w:rPr>
          <w:rFonts w:ascii="Montserrat" w:hAnsi="Montserrat" w:eastAsia="Montserrat"/>
          <w:color w:val="1F2937"/>
          <w:sz w:val="21"/>
        </w:rPr>
        <w:t>CTA LCSW Workbook 7 17-Question Bank v1.0 — July 2026.</w:t>
      </w:r>
    </w:p>
    <w:p>
      <w:pPr>
        <w:pStyle w:val="ListBullet"/>
        <w:spacing w:after="40"/>
      </w:pPr>
      <w:r>
        <w:rPr>
          <w:rFonts w:ascii="Montserrat" w:hAnsi="Montserrat" w:eastAsia="Montserrat"/>
          <w:color w:val="1F2937"/>
          <w:sz w:val="21"/>
        </w:rPr>
        <w:t>CTA LMFT/LCSW Question Bank and Comprehensive Exam Production Standard v1.1 — July 25, 2026.</w:t>
      </w:r>
    </w:p>
    <w:p>
      <w:pPr>
        <w:pStyle w:val="ListBullet"/>
        <w:spacing w:after="40"/>
      </w:pPr>
      <w:r>
        <w:rPr>
          <w:rFonts w:ascii="Montserrat" w:hAnsi="Montserrat" w:eastAsia="Montserrat"/>
          <w:color w:val="1F2937"/>
          <w:sz w:val="21"/>
        </w:rPr>
        <w:t>CTA LMFT/LCSW Shared Content and Dual-Development Crosswalk v1.3 — August 3, 2026.</w:t>
      </w:r>
    </w:p>
    <w:p>
      <w:pPr>
        <w:pStyle w:val="ListBullet"/>
        <w:spacing w:after="40"/>
      </w:pPr>
      <w:r>
        <w:rPr>
          <w:rFonts w:ascii="Montserrat" w:hAnsi="Montserrat" w:eastAsia="Montserrat"/>
          <w:color w:val="1F2937"/>
          <w:sz w:val="21"/>
        </w:rPr>
        <w:t>CTA Master Pricing, Subscription &amp; Bundle Catalog v3.1 — $249 clinical-program launch price.</w:t>
      </w:r>
    </w:p>
    <w:tbl>
      <w:tblPr>
        <w:tblW w:type="auto" w:w="0"/>
        <w:jc w:val="center"/>
        <w:tblLook w:firstColumn="1" w:firstRow="1" w:lastColumn="0" w:lastRow="0" w:noHBand="0" w:noVBand="1" w:val="04A0"/>
      </w:tblPr>
      <w:tblGrid>
        <w:gridCol w:w="10224"/>
      </w:tblGrid>
      <w:tr>
        <w:trPr>
          <w:cantSplit/>
          <w:tblHeader/>
        </w:trPr>
        <w:tc>
          <w:tcPr>
            <w:tcW w:type="dxa" w:w="10224"/>
            <w:shd w:fill="FFF4D6"/>
            <w:tcMar>
              <w:top w:w="130" w:type="dxa"/>
              <w:start w:w="160" w:type="dxa"/>
              <w:bottom w:w="130" w:type="dxa"/>
              <w:end w:w="160" w:type="dxa"/>
            </w:tcMar>
            <w:tcBorders>
              <w:left w:val="single" w:sz="20" w:color="C58A00"/>
            </w:tcBorders>
          </w:tcPr>
          <w:p>
            <w:r>
              <w:rPr>
                <w:rFonts w:ascii="Montserrat" w:hAnsi="Montserrat" w:eastAsia="Montserrat"/>
                <w:b/>
                <w:color w:val="14294B"/>
                <w:sz w:val="20"/>
              </w:rPr>
              <w:t>MAINTENANCE TRIGGER</w:t>
              <w:br/>
            </w:r>
            <w:r>
              <w:rPr>
                <w:rFonts w:ascii="Montserrat" w:hAnsi="Montserrat" w:eastAsia="Montserrat"/>
                <w:color w:val="1F2937"/>
                <w:sz w:val="20"/>
              </w:rPr>
              <w:t>Recheck official BBS/Pearson and ASWB candidate information before every major republication, after examination-format changes, and before any claim about question count, timing, scoring, or content weights.</w:t>
            </w:r>
          </w:p>
        </w:tc>
      </w:tr>
    </w:tbl>
    <w:p>
      <w:pPr>
        <w:spacing w:after="0"/>
      </w:pPr>
    </w:p>
    <w:p>
      <w:pPr>
        <w:spacing w:before="360"/>
        <w:jc w:val="center"/>
      </w:pPr>
      <w:r>
        <w:rPr>
          <w:rFonts w:ascii="Montserrat" w:hAnsi="Montserrat" w:eastAsia="Montserrat"/>
          <w:i/>
          <w:color w:val="6B7280"/>
          <w:sz w:val="18"/>
        </w:rPr>
        <w:t>Prepared for same-day website and LMS implementation • August 3, 2026</w:t>
      </w:r>
    </w:p>
    <w:sectPr w:rsidR="00FC693F" w:rsidRPr="0006063C" w:rsidSect="00034616">
      <w:headerReference w:type="default" r:id="rId9"/>
      <w:footerReference w:type="default" r:id="rId10"/>
      <w:pgSz w:w="12240" w:h="15840"/>
      <w:pgMar w:top="893" w:right="1008" w:bottom="893" w:left="1008"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ontserrat" w:hAnsi="Montserrat" w:eastAsia="Montserrat"/>
        <w:color w:val="6B7280"/>
        <w:sz w:val="16"/>
      </w:rPr>
      <w:t xml:space="preserve">Clinical Training and Supervision Academy  |  Exam Preparation  |  No CE Credit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1B9E9A"/>
      </w:pBdr>
    </w:pPr>
    <w:r>
      <w:drawing>
        <wp:inline xmlns:a="http://schemas.openxmlformats.org/drawingml/2006/main" xmlns:pic="http://schemas.openxmlformats.org/drawingml/2006/picture">
          <wp:extent cx="1417320" cy="471163"/>
          <wp:docPr id="1" name="Picture 1" descr="Image: item1.xml"/>
          <wp:cNvGraphicFramePr>
            <a:graphicFrameLocks noChangeAspect="1"/>
          </wp:cNvGraphicFramePr>
          <a:graphic>
            <a:graphicData uri="http://schemas.openxmlformats.org/drawingml/2006/picture">
              <pic:pic>
                <pic:nvPicPr>
                  <pic:cNvPr id="0" name="Primary Logo (Final).jpg"/>
                  <pic:cNvPicPr/>
                </pic:nvPicPr>
                <pic:blipFill>
                  <a:blip r:embed="rId1"/>
                  <a:stretch>
                    <a:fillRect/>
                  </a:stretch>
                </pic:blipFill>
                <pic:spPr>
                  <a:xfrm>
                    <a:off x="0" y="0"/>
                    <a:ext cx="1417320" cy="471163"/>
                  </a:xfrm>
                  <a:prstGeom prst="rect"/>
                </pic:spPr>
              </pic:pic>
            </a:graphicData>
          </a:graphic>
        </wp:inline>
      </w:drawing>
    </w:r>
    <w:r>
      <w:rPr>
        <w:rFonts w:ascii="Montserrat" w:hAnsi="Montserrat" w:eastAsia="Montserrat"/>
        <w:b/>
        <w:color w:val="14294B"/>
        <w:sz w:val="17"/>
      </w:rPr>
      <w:t xml:space="preserve">   LCSW ASWB Clinical Website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Montserrat" w:hAnsi="Montserrat" w:eastAsia="Montserrat"/>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ontserrat" w:hAnsi="Montserrat" w:eastAsia="Montserrat"/>
      <w:b/>
      <w:bCs/>
      <w:color w:val="14294B"/>
      <w:sz w:val="34"/>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Montserrat" w:hAnsi="Montserrat" w:eastAsia="Montserrat"/>
      <w:b/>
      <w:bCs/>
      <w:color w:val="1B9E9A"/>
      <w:sz w:val="26"/>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Montserrat" w:hAnsi="Montserrat" w:eastAsia="Montserrat"/>
      <w:b/>
      <w:bCs/>
      <w:color w:val="1429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ontserrat" w:hAnsi="Montserrat" w:eastAsia="Montserrat"/>
      <w:sz w:val="21"/>
    </w:rPr>
  </w:style>
  <w:style w:type="paragraph" w:styleId="ListBullet2">
    <w:name w:val="List Bullet 2"/>
    <w:basedOn w:val="Normal"/>
    <w:uiPriority w:val="99"/>
    <w:unhideWhenUsed/>
    <w:rsid w:val="00326F90"/>
    <w:pPr>
      <w:numPr>
        <w:numId w:val="2"/>
      </w:numPr>
      <w:contextualSpacing/>
    </w:pPr>
    <w:rPr>
      <w:rFonts w:ascii="Montserrat" w:hAnsi="Montserrat" w:eastAsia="Montserrat"/>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ontserrat" w:hAnsi="Montserrat" w:eastAsia="Montserrat"/>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Label">
    <w:name w:val="CTA Label"/>
    <w:pPr>
      <w:spacing w:after="40"/>
    </w:pPr>
    <w:rPr>
      <w:rFonts w:ascii="Montserrat" w:hAnsi="Montserrat" w:eastAsia="Montserrat"/>
      <w:b/>
      <w:color w:val="1B9E9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ASWB Clinical David Complete LMS and Website Release Package</dc:title>
  <dc:subject>Website copy, product configuration, ASWB August 2026 controls, and LMS implementation</dc:subject>
  <dc:creator>Clinical Training and Supervision Academy</dc:creator>
  <cp:keywords>CTA, LCSW, ASWB Clinical, exam preparation, August 2026</cp:keywords>
  <dc:description>Initial release package prepared for website and LMS implementation.</dc:description>
  <cp:lastModifiedBy>Clinical Training and Supervision Academy</cp:lastModifiedBy>
  <cp:revision>1</cp:revision>
  <dcterms:created xsi:type="dcterms:W3CDTF">2013-12-23T23:15:00Z</dcterms:created>
  <dcterms:modified xsi:type="dcterms:W3CDTF">2013-12-23T23:15:00Z</dcterms:modified>
  <cp:category/>
</cp:coreProperties>
</file>