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6"/>
        </w:rPr>
        <w:t>LCSW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2026 Form B — Administrative Master Item Bank and Use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04"/>
      </w:tblGrid>
      <w:tr>
        <w:tc>
          <w:tcPr>
            <w:tcW w:type="dxa" w:w="9504"/>
            <w:shd w:fill="EAF4F6"/>
            <w:tcBorders>
              <w:top w:val="single" w:sz="12" w:color="119DA4"/>
              <w:bottom w:val="single" w:sz="12" w:color="119DA4"/>
              <w:left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122 ITEMS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ASWB, BBS, or Pearson VUE.</w:t>
      </w:r>
    </w:p>
    <w:p>
      <w:r>
        <w:br w:type="page"/>
      </w:r>
    </w:p>
    <w:p>
      <w:pPr>
        <w:pStyle w:val="Heading1"/>
      </w:pPr>
      <w:r>
        <w:t>Controlled Inventory</w:t>
      </w:r>
    </w:p>
    <w:p>
      <w:r>
        <w:t>This file tracks Form B placement, source alignment, review status, revision, exposure, option count, and retirement. It is not a student resource.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Item ID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Q#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Cog.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Diff.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Opt.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Stem (abbrev.)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Rev.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Exp.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Retire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Mental status orientation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During a home visit, a client correctly states their name but cannot identify the day, the city, or why the social worker is prese…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Person-in-environment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presents with anxiety while also facing eviction, workplace discrimination, caregiving demands, and limited neighborhood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Protective factors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evaluating suicide risk, which finding would most clearly indicate an existing source of protection that can be strengthened in…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Provisional diagnosis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The available history strongly suggests a mood disorder, but the required time course and possible thyroid contribution have not y…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Open-ended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At intake, a client answers a structured checklist with one-word responses and asks what the information will be used for. What is…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Mood and affect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feeling “okay,” yet has a constricted facial expression, slowed speech, and tears throughout the interview. How 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discrepancy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the home as peaceful, while an authorized collateral source reports repeated threats and broken furniture. What…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Medication timing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Three days after an antidepressant increase, a client develops marked restlessness, reduced sleep, and irritability. What should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Developmental context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8-year-old resumes sleeping in a caregiver’s bed after changing schools and learning that a grandparent is seriously ill. What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Strengths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Although family members argue frequently, they organize effectively whenever a relative has a medical emergency. How should this p…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Substance-use pattern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calls weekend drinking “normal,” yet reports blackouts, missed shifts, and repeated conflict about alcohol. What line of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formulation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sensing an ancestor’s presence during prayer and says the experience is comforting and culturally expected. How…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Screening measure limits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standardized anxiety screen is elevated, but the client says several items were difficult to read and were guessed.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Readiness for change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sees the harms caused by stimulant use but says, “I am not sure I am ready to stop.” Which planning approach best matches…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Level of care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continues to cut, has no stable place to stay, and cannot reliably follow a crisis plan between weekly visits. What shoul…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Environmental barriers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chronic pain misses specialty appointments because the accessible transit service is frequently unavailable. How sho…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Grief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Several months after a spouse’s death, a client experiences waves of sadness and dreams of the spouse while maintaining work, frie…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rule-out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client who was functioning independently becomes suddenly inattentive and confused during treatment for pneumonia. What 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role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parent caring for two relatives says, “If I stop, everything falls apart,” while reporting anger, fatigue, and no time for medic…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goals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the main goal is to “get life under control.” What should the social worker do to make the goal useful for treatment…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 assessment sequence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losing a job, a client says, “My family would be better off if I disappeared.” What should the social worker clarify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Violence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increasingly specific thoughts of attacking a former supervisor and reports recently obtaining a firearm. What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Child abuse concern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school-age child reports being tied to a chair for hours when homework is incomplete.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assessment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a partner monitors calls, withholds identification documents, and threatens to take the children if the client leave…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Mania differential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For ten days, a client has slept very little, talked continuously, started several costly projects, and expressed grandiose plans.…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Psychosis and culture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 traditional mourning period, a client reports brief conversations with a deceased family member that are accepted within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 pacing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When asked for trauma details, a client stares blankly, stops tracking the conversation, and appears disconnected from the room. W…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Eating-disorder medical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prolonged food restriction, dizziness on standing, and a recent collapse at work. What should the social worker 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Older-adult exploitation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says a new companion changed online banking passwords and becomes angry whenever account statements are requested.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Adolescent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Before discussing a pregnancy concern, a 15-year-old asks exactly what may be told to a caregiver. What should the social worker 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Housing and psychiatric symptoms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becomes increasingly suspicious after repeated thefts and assaults in an overcrowded shelter. What should the social work…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Service planning with limited resources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is clinically appropriate for a day program but cannot attend because of shift work and lack of childcare. What should th…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Diagnosis and grief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Two months after a sibling’s death, a client reports intense longing, disrupted sleep, and intermittent sadness without psychosis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Acute confusion and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After a new prescription, an older client becomes disoriented, wanders outside at night, and intermittently fails to recognize fam…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Suicide, substance use, and housing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discharged from inpatient care reports suicidal thoughts, daily intoxication, a pending lockout, and no reliable way to 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WB6;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development and family stress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 begins fighting after a parent is incarcerated, the family moves twice, and contact with supportive relatives is lost. Whi…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Medical, medication, and mood differential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Following several medication changes, a client develops feverish sweating, shaking, confusion, and marked agitation. What should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WB5;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Capacity, autonomy, and exploitation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adult with mild memory problems wants to transfer substantial savings to a recent acquaintance, while relatives insist on takin…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LCSW-MQB-FB-AP-039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IAssessment and Planning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planning across systems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hallucinations are controlled, but repeated benefit suspensions, inaccessible housing, and landlord bias keep causing 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WB3–WB7; ASWB 2026 Clinical Content Area 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Motivational interviewing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ambivalent about changing cannabis use. Which social-worker response best reflects the spirit and method of motivation…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Program evaluation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Why should a clinical program routinely compare participant outcomes with the services that were delivered?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Reflective listening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“I hate what alcohol is doing to my family, but it is the only thing that quiets my mind.” Which response is most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Behavioral activation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depression spends nearly every day in bed and has stopped cooking, walking, and contacting friends. What is an appro…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Grounding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discussion of a reminder of past trauma, a client becomes highly distressed but remains alert and responsive. Which interve…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Solution-focused exceptions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insists that arguments are “always terrible,” then recalls one recent disagreement that ended calmly. What should the soc…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Psychoeducation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Relatives assume that a family member no longer needs follow-up because psychotic symptoms have decreased. What should the social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management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is juggling counseling, food insecurity, missed medical visits, and an unreliable ride to work. What is the best case-man…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Advocacy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benefits office denies a qualified client’s request because staff applied the wrong eligibility rule. What should the social wor…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fit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requests a trauma method for which the social worker has no training or supervised experience. What should the social wor…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Interdisciplinary collaboration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nurse believes a client can be discharged today, while the social worker identifies unresolved safety and housing problems. What…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facilitation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a support group, two members answer nearly every question and quieter participants stop contributing. What should the facilitat…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Parenting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caregiver asks for help reducing a young child’s explosive behavior. Which initial parenting intervention is most useful?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Grief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grieving client says others avoid mentioning the deceased and the client needs a place to remember the relationship. What should…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Measurement-based care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rating scale shows fewer symptoms, but the client reports losing a job and becoming less able to manage daily tasks. What should…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Research literacy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promising intervention study used only 18 participants from one clinic and lost nearly half before follow-up. How should the soc…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Supervision feedback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argues with each corrective comment and says the supervisor “does not understand the case.” What should the superviso…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review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 goals have been achieved and a client proposes ending services. What should occur before termination?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de-escalation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a lobby, a distressed client shouts, clenches fists, and moves into another person’s space. What should the social worker do fi…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Suicide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states an intention to die tonight, describes the method, has access to the means, and cannot participate in a safety pla…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safety planning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survivor of partner violence wants support but is not prepared to separate from the partner.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Psychosis engagement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who believes clinic staff are part of a conspiracy refuses medication and says no one can be trusted. What should the soc…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Substance harm reduction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who uses opioids declines abstinence treatment but asks how to lower the chance of another overdose. What should the soci…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 exposure pacing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asks to start intensive trauma exposure despite frequent dissociation and an inability to use grounding skills. What shou…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Family conflict and safety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Before a planned family meeting, one participant privately says speaking honestly at home leads to retaliation. What should the so…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conflict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During group, two members stand up, exchange threats, and ignore requests to stop. What should the facilitator do first?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Warm referral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repeatedly misses a specialty clinic’s intake because forms, phone menus, and required documents are confusing. What shou…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Hospital discharge advocacy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rehabilitation hospital proposes discharge to a residence with stairs and no accessible bathroom for a client who uses a wheelch…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behavioral intervention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student’s outbursts appear almost exclusively when reading assignments exceed current skill level. What should the school social…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 support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family caregiver says, “I am so depleted that sometimes I want to walk away and never return.”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Program fidelity and adaptation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community group has been culturally modified, but staff have removed the core practice elements associated with benefit. What sh…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and client risk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Despite coaching, a supervisee continues overlooking warning signs in high-risk cases. What should the supervisor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Termination after dropout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recent suicidal behavior abruptly stops attending and does not answer usual outreach. What should the social worker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Crisis, housing, and continuity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is medically cleared after a crisis but has only an unsafe outdoor location, no transportation, and no working phone. Wha…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Family intervention and coercion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 asks for conflict-resolution exercises, but one person reports stalking, threats, and control of money by another member.…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Evidence, culture, and preference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recommended intervention has strong evidence, but the client associates the setting and method with prior discrimination and say…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WB8–WB11;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Program evaluation and equity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Overall program scores rise, yet participants using language services are leaving treatment at twice the rate of other participant…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Interdisciplinary disagreement and autonomy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capable client chooses intensive home-based services after the team recommends residential placement. What should the social wor…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LCSW-MQB-FB-IP-039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IIIntervention and Practice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Supervision, administration, and quality improvement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agency’s notes are late across multiple teams, and staff report that the record system freezes repeatedly each day. What should…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WB10; CTA LCSW WB11; ASWB 2026 Clinical Content Area III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Self-determination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statement best describes why social workers protect a capable client’s right to participate in decisions about goals and ser…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Informed consent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At a second session, a client reveals that the service, likely risks, and alternatives were not understood when the forms were sig…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Confidentiality and privilege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is deciding whether to release information routinely and whether to testify in court. Which distinction between co…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humility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professional stance most closely reflects cultural humility in an assessment with a client whose background differs from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Professional competence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Before offering a highly specialized intervention, what evidence most strongly supports that the social worker is competent to pro…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Client-defined goals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wants help returning to work, while the social worker thinks unresolved grief is the more important issue. What should th…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Language access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can converse in English but cannot follow the legal and clinical terminology in the service agreement. What should the so…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Gift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Near the end of services, a client offers a modest ceremonial item connected to the client’s community traditions.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LCSW-MQB-FB-VE-009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Social media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current client asks to follow the social worker’s private account and sends a personal connection request. What is the best resp…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Accurate documentation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Because of productivity pressure, a supervisor directs staff to reuse last month’s risk narrative without reassessing the client.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Minimum necessary disclosure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housing advocate asks for all clinical notes even though only disability-related functional information is needed. What should t…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Conflict of interest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While reviewing an application for emergency funds, a social worker discovers that the applicant is a close neighbor and family fr…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112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Mandated services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probation-referred client says mandatory attendance means the agency can disclose anything and decide every treatment detail. Wh…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Record correction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points out that the record lists the wrong employer and an inaccurate date.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Fee transparency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receives an invoice containing a cancellation fee that was not included in the original fee discussion. What should the 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Professional use of self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manner closely resembles an abusive relative from the social worker’s past, and the social worker notices unusually str…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Technology competence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Before using an AI-generated case summary in assessment and documentation, what should the social worker do?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Impairment and functioning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clinician manages a chronic condition with effective treatment and accommodations and continues to practice safely. Which conclu…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LCSW-MQB-FB-VE-019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boundaries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supervisor assigns a complex forensic task to a new supervisee who has received no relevant training. What should the supervisee…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Ethical consultation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encounters competing ethical duties and is unsure whether an exception applies. When would consultation add the mo…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Before a therapy group begins, a participant asks the facilitator to promise that no member will ever repeat what is said. What sh…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Billing integrity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coworker proposes billing for a 60-minute service after only 30 minutes were delivered because the agency needs the revenue. Wha…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Policy conflict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new agency rule restricts services in a way that appears harmful and inconsistent with professional obligations.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Informed refusal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After receiving adequate information, a capable voluntary client refuses the recommended program. What should the social worker do…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Boundary drift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Over several weeks, a client offers costly items, seeks personal contact, and asks the social worker to join family celebrations.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Confidential message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family work, one caregiver sends accusations about another participant and insists that the message remain secret.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Subpoena response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3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legal demand for the complete client file arrives at the agency. What should the social worker do before releasing anything?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 access and third-party information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asks to inspect the record, which contains information a collateral source expected would remain private. What should the…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LCSW-MQB-FB-VE-029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Social justice and service barriers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clinic labels clients “noncompliant” and closes their cases after missed visits, even though transportation failures are widespr…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Supervisor impairment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observes that the supervisor is increasingly disorganized, unavailable during crises, and inconsistent in direction.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Research participation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clinician invites current therapy clients to join a study the clinician directs and can see who declines. What should be address…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Telehealth privacy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joins a video session from a crowded waiting area and answers sensitive questions in a whisper. What should the social wo…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Dual-role pressure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school asks the same social worker to counsel a student privately and later serve as the decision-maker in the student’s discipl…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Administrative falsification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administrator instructs staff to enter completed-service notes for appointments that never occurred so performance targets appe…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LCSW-MQB-FB-VE-035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and continuity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clinician is unexpectedly leaving a program, and several clients need intensive follow-up and coordinated transfer. What should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LCSW-MQB-FB-VE-036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26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Client complaint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the social worker relied on a stereotype and felt dismissive of an important cultural practice. What should the soci…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LCSW-MQB-FB-VE-037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99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Colleague misconduct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social worker learns that a coworker routinely tells recognizable client stories at community gatherings. What should the social…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LCSW-MQB-FB-VE-038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Safety and confidentiality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communicates a specific and credible threat against a named person and withdraws permission to contact anyone. What shoul…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LCSW-MQB-FB-VE-039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Cultural values and autonomy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capable older client prefers to include a daughter in all service decisions, while the treatment team says autonomy requires exc…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LCSW-MQB-FB-VE-040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Technology, consent, and equity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clinic wants all scheduling and clinical communication to occur through a smartphone application despite many clients lacking de…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LCSW-MQB-FB-VE-041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80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Supervision and documentation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supervisee reports leaving danger-related facts out of notes after being told that such details make the program look bad. What 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LCSW-MQB-FB-VE-042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75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Organizational ethics and scarce resources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Two clients meet the same written criteria for one available crisis-housing placement. What is the best ethical allocation process…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LCSW-MQB-FB-VE-043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37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Former-client boundary and access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Years after termination, a former client proposes a joint business venture that would benefit from the social worker’s professiona…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LCSW-MQB-FB-VE-044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51</w:t>
            </w:r>
          </w:p>
        </w:tc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Values and Ethics</w:t>
            </w:r>
          </w:p>
        </w:tc>
        <w:tc>
          <w:tcPr>
            <w:tcW w:type="dxa" w:w="12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Ethical decision-making process</w:t>
            </w:r>
          </w:p>
        </w:tc>
        <w:tc>
          <w:tcPr>
            <w:tcW w:type="dxa" w:w="7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4</w:t>
            </w:r>
          </w:p>
        </w:tc>
        <w:tc>
          <w:tcPr>
            <w:tcW w:type="dxa" w:w="4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case presents conflicting client preferences, possible danger, agency directives, and unclear legal requirements. What decision-…</w:t>
            </w:r>
          </w:p>
        </w:tc>
        <w:tc>
          <w:tcPr>
            <w:tcW w:type="dxa" w:w="1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LCSW WB2; CTA LCSW WB12; ASWB 2026 Clinical Content Area I</w:t>
            </w:r>
          </w:p>
        </w:tc>
        <w:tc>
          <w:tcPr>
            <w:tcW w:type="dxa" w:w="5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4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06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B</w:t>
            </w:r>
          </w:p>
        </w:tc>
        <w:tc>
          <w:tcPr>
            <w:tcW w:type="dxa" w:w="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</w:tbl>
    <w:p>
      <w:pPr>
        <w:pStyle w:val="Heading1"/>
      </w:pPr>
      <w:r>
        <w:t>Use-Log Rules</w:t>
      </w:r>
    </w:p>
    <w:p>
      <w:r>
        <w:t>Record any reuse, revision, alternate-form placement, exposure increase, or retirement before release. Rebalancing answer positions requires review of the complete option set and rationales; do not move labels mechanically.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18" w:right="518" w:bottom="518" w:left="51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LCSW Clinical Comprehensive Simulation — 2026 Form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2026 Comprehensive Simulation Form B — Administrative Master Bank</dc:title>
  <dc:subject>Controlled item inventory and use log</dc:subject>
  <dc:creator>Clinical Training Academy</dc:creator>
  <cp:keywords>LCSW, ASWB, clinical examination, comprehensive simulation, Form B, 2026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