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59C9C"/>
          <w:sz w:val="28"/>
        </w:rPr>
        <w:t>CLINICAL TRAINING ACADEMY</w:t>
      </w:r>
    </w:p>
    <w:p>
      <w:pPr>
        <w:pStyle w:val="Title"/>
        <w:jc w:val="center"/>
      </w:pPr>
      <w:r>
        <w:t>LCSW Clinical Comprehensive Simulation</w:t>
      </w:r>
    </w:p>
    <w:p>
      <w:pPr>
        <w:pStyle w:val="Subtitle"/>
        <w:jc w:val="center"/>
      </w:pPr>
      <w:r>
        <w:t>2026 ASWB Form A Production Blueprint and Assembly Matrix</w:t>
      </w:r>
    </w:p>
    <w:p>
      <w:pPr>
        <w:jc w:val="center"/>
      </w:pPr>
      <w:r>
        <w:rPr>
          <w:rFonts w:ascii="Arial" w:hAnsi="Arial"/>
          <w:color w:val="202B3C"/>
          <w:sz w:val="22"/>
        </w:rPr>
        <w:t>Version 1.0 • July 25, 2026</w:t>
      </w:r>
    </w:p>
    <w:p>
      <w:pPr>
        <w:spacing w:before="700"/>
        <w:jc w:val="center"/>
      </w:pPr>
      <w:r>
        <w:rPr>
          <w:rFonts w:ascii="Arial" w:hAnsi="Arial"/>
          <w:i/>
          <w:color w:val="4A5564"/>
          <w:sz w:val="22"/>
        </w:rPr>
        <w:t>Controlled production framework for blueprint alignment, exam assembly, answer-key controls, and release review</w:t>
      </w:r>
    </w:p>
    <w:p>
      <w:pPr>
        <w:spacing w:before="2000"/>
        <w:jc w:val="center"/>
      </w:pPr>
      <w:r>
        <w:rPr>
          <w:rFonts w:ascii="Arial" w:hAnsi="Arial"/>
          <w:b/>
          <w:color w:val="17365D"/>
          <w:sz w:val="19"/>
        </w:rPr>
        <w:t>INTERNAL ADMINISTRATIVE RESOURCE</w:t>
      </w:r>
    </w:p>
    <w:p>
      <w:pPr>
        <w:jc w:val="center"/>
      </w:pPr>
      <w:r>
        <w:rPr>
          <w:rFonts w:ascii="Arial" w:hAnsi="Arial"/>
          <w:color w:val="5A6675"/>
          <w:sz w:val="17"/>
        </w:rPr>
        <w:t>Not an official licensing examination. CTA is not affiliated with or endorsed by BBS, Pearson VUE, or ASWB.</w:t>
      </w:r>
    </w:p>
    <w:p>
      <w:r>
        <w:br w:type="page"/>
      </w:r>
    </w:p>
    <w:p>
      <w:pPr>
        <w:pStyle w:val="Heading1"/>
      </w:pPr>
      <w:r>
        <w:t>1. Official Examination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9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2026 ASWB Clinical Structure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Effective date</w:t>
            </w:r>
          </w:p>
        </w:tc>
        <w:tc>
          <w:tcPr>
            <w:tcW w:type="dxa" w:w="79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For examinations administered on or after August 3, 2026</w:t>
            </w:r>
          </w:p>
        </w:tc>
      </w:tr>
      <w:tr>
        <w:tc>
          <w:tcPr>
            <w:tcW w:type="dxa" w:w="309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Total questions</w:t>
            </w:r>
          </w:p>
        </w:tc>
        <w:tc>
          <w:tcPr>
            <w:tcW w:type="dxa" w:w="799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122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Scored questions</w:t>
            </w:r>
          </w:p>
        </w:tc>
        <w:tc>
          <w:tcPr>
            <w:tcW w:type="dxa" w:w="79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110</w:t>
            </w:r>
          </w:p>
        </w:tc>
      </w:tr>
      <w:tr>
        <w:tc>
          <w:tcPr>
            <w:tcW w:type="dxa" w:w="309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Unscored pretest questions</w:t>
            </w:r>
          </w:p>
        </w:tc>
        <w:tc>
          <w:tcPr>
            <w:tcW w:type="dxa" w:w="799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12, dispersed and not identified on the official exam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Time</w:t>
            </w:r>
          </w:p>
        </w:tc>
        <w:tc>
          <w:tcPr>
            <w:tcW w:type="dxa" w:w="79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Four hours</w:t>
            </w:r>
          </w:p>
        </w:tc>
      </w:tr>
      <w:tr>
        <w:tc>
          <w:tcPr>
            <w:tcW w:type="dxa" w:w="309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Sections</w:t>
            </w:r>
          </w:p>
        </w:tc>
        <w:tc>
          <w:tcPr>
            <w:tcW w:type="dxa" w:w="799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Two 61-question sections; CTA Form A provides a break point after question 61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Options</w:t>
            </w:r>
          </w:p>
        </w:tc>
        <w:tc>
          <w:tcPr>
            <w:tcW w:type="dxa" w:w="79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Mixed three- and four-option multiple choice, with more three-option items</w:t>
            </w:r>
          </w:p>
        </w:tc>
      </w:tr>
      <w:tr>
        <w:tc>
          <w:tcPr>
            <w:tcW w:type="dxa" w:w="309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Blueprint</w:t>
            </w:r>
          </w:p>
        </w:tc>
        <w:tc>
          <w:tcPr>
            <w:tcW w:type="dxa" w:w="799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Three content areas with increased emphasis on applied professional knowledge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CTA Form A design</w:t>
            </w:r>
          </w:p>
          <w:p>
            <w:pPr>
              <w:spacing w:after="0"/>
            </w:pPr>
            <w:r>
              <w:rPr>
                <w:rFonts w:ascii="Arial" w:hAnsi="Arial"/>
                <w:color w:val="202B3C"/>
                <w:sz w:val="19"/>
              </w:rPr>
              <w:t>Form A will contain 122 questions. The answer-key file will identify the 110 scored-style items and 12 pretest-style items for CTA scoring purposes; the student exam will not label pretest-style items.</w:t>
            </w:r>
          </w:p>
        </w:tc>
        <w:trPr>
          <w:tblHeader/>
        </w:trPr>
      </w:tr>
    </w:tbl>
    <w:p/>
    <w:p>
      <w:pPr>
        <w:pStyle w:val="Heading1"/>
      </w:pPr>
      <w:r>
        <w:t>2. Official Blueprint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44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Official Content Area</w:t>
            </w:r>
          </w:p>
        </w:tc>
        <w:tc>
          <w:tcPr>
            <w:tcW w:type="dxa" w:w="10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Scored-Style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Pretest-Style</w:t>
            </w:r>
          </w:p>
        </w:tc>
        <w:tc>
          <w:tcPr>
            <w:tcW w:type="dxa" w:w="136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 Form</w:t>
            </w:r>
          </w:p>
        </w:tc>
      </w:tr>
      <w:tr>
        <w:tc>
          <w:tcPr>
            <w:tcW w:type="dxa" w:w="446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I. Values and Ethics</w:t>
            </w:r>
          </w:p>
        </w:tc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36%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40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</w:t>
            </w:r>
          </w:p>
        </w:tc>
        <w:tc>
          <w:tcPr>
            <w:tcW w:type="dxa" w:w="13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44</w:t>
            </w:r>
          </w:p>
        </w:tc>
      </w:tr>
      <w:tr>
        <w:tc>
          <w:tcPr>
            <w:tcW w:type="dxa" w:w="446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II. Assessment and Planning</w:t>
            </w:r>
          </w:p>
        </w:tc>
        <w:tc>
          <w:tcPr>
            <w:tcW w:type="dxa" w:w="100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32%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35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</w:t>
            </w:r>
          </w:p>
        </w:tc>
        <w:tc>
          <w:tcPr>
            <w:tcW w:type="dxa" w:w="136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39</w:t>
            </w:r>
          </w:p>
        </w:tc>
      </w:tr>
      <w:tr>
        <w:tc>
          <w:tcPr>
            <w:tcW w:type="dxa" w:w="446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III. Intervention and Practice</w:t>
            </w:r>
          </w:p>
        </w:tc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32%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35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</w:t>
            </w:r>
          </w:p>
        </w:tc>
        <w:tc>
          <w:tcPr>
            <w:tcW w:type="dxa" w:w="13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39</w:t>
            </w:r>
          </w:p>
        </w:tc>
      </w:tr>
      <w:tr>
        <w:tc>
          <w:tcPr>
            <w:tcW w:type="dxa" w:w="446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TOTAL</w:t>
            </w:r>
          </w:p>
        </w:tc>
        <w:tc>
          <w:tcPr>
            <w:tcW w:type="dxa" w:w="100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100%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110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</w:t>
            </w:r>
          </w:p>
        </w:tc>
        <w:tc>
          <w:tcPr>
            <w:tcW w:type="dxa" w:w="136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122</w:t>
            </w:r>
          </w:p>
        </w:tc>
      </w:tr>
    </w:tbl>
    <w:p/>
    <w:p>
      <w:pPr>
        <w:pStyle w:val="Heading1"/>
      </w:pPr>
      <w:r>
        <w:t>3. Content-Area Coverage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8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 Coverage Themes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Values and Ethics</w:t>
            </w:r>
          </w:p>
        </w:tc>
        <w:tc>
          <w:tcPr>
            <w:tcW w:type="dxa" w:w="784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Professional values; self-determination; informed consent; confidentiality and privacy; boundaries; conflicts of interest; competence; cultural humility; social justice; ethical decision-making; documentation; technology; supervision and administration; professional use of self.</w:t>
            </w:r>
          </w:p>
        </w:tc>
      </w:tr>
      <w:tr>
        <w:tc>
          <w:tcPr>
            <w:tcW w:type="dxa" w:w="3240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Assessment and Planning</w:t>
            </w:r>
          </w:p>
        </w:tc>
        <w:tc>
          <w:tcPr>
            <w:tcW w:type="dxa" w:w="784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Human development and person-in-environment; biopsychosocial assessment; mental status; risk; trauma and abuse; diagnosis and differential reasoning; medical and medication factors; strengths and resources; readiness; level of care; collaborative goals and service planning.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Intervention and Practice</w:t>
            </w:r>
          </w:p>
        </w:tc>
        <w:tc>
          <w:tcPr>
            <w:tcW w:type="dxa" w:w="784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Therapeutic relationship; interviewing; crisis response; evidence-informed interventions; individual, family, couple, and group methods; case management; advocacy; referrals; interdisciplinary collaboration; evaluation; research literacy; supervision; administration; termination and follow-up.</w:t>
            </w:r>
          </w:p>
        </w:tc>
      </w:tr>
    </w:tbl>
    <w:p/>
    <w:p>
      <w:pPr>
        <w:pStyle w:val="Heading1"/>
      </w:pPr>
      <w:r>
        <w:t>4. Option-Count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4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Item Type</w:t>
            </w:r>
          </w:p>
        </w:tc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Scored-Style</w:t>
            </w:r>
          </w:p>
        </w:tc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Pretest-Style</w:t>
            </w:r>
          </w:p>
        </w:tc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 Form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Three-option items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66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7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73</w:t>
            </w:r>
          </w:p>
        </w:tc>
      </w:tr>
      <w:tr>
        <w:tc>
          <w:tcPr>
            <w:tcW w:type="dxa" w:w="345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Four-option items</w:t>
            </w:r>
          </w:p>
        </w:tc>
        <w:tc>
          <w:tcPr>
            <w:tcW w:type="dxa" w:w="223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44</w:t>
            </w:r>
          </w:p>
        </w:tc>
        <w:tc>
          <w:tcPr>
            <w:tcW w:type="dxa" w:w="223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5</w:t>
            </w:r>
          </w:p>
        </w:tc>
        <w:tc>
          <w:tcPr>
            <w:tcW w:type="dxa" w:w="194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49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TOTAL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110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122</w:t>
            </w:r>
          </w:p>
        </w:tc>
      </w:tr>
    </w:tbl>
    <w:p/>
    <w:p>
      <w:r>
        <w:t>This 60/40 internal mix is a CTA production target based on ASWB’s stated transition toward more three-option questions; it is not presented as an official fixed percentage.</w:t>
      </w:r>
    </w:p>
    <w:p>
      <w:pPr>
        <w:pStyle w:val="Heading1"/>
      </w:pPr>
      <w:r>
        <w:t>5. Cognitive and Difficulty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4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Scored-Style Target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Pretest-Style Target</w:t>
            </w:r>
          </w:p>
        </w:tc>
        <w:tc>
          <w:tcPr>
            <w:tcW w:type="dxa" w:w="17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Direct recognition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10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11</w:t>
            </w:r>
          </w:p>
        </w:tc>
      </w:tr>
      <w:tr>
        <w:tc>
          <w:tcPr>
            <w:tcW w:type="dxa" w:w="345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Application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45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5</w:t>
            </w:r>
          </w:p>
        </w:tc>
        <w:tc>
          <w:tcPr>
            <w:tcW w:type="dxa" w:w="172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50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Scenario-based reasoning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38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42</w:t>
            </w:r>
          </w:p>
        </w:tc>
      </w:tr>
      <w:tr>
        <w:tc>
          <w:tcPr>
            <w:tcW w:type="dxa" w:w="345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Integrated reasoning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17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2</w:t>
            </w:r>
          </w:p>
        </w:tc>
        <w:tc>
          <w:tcPr>
            <w:tcW w:type="dxa" w:w="172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19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TOTAL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110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4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Scored-Style Target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Pretest-Style Target</w:t>
            </w:r>
          </w:p>
        </w:tc>
        <w:tc>
          <w:tcPr>
            <w:tcW w:type="dxa" w:w="17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Easy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28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31</w:t>
            </w:r>
          </w:p>
        </w:tc>
      </w:tr>
      <w:tr>
        <w:tc>
          <w:tcPr>
            <w:tcW w:type="dxa" w:w="345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Moderate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55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6</w:t>
            </w:r>
          </w:p>
        </w:tc>
        <w:tc>
          <w:tcPr>
            <w:tcW w:type="dxa" w:w="172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61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Difficult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27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30</w:t>
            </w:r>
          </w:p>
        </w:tc>
      </w:tr>
      <w:tr>
        <w:tc>
          <w:tcPr>
            <w:tcW w:type="dxa" w:w="345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TOTAL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110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</w:t>
            </w:r>
          </w:p>
        </w:tc>
        <w:tc>
          <w:tcPr>
            <w:tcW w:type="dxa" w:w="172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122</w:t>
            </w:r>
          </w:p>
        </w:tc>
      </w:tr>
    </w:tbl>
    <w:p/>
    <w:p>
      <w:pPr>
        <w:pStyle w:val="Heading1"/>
      </w:pPr>
      <w:r>
        <w:t>6. Answer-Key Controls</w:t>
      </w:r>
    </w:p>
    <w:p>
      <w:pPr>
        <w:pStyle w:val="ListBullet"/>
        <w:ind w:left="288" w:hanging="173"/>
      </w:pPr>
      <w:r>
        <w:t>Scored-style key target: A=33, B=33, C=33, D=11.</w:t>
      </w:r>
    </w:p>
    <w:p>
      <w:pPr>
        <w:pStyle w:val="ListBullet"/>
        <w:ind w:left="288" w:hanging="173"/>
      </w:pPr>
      <w:r>
        <w:t>Pretest-style key target: A=4, B=3, C=4, D=1.</w:t>
      </w:r>
    </w:p>
    <w:p>
      <w:pPr>
        <w:pStyle w:val="ListBullet"/>
        <w:ind w:left="288" w:hanging="173"/>
      </w:pPr>
      <w:r>
        <w:t>Whole-form target: A=37, B=36, C=37, D=12.</w:t>
      </w:r>
    </w:p>
    <w:p>
      <w:pPr>
        <w:pStyle w:val="ListBullet"/>
        <w:ind w:left="288" w:hanging="173"/>
      </w:pPr>
      <w:r>
        <w:t>D appears only on four-option items.</w:t>
      </w:r>
    </w:p>
    <w:p>
      <w:pPr>
        <w:pStyle w:val="ListBullet"/>
        <w:ind w:left="288" w:hanging="173"/>
      </w:pPr>
      <w:r>
        <w:t>Three-option and four-option items are mixed throughout both sections.</w:t>
      </w:r>
    </w:p>
    <w:p>
      <w:pPr>
        <w:pStyle w:val="ListBullet"/>
        <w:ind w:left="288" w:hanging="173"/>
      </w:pPr>
      <w:r>
        <w:t>Avoid more than three identical answer positions in a row and avoid detectable option-count patterns.</w:t>
      </w:r>
    </w:p>
    <w:p>
      <w:pPr>
        <w:pStyle w:val="Heading1"/>
      </w:pPr>
      <w:r>
        <w:t>7. Two-Section Assembly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Questions</w:t>
            </w:r>
          </w:p>
        </w:tc>
        <w:tc>
          <w:tcPr>
            <w:tcW w:type="dxa" w:w="72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Assembly Rule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Section 1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1–61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Representative mix of all three content areas, option counts, and difficulties. Candidate submits the section before the break.</w:t>
            </w:r>
          </w:p>
        </w:tc>
      </w:tr>
      <w:tr>
        <w:tc>
          <w:tcPr>
            <w:tcW w:type="dxa" w:w="230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Scheduled break point</w:t>
            </w:r>
          </w:p>
        </w:tc>
        <w:tc>
          <w:tcPr>
            <w:tcW w:type="dxa" w:w="15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After 61</w:t>
            </w:r>
          </w:p>
        </w:tc>
        <w:tc>
          <w:tcPr>
            <w:tcW w:type="dxa" w:w="7200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CTA instructions provide a pause of up to 10 minutes. Answers from section one should be treated as closed during a timed simulation.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Section 2</w:t>
            </w:r>
          </w:p>
        </w:tc>
        <w:tc>
          <w:tcPr>
            <w:tcW w:type="dxa" w:w="15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62–122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Equivalent overall content-area coverage and difficulty without mirroring the order of section one.</w:t>
            </w:r>
          </w:p>
        </w:tc>
      </w:tr>
    </w:tbl>
    <w:p/>
    <w:p>
      <w:pPr>
        <w:pStyle w:val="Heading1"/>
      </w:pPr>
      <w:r>
        <w:t>8. Required Student and Administrative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77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Student Exam</w:t>
            </w:r>
          </w:p>
        </w:tc>
        <w:tc>
          <w:tcPr>
            <w:tcW w:type="dxa" w:w="770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122 mixed questions; two-section instructions; answer sheet; no rationales or content-area labels.</w:t>
            </w:r>
          </w:p>
        </w:tc>
      </w:tr>
      <w:tr>
        <w:tc>
          <w:tcPr>
            <w:tcW w:type="dxa" w:w="33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Answer Key and Detailed Rationales</w:t>
            </w:r>
          </w:p>
        </w:tc>
        <w:tc>
          <w:tcPr>
            <w:tcW w:type="dxa" w:w="770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Correct answers; option-by-option explanations; CTA Exam Strategy; official content-area coding; CTA scored/pretest designation.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Administrative Master Bank / Use Log</w:t>
            </w:r>
          </w:p>
        </w:tc>
        <w:tc>
          <w:tcPr>
            <w:tcW w:type="dxa" w:w="770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Permanent item IDs, knowledge-statement coding, sources, review status, form placement, revisions, exposure, and retirement.</w:t>
            </w:r>
          </w:p>
        </w:tc>
      </w:tr>
      <w:tr>
        <w:tc>
          <w:tcPr>
            <w:tcW w:type="dxa" w:w="33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Blueprint and QC Report</w:t>
            </w:r>
          </w:p>
        </w:tc>
        <w:tc>
          <w:tcPr>
            <w:tcW w:type="dxa" w:w="770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Counts, weights, option mix, cognitive demand, difficulty, answer balance, duplicate review, accessibility, and visual QA results.</w:t>
            </w:r>
          </w:p>
        </w:tc>
      </w:tr>
    </w:tbl>
    <w:p/>
    <w:p>
      <w:pPr>
        <w:pStyle w:val="Heading1"/>
      </w:pPr>
      <w:r>
        <w:t>9. Release Checklist</w:t>
      </w:r>
    </w:p>
    <w:p>
      <w:pPr>
        <w:pStyle w:val="ListBullet"/>
        <w:ind w:left="288" w:hanging="173"/>
      </w:pPr>
      <w:r>
        <w:t>122 total items and 110/12 CTA scored-style/pretest-style design confirmed.</w:t>
      </w:r>
    </w:p>
    <w:p>
      <w:pPr>
        <w:pStyle w:val="ListBullet"/>
        <w:ind w:left="288" w:hanging="173"/>
      </w:pPr>
      <w:r>
        <w:t>40/35/35 scored-item allocation and 44/39/39 total-form allocation confirmed.</w:t>
      </w:r>
    </w:p>
    <w:p>
      <w:pPr>
        <w:pStyle w:val="ListBullet"/>
        <w:ind w:left="288" w:hanging="173"/>
      </w:pPr>
      <w:r>
        <w:t>Three-option items exceed four-option items across the form.</w:t>
      </w:r>
    </w:p>
    <w:p>
      <w:pPr>
        <w:pStyle w:val="ListBullet"/>
        <w:ind w:left="288" w:hanging="173"/>
      </w:pPr>
      <w:r>
        <w:t>Application and professional reasoning predominate over recall.</w:t>
      </w:r>
    </w:p>
    <w:p>
      <w:pPr>
        <w:pStyle w:val="ListBullet"/>
        <w:ind w:left="288" w:hanging="173"/>
      </w:pPr>
      <w:r>
        <w:t>Values, ethics, cultural humility, and self-determination receive the highest content-area allocation.</w:t>
      </w:r>
    </w:p>
    <w:p>
      <w:pPr>
        <w:pStyle w:val="ListBullet"/>
        <w:ind w:left="288" w:hanging="173"/>
      </w:pPr>
      <w:r>
        <w:t>Current legal, diagnostic, medication, and specialty statements are source verified.</w:t>
      </w:r>
    </w:p>
    <w:p>
      <w:pPr>
        <w:pStyle w:val="ListBullet"/>
        <w:ind w:left="288" w:hanging="173"/>
      </w:pPr>
      <w:r>
        <w:t>No workbook labels, public-sample copying, or near-duplicate items remain.</w:t>
      </w:r>
    </w:p>
    <w:p>
      <w:pPr>
        <w:pStyle w:val="ListBullet"/>
        <w:ind w:left="288" w:hanging="173"/>
      </w:pPr>
      <w:r>
        <w:t>Accessibility audit passes; comments and tracked changes are absent; every page is visually inspected.</w:t>
      </w:r>
    </w:p>
    <w:p>
      <w:pPr>
        <w:pStyle w:val="Heading1"/>
      </w:pPr>
      <w:r>
        <w:t>Source Basis</w:t>
      </w:r>
    </w:p>
    <w:p>
      <w:r>
        <w:t>Official sources reviewed July 25, 2026: ASWB 2026 changes to the Social Work Licensing Exams; ASWB Examination Guidebook for examinations administered on or after August 3, 2026; ASWB exam scoring and break-policy resources; California Board of Behavioral Sciences LCSW Clinical Examination resources.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Accuracy reminder</w:t>
            </w:r>
          </w:p>
          <w:p>
            <w:pPr>
              <w:spacing w:after="0"/>
            </w:pPr>
            <w:r>
              <w:rPr>
                <w:rFonts w:ascii="Arial" w:hAnsi="Arial"/>
                <w:color w:val="202B3C"/>
                <w:sz w:val="19"/>
              </w:rPr>
              <w:t>The date a candidate tests determines which ASWB blueprint applies. Reverify official ASWB resources before publication and clearly distinguish pre-August 3, 2026 materials from the 2026 exam.</w:t>
            </w:r>
          </w:p>
        </w:tc>
        <w:trPr>
          <w:tblHeader/>
        </w:trPr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675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59C9C"/>
        <w:sz w:val="16"/>
      </w:rPr>
      <w:t>CLINICAL TRAINING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59C9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b/>
      <w:i/>
      <w:iCs/>
      <w:color w:val="159C9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Label">
    <w:name w:val="CTA Label"/>
    <w:pPr>
      <w:spacing w:after="40"/>
    </w:pPr>
    <w:rPr>
      <w:rFonts w:ascii="Arial" w:hAnsi="Arial"/>
      <w:b/>
      <w:color w:val="159C9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LCSW Clinical Comprehensive Simulation</dc:title>
  <dc:subject>2026 ASWB Form A Production Blueprint and Assembly Matrix</dc:subject>
  <dc:creator>Clinical Training Academy</dc:creator>
  <cp:keywords>LMFT, LCSW, clinical exam, comprehensive simulation, blueprint, exam preparation</cp:keywords>
  <dc:description>Controlled educational production resource.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