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59C9C"/>
          <w:sz w:val="28"/>
        </w:rPr>
        <w:t>CLINICAL TRAINING ACADEMY</w:t>
      </w:r>
    </w:p>
    <w:p>
      <w:pPr>
        <w:pStyle w:val="Title"/>
        <w:jc w:val="center"/>
      </w:pPr>
      <w:r>
        <w:t>LMFT &amp; LCSW Clinical Exam Preparation Programs</w:t>
      </w:r>
    </w:p>
    <w:p>
      <w:pPr>
        <w:pStyle w:val="Subtitle"/>
        <w:jc w:val="center"/>
      </w:pPr>
      <w:r>
        <w:t>Question Bank and Comprehensive Exam Production Standard — Revised Structure</w:t>
      </w:r>
    </w:p>
    <w:p>
      <w:pPr>
        <w:jc w:val="center"/>
      </w:pPr>
      <w:r>
        <w:rPr>
          <w:rFonts w:ascii="Arial" w:hAnsi="Arial"/>
          <w:color w:val="202B3C"/>
          <w:sz w:val="22"/>
        </w:rPr>
        <w:t>Version 1.1 • July 25, 2026</w:t>
      </w:r>
    </w:p>
    <w:p>
      <w:pPr>
        <w:spacing w:before="700"/>
        <w:jc w:val="center"/>
      </w:pPr>
      <w:r>
        <w:rPr>
          <w:rFonts w:ascii="Arial" w:hAnsi="Arial"/>
          <w:i/>
          <w:color w:val="4A5564"/>
          <w:sz w:val="22"/>
        </w:rPr>
        <w:t>Controlled production framework for blueprint alignment, exam assembly, answer-key controls, and release review</w:t>
      </w:r>
    </w:p>
    <w:p>
      <w:pPr>
        <w:spacing w:before="2000"/>
        <w:jc w:val="center"/>
      </w:pPr>
      <w:r>
        <w:rPr>
          <w:rFonts w:ascii="Arial" w:hAnsi="Arial"/>
          <w:b/>
          <w:color w:val="17365D"/>
          <w:sz w:val="19"/>
        </w:rPr>
        <w:t>INTERNAL ADMINISTRATIVE RESOURCE</w:t>
      </w:r>
    </w:p>
    <w:p>
      <w:pPr>
        <w:jc w:val="center"/>
      </w:pPr>
      <w:r>
        <w:rPr>
          <w:rFonts w:ascii="Arial" w:hAnsi="Arial"/>
          <w:color w:val="5A6675"/>
          <w:sz w:val="17"/>
        </w:rPr>
        <w:t>Not an official licensing examination. CTA is not affiliated with or endorsed by BBS, Pearson VUE, or ASWB.</w:t>
      </w:r>
    </w:p>
    <w:p>
      <w:r>
        <w:br w:type="page"/>
      </w:r>
    </w:p>
    <w:p>
      <w:pPr>
        <w:pStyle w:val="Heading1"/>
      </w:pPr>
      <w:r>
        <w:t>1. Purpose and Revision</w:t>
      </w:r>
    </w:p>
    <w:p>
      <w:r>
        <w:t>This revised standard replaces the earlier assumption that every clinical workbook requires a separate 50-question exam. Each LMFT and LCSW workbook now receives one focused 17-question bank. Larger cumulative and full-length simulations are developed separately and assembled to the current official licensing-examination blueprint rather than to the sequence of CTA workbooks.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Governing production rule</w:t>
            </w:r>
          </w:p>
          <w:p>
            <w:pPr>
              <w:spacing w:after="0"/>
            </w:pPr>
            <w:r>
              <w:rPr>
                <w:rFonts w:ascii="Arial" w:hAnsi="Arial"/>
                <w:color w:val="202B3C"/>
                <w:sz w:val="19"/>
              </w:rPr>
              <w:t>Workbook question banks teach and reinforce one topic. Comprehensive forms simulate the real examination by mixing content, matching official weights, and removing workbook and chapter cues.</w:t>
            </w:r>
          </w:p>
        </w:tc>
        <w:trPr>
          <w:tblHeader/>
        </w:trPr>
      </w:tr>
    </w:tbl>
    <w:p/>
    <w:p>
      <w:pPr>
        <w:pStyle w:val="Heading1"/>
      </w:pPr>
      <w:r>
        <w:t>2. Controlled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02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9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Question Count</w:t>
            </w:r>
          </w:p>
        </w:tc>
        <w:tc>
          <w:tcPr>
            <w:tcW w:type="dxa" w:w="518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51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Student Facing?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Workbook Question Bank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17 per workbook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Reinforce the workbook topic with complete rationales and strategy guidance.</w:t>
            </w:r>
          </w:p>
        </w:tc>
        <w:tc>
          <w:tcPr>
            <w:tcW w:type="dxa" w:w="151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Yes</w:t>
            </w:r>
          </w:p>
        </w:tc>
      </w:tr>
      <w:tr>
        <w:tc>
          <w:tcPr>
            <w:tcW w:type="dxa" w:w="302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Cumulative Readiness Exam</w:t>
            </w:r>
          </w:p>
        </w:tc>
        <w:tc>
          <w:tcPr>
            <w:tcW w:type="dxa" w:w="194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Variable; blueprint-controlled</w:t>
            </w:r>
          </w:p>
        </w:tc>
        <w:tc>
          <w:tcPr>
            <w:tcW w:type="dxa" w:w="51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Combine selected official domains without workbook labels.</w:t>
            </w:r>
          </w:p>
        </w:tc>
        <w:tc>
          <w:tcPr>
            <w:tcW w:type="dxa" w:w="151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Yes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Full-Length LMFT Simulation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150 total: 125 scored-style + 25 pretest-style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Replicate California LMFT item count, timing, four-option format, and official domain weights.</w:t>
            </w:r>
          </w:p>
        </w:tc>
        <w:tc>
          <w:tcPr>
            <w:tcW w:type="dxa" w:w="151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Yes</w:t>
            </w:r>
          </w:p>
        </w:tc>
      </w:tr>
      <w:tr>
        <w:tc>
          <w:tcPr>
            <w:tcW w:type="dxa" w:w="302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Full-Length LCSW Simulation</w:t>
            </w:r>
          </w:p>
        </w:tc>
        <w:tc>
          <w:tcPr>
            <w:tcW w:type="dxa" w:w="194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122 total: 110 scored-style + 12 pretest-style</w:t>
            </w:r>
          </w:p>
        </w:tc>
        <w:tc>
          <w:tcPr>
            <w:tcW w:type="dxa" w:w="51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Replicate the 2026 ASWB Clinical structure, mixed option counts, and official domain weights.</w:t>
            </w:r>
          </w:p>
        </w:tc>
        <w:tc>
          <w:tcPr>
            <w:tcW w:type="dxa" w:w="151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Yes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Answer Key and Detailed Rationales</w:t>
            </w:r>
          </w:p>
        </w:tc>
        <w:tc>
          <w:tcPr>
            <w:tcW w:type="dxa" w:w="19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Matches each form</w:t>
            </w:r>
          </w:p>
        </w:tc>
        <w:tc>
          <w:tcPr>
            <w:tcW w:type="dxa" w:w="518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Provide answer explanations, distractor analysis, strategy, and blueprint coding.</w:t>
            </w:r>
          </w:p>
        </w:tc>
        <w:tc>
          <w:tcPr>
            <w:tcW w:type="dxa" w:w="151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Yes</w:t>
            </w:r>
          </w:p>
        </w:tc>
      </w:tr>
      <w:tr>
        <w:tc>
          <w:tcPr>
            <w:tcW w:type="dxa" w:w="302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Master Item Bank and Use Log</w:t>
            </w:r>
          </w:p>
        </w:tc>
        <w:tc>
          <w:tcPr>
            <w:tcW w:type="dxa" w:w="194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Controlled inventory</w:t>
            </w:r>
          </w:p>
        </w:tc>
        <w:tc>
          <w:tcPr>
            <w:tcW w:type="dxa" w:w="518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Track source, review status, revisions, form use, exposure, and retirement.</w:t>
            </w:r>
          </w:p>
        </w:tc>
        <w:tc>
          <w:tcPr>
            <w:tcW w:type="dxa" w:w="151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No</w:t>
            </w:r>
          </w:p>
        </w:tc>
      </w:tr>
    </w:tbl>
    <w:p/>
    <w:p>
      <w:pPr>
        <w:pStyle w:val="Heading1"/>
      </w:pPr>
      <w:r>
        <w:t>3. Workbook Question Bank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Difficulty</w:t>
            </w:r>
          </w:p>
        </w:tc>
        <w:tc>
          <w:tcPr>
            <w:tcW w:type="dxa" w:w="144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Count</w:t>
            </w:r>
          </w:p>
        </w:tc>
        <w:tc>
          <w:tcPr>
            <w:tcW w:type="dxa" w:w="806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Function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Easy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5</w:t>
            </w:r>
          </w:p>
        </w:tc>
        <w:tc>
          <w:tcPr>
            <w:tcW w:type="dxa" w:w="806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Direct but meaningful recognition or straightforward application.</w:t>
            </w:r>
          </w:p>
        </w:tc>
      </w:tr>
      <w:tr>
        <w:tc>
          <w:tcPr>
            <w:tcW w:type="dxa" w:w="201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Moderate</w:t>
            </w:r>
          </w:p>
        </w:tc>
        <w:tc>
          <w:tcPr>
            <w:tcW w:type="dxa" w:w="1440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7</w:t>
            </w:r>
          </w:p>
        </w:tc>
        <w:tc>
          <w:tcPr>
            <w:tcW w:type="dxa" w:w="806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Requires sequencing, comparison, or application with plausible distractors.</w:t>
            </w:r>
          </w:p>
        </w:tc>
      </w:tr>
      <w:tr>
        <w:tc>
          <w:tcPr>
            <w:tcW w:type="dxa" w:w="201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Difficult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5</w:t>
            </w:r>
          </w:p>
        </w:tc>
        <w:tc>
          <w:tcPr>
            <w:tcW w:type="dxa" w:w="806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Requires competing-priority analysis, subtle timing, or integrated reasoning.</w:t>
            </w:r>
          </w:p>
        </w:tc>
      </w:tr>
      <w:tr>
        <w:tc>
          <w:tcPr>
            <w:tcW w:type="dxa" w:w="201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Total</w:t>
            </w:r>
          </w:p>
        </w:tc>
        <w:tc>
          <w:tcPr>
            <w:tcW w:type="dxa" w:w="1440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17</w:t>
            </w:r>
          </w:p>
        </w:tc>
        <w:tc>
          <w:tcPr>
            <w:tcW w:type="dxa" w:w="806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One focused question bank per workbook.</w:t>
            </w:r>
          </w:p>
        </w:tc>
      </w:tr>
    </w:tbl>
    <w:p/>
    <w:p>
      <w:pPr>
        <w:pStyle w:val="ListBullet"/>
        <w:ind w:left="288" w:hanging="173"/>
      </w:pPr>
      <w:r>
        <w:t>Each item includes one best answer, option-by-option rationales, and a concise CTA Exam Strategy.</w:t>
      </w:r>
    </w:p>
    <w:p>
      <w:pPr>
        <w:pStyle w:val="ListBullet"/>
        <w:ind w:left="288" w:hanging="173"/>
      </w:pPr>
      <w:r>
        <w:t>Correct-answer positions rotate and remain balanced across the 17-item bank.</w:t>
      </w:r>
    </w:p>
    <w:p>
      <w:pPr>
        <w:pStyle w:val="ListBullet"/>
        <w:ind w:left="288" w:hanging="173"/>
      </w:pPr>
      <w:r>
        <w:t>Workbook banks may use profession-specific item formats, but they are not presented as full licensing-exam simulations.</w:t>
      </w:r>
    </w:p>
    <w:p>
      <w:pPr>
        <w:pStyle w:val="ListBullet"/>
        <w:ind w:left="288" w:hanging="173"/>
      </w:pPr>
      <w:r>
        <w:t>Unused draft items remain internal reserve material and are not automatically approved for a comprehensive form.</w:t>
      </w:r>
    </w:p>
    <w:p>
      <w:pPr>
        <w:pStyle w:val="Heading1"/>
      </w:pPr>
      <w:r>
        <w:t>4. Comprehensive Exam Principle</w:t>
      </w:r>
    </w:p>
    <w:p>
      <w:r>
        <w:t>Comprehensive forms are assembled from approved items coded to official content areas and tasks. Student forms must not display workbook numbers, chapter names, or source-workbook groupings. Item order is mixed so that candidates must identify the controlling clinical task from the vignette itself.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Fresh-item target</w:t>
            </w:r>
          </w:p>
          <w:p>
            <w:pPr>
              <w:spacing w:after="0"/>
            </w:pPr>
            <w:r>
              <w:rPr>
                <w:rFonts w:ascii="Arial" w:hAnsi="Arial"/>
                <w:color w:val="202B3C"/>
                <w:sz w:val="19"/>
              </w:rPr>
              <w:t>Comprehensive exams should prioritize new or substantially redeveloped items. Any intentional reuse from a workbook bank must be tracked in the use log and limited so the form remains a meaningful independent assessment.</w:t>
            </w:r>
          </w:p>
        </w:tc>
        <w:trPr>
          <w:tblHeader/>
        </w:trPr>
      </w:tr>
    </w:tbl>
    <w:p/>
    <w:p>
      <w:pPr>
        <w:pStyle w:val="Heading1"/>
      </w:pPr>
      <w:r>
        <w:t>5. LMFT Full-Length Simulation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46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Official Area</w:t>
            </w:r>
          </w:p>
        </w:tc>
        <w:tc>
          <w:tcPr>
            <w:tcW w:type="dxa" w:w="11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Scored-Style Items (125)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Total-Form Planning (150)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Clinical Evaluation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27%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34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41</w:t>
            </w:r>
          </w:p>
        </w:tc>
      </w:tr>
      <w:tr>
        <w:tc>
          <w:tcPr>
            <w:tcW w:type="dxa" w:w="460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Developing a Diagnostic Impression</w:t>
            </w:r>
          </w:p>
        </w:tc>
        <w:tc>
          <w:tcPr>
            <w:tcW w:type="dxa" w:w="115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11%</w:t>
            </w:r>
          </w:p>
        </w:tc>
        <w:tc>
          <w:tcPr>
            <w:tcW w:type="dxa" w:w="223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14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17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Managing Crisis Situations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11%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14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16</w:t>
            </w:r>
          </w:p>
        </w:tc>
      </w:tr>
      <w:tr>
        <w:tc>
          <w:tcPr>
            <w:tcW w:type="dxa" w:w="460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Case Conceptualization and Planning</w:t>
            </w:r>
          </w:p>
        </w:tc>
        <w:tc>
          <w:tcPr>
            <w:tcW w:type="dxa" w:w="115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12%</w:t>
            </w:r>
          </w:p>
        </w:tc>
        <w:tc>
          <w:tcPr>
            <w:tcW w:type="dxa" w:w="223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15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18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Treatment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29%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36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43</w:t>
            </w:r>
          </w:p>
        </w:tc>
      </w:tr>
      <w:tr>
        <w:tc>
          <w:tcPr>
            <w:tcW w:type="dxa" w:w="460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Managing Legal and Ethical Obligations</w:t>
            </w:r>
          </w:p>
        </w:tc>
        <w:tc>
          <w:tcPr>
            <w:tcW w:type="dxa" w:w="115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10%</w:t>
            </w:r>
          </w:p>
        </w:tc>
        <w:tc>
          <w:tcPr>
            <w:tcW w:type="dxa" w:w="223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12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15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Total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100%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125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7"/>
              </w:rPr>
              <w:t>150</w:t>
            </w:r>
          </w:p>
        </w:tc>
      </w:tr>
    </w:tbl>
    <w:p/>
    <w:p>
      <w:r>
        <w:t>The 150-item planning column distributes the complete student form proportionally. The internal scoring report must clearly identify whether the 25 pretest-style items are excluded from the practice score or whether all CTA items are scored for instructional feedback. The chosen method must be disclosed to the learner.</w:t>
      </w:r>
    </w:p>
    <w:p>
      <w:pPr>
        <w:pStyle w:val="Heading1"/>
      </w:pPr>
      <w:r>
        <w:t>6. LCSW 2026 Full-Length Simulation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46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Official Content Area</w:t>
            </w:r>
          </w:p>
        </w:tc>
        <w:tc>
          <w:tcPr>
            <w:tcW w:type="dxa" w:w="115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23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Scored-Style Items (110)</w:t>
            </w:r>
          </w:p>
        </w:tc>
        <w:tc>
          <w:tcPr>
            <w:tcW w:type="dxa" w:w="237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Total-Form Planning (122)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Values and Ethics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36%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40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44</w:t>
            </w:r>
          </w:p>
        </w:tc>
      </w:tr>
      <w:tr>
        <w:tc>
          <w:tcPr>
            <w:tcW w:type="dxa" w:w="460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Assessment and Planning</w:t>
            </w:r>
          </w:p>
        </w:tc>
        <w:tc>
          <w:tcPr>
            <w:tcW w:type="dxa" w:w="115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32%</w:t>
            </w:r>
          </w:p>
        </w:tc>
        <w:tc>
          <w:tcPr>
            <w:tcW w:type="dxa" w:w="223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35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39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Intervention and Practice</w:t>
            </w:r>
          </w:p>
        </w:tc>
        <w:tc>
          <w:tcPr>
            <w:tcW w:type="dxa" w:w="115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32%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35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39</w:t>
            </w:r>
          </w:p>
        </w:tc>
      </w:tr>
      <w:tr>
        <w:tc>
          <w:tcPr>
            <w:tcW w:type="dxa" w:w="460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Total</w:t>
            </w:r>
          </w:p>
        </w:tc>
        <w:tc>
          <w:tcPr>
            <w:tcW w:type="dxa" w:w="115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100%</w:t>
            </w:r>
          </w:p>
        </w:tc>
        <w:tc>
          <w:tcPr>
            <w:tcW w:type="dxa" w:w="223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110</w:t>
            </w:r>
          </w:p>
        </w:tc>
        <w:tc>
          <w:tcPr>
            <w:tcW w:type="dxa" w:w="2376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122</w:t>
            </w:r>
          </w:p>
        </w:tc>
      </w:tr>
    </w:tbl>
    <w:p/>
    <w:p>
      <w:pPr>
        <w:pStyle w:val="ListBullet"/>
        <w:ind w:left="288" w:hanging="173"/>
      </w:pPr>
      <w:r>
        <w:t>Use both three-option and four-option multiple-choice items, with more three-option items across the form.</w:t>
      </w:r>
    </w:p>
    <w:p>
      <w:pPr>
        <w:pStyle w:val="ListBullet"/>
        <w:ind w:left="288" w:hanging="173"/>
      </w:pPr>
      <w:r>
        <w:t>Emphasize application, problem solving, and professional reasoning over isolated recall.</w:t>
      </w:r>
    </w:p>
    <w:p>
      <w:pPr>
        <w:pStyle w:val="ListBullet"/>
        <w:ind w:left="288" w:hanging="173"/>
      </w:pPr>
      <w:r>
        <w:t>For a 122-item simulation, divide the test into two 61-question sections and provide a scheduled break point after section one.</w:t>
      </w:r>
    </w:p>
    <w:p>
      <w:pPr>
        <w:pStyle w:val="ListBullet"/>
        <w:ind w:left="288" w:hanging="173"/>
      </w:pPr>
      <w:r>
        <w:t>Do not claim that CTA practice scores reproduce ASWB equating or predict a guaranteed passing result.</w:t>
      </w:r>
    </w:p>
    <w:p>
      <w:pPr>
        <w:pStyle w:val="Heading1"/>
      </w:pPr>
      <w:r>
        <w:t>7. Internal Cognitive and Difficulty Targets</w:t>
      </w:r>
    </w:p>
    <w:p>
      <w:r>
        <w:t>Official agencies do not publish a fixed easy/moderate/difficult distribution for CTA to reproduce. The following are internal assembly targets designed to create a realistic progression without implying official psychometric equivalence.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744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67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LMFT Scored-Style Form</w:t>
            </w:r>
          </w:p>
        </w:tc>
        <w:tc>
          <w:tcPr>
            <w:tcW w:type="dxa" w:w="367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LCSW Scored-Style Form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Recall / direct recognition</w:t>
            </w:r>
          </w:p>
        </w:tc>
        <w:tc>
          <w:tcPr>
            <w:tcW w:type="dxa" w:w="367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10–15%</w:t>
            </w:r>
          </w:p>
        </w:tc>
        <w:tc>
          <w:tcPr>
            <w:tcW w:type="dxa" w:w="367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No more than 10%</w:t>
            </w:r>
          </w:p>
        </w:tc>
      </w:tr>
      <w:tr>
        <w:tc>
          <w:tcPr>
            <w:tcW w:type="dxa" w:w="374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Application</w:t>
            </w:r>
          </w:p>
        </w:tc>
        <w:tc>
          <w:tcPr>
            <w:tcW w:type="dxa" w:w="367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35–40%</w:t>
            </w:r>
          </w:p>
        </w:tc>
        <w:tc>
          <w:tcPr>
            <w:tcW w:type="dxa" w:w="367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At least 40%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Scenario-based sequencing</w:t>
            </w:r>
          </w:p>
        </w:tc>
        <w:tc>
          <w:tcPr>
            <w:tcW w:type="dxa" w:w="367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35–40%</w:t>
            </w:r>
          </w:p>
        </w:tc>
        <w:tc>
          <w:tcPr>
            <w:tcW w:type="dxa" w:w="367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35–40%</w:t>
            </w:r>
          </w:p>
        </w:tc>
      </w:tr>
      <w:tr>
        <w:tc>
          <w:tcPr>
            <w:tcW w:type="dxa" w:w="374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Integrated reasoning</w:t>
            </w:r>
          </w:p>
        </w:tc>
        <w:tc>
          <w:tcPr>
            <w:tcW w:type="dxa" w:w="367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10–15%</w:t>
            </w:r>
          </w:p>
        </w:tc>
        <w:tc>
          <w:tcPr>
            <w:tcW w:type="dxa" w:w="367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15–20%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Easy</w:t>
            </w:r>
          </w:p>
        </w:tc>
        <w:tc>
          <w:tcPr>
            <w:tcW w:type="dxa" w:w="367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About 25%</w:t>
            </w:r>
          </w:p>
        </w:tc>
        <w:tc>
          <w:tcPr>
            <w:tcW w:type="dxa" w:w="367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About 25%</w:t>
            </w:r>
          </w:p>
        </w:tc>
      </w:tr>
      <w:tr>
        <w:tc>
          <w:tcPr>
            <w:tcW w:type="dxa" w:w="3744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Moderate</w:t>
            </w:r>
          </w:p>
        </w:tc>
        <w:tc>
          <w:tcPr>
            <w:tcW w:type="dxa" w:w="367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About 50%</w:t>
            </w:r>
          </w:p>
        </w:tc>
        <w:tc>
          <w:tcPr>
            <w:tcW w:type="dxa" w:w="3672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About 50%</w:t>
            </w:r>
          </w:p>
        </w:tc>
      </w:tr>
      <w:tr>
        <w:tc>
          <w:tcPr>
            <w:tcW w:type="dxa" w:w="3744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Difficult</w:t>
            </w:r>
          </w:p>
        </w:tc>
        <w:tc>
          <w:tcPr>
            <w:tcW w:type="dxa" w:w="367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About 25%</w:t>
            </w:r>
          </w:p>
        </w:tc>
        <w:tc>
          <w:tcPr>
            <w:tcW w:type="dxa" w:w="367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About 25%</w:t>
            </w:r>
          </w:p>
        </w:tc>
      </w:tr>
    </w:tbl>
    <w:p/>
    <w:p>
      <w:pPr>
        <w:pStyle w:val="Heading1"/>
      </w:pPr>
      <w:r>
        <w:t>8. Answer-Key and Option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72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9360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LMFT</w:t>
            </w:r>
          </w:p>
        </w:tc>
        <w:tc>
          <w:tcPr>
            <w:tcW w:type="dxa" w:w="93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Four options, A–D. For 125 scored-style items, target A=32, B=31, C=31, D=31. Avoid more than three identical keys in succession.</w:t>
            </w:r>
          </w:p>
        </w:tc>
      </w:tr>
      <w:tr>
        <w:tc>
          <w:tcPr>
            <w:tcW w:type="dxa" w:w="1728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LCSW</w:t>
            </w:r>
          </w:p>
        </w:tc>
        <w:tc>
          <w:tcPr>
            <w:tcW w:type="dxa" w:w="9360"/>
            <w:shd w:fill="F3F5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For 110 scored-style items, target 66 three-option and 44 four-option items. A balanced internal key target is A=33, B=33, C=33, D=11, with D appearing only on four-option items.</w:t>
            </w:r>
          </w:p>
        </w:tc>
      </w:tr>
      <w:tr>
        <w:tc>
          <w:tcPr>
            <w:tcW w:type="dxa" w:w="172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Both</w:t>
            </w:r>
          </w:p>
        </w:tc>
        <w:tc>
          <w:tcPr>
            <w:tcW w:type="dxa" w:w="9360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202B3C"/>
                <w:sz w:val="18"/>
              </w:rPr>
              <w:t>Never rebalance mechanically. Any option movement requires complete review of stem, option parallelism, rationale logic, and clueing.</w:t>
            </w:r>
          </w:p>
        </w:tc>
      </w:tr>
    </w:tbl>
    <w:p/>
    <w:p>
      <w:pPr>
        <w:pStyle w:val="Heading1"/>
      </w:pPr>
      <w:r>
        <w:t>9. Item Development and Release Workflow</w:t>
      </w:r>
    </w:p>
    <w:p>
      <w:pPr>
        <w:pStyle w:val="ListNumber"/>
        <w:ind w:left="288" w:hanging="173"/>
      </w:pPr>
      <w:r>
        <w:t>Assign the most specific official area, section, task, competency, or applied-knowledge statement before drafting.</w:t>
      </w:r>
    </w:p>
    <w:p>
      <w:pPr>
        <w:pStyle w:val="ListNumber"/>
        <w:ind w:left="288" w:hanging="173"/>
      </w:pPr>
      <w:r>
        <w:t>Write the stem, options, key, complete rationales, and CTA Exam Strategy.</w:t>
      </w:r>
    </w:p>
    <w:p>
      <w:pPr>
        <w:pStyle w:val="ListNumber"/>
        <w:ind w:left="288" w:hanging="173"/>
      </w:pPr>
      <w:r>
        <w:t>Review clinical sequencing, cultural responsiveness, scope, autonomy, safety, and one-best-answer quality.</w:t>
      </w:r>
    </w:p>
    <w:p>
      <w:pPr>
        <w:pStyle w:val="ListNumber"/>
        <w:ind w:left="288" w:hanging="173"/>
      </w:pPr>
      <w:r>
        <w:t>Verify current legal, regulatory, diagnostic, medication, and exam-format statements using primary sources.</w:t>
      </w:r>
    </w:p>
    <w:p>
      <w:pPr>
        <w:pStyle w:val="ListNumber"/>
        <w:ind w:left="288" w:hanging="173"/>
      </w:pPr>
      <w:r>
        <w:t>Run exact and semantic overlap checks against workbook banks, prior comprehensive forms, and public samples.</w:t>
      </w:r>
    </w:p>
    <w:p>
      <w:pPr>
        <w:pStyle w:val="ListNumber"/>
        <w:ind w:left="288" w:hanging="173"/>
      </w:pPr>
      <w:r>
        <w:t>Assemble the form to the approved blueprint, option mix, cognitive demand, and answer-key pattern.</w:t>
      </w:r>
    </w:p>
    <w:p>
      <w:pPr>
        <w:pStyle w:val="ListNumber"/>
        <w:ind w:left="288" w:hanging="173"/>
      </w:pPr>
      <w:r>
        <w:t>Render every Word document, inspect every page, and correct all layout defects before release.</w:t>
      </w:r>
    </w:p>
    <w:p>
      <w:pPr>
        <w:pStyle w:val="ListNumber"/>
        <w:ind w:left="288" w:hanging="173"/>
      </w:pPr>
      <w:r>
        <w:t>Update item-use history, exposure count, revision status, and retirement decisions.</w:t>
      </w:r>
    </w:p>
    <w:p>
      <w:pPr>
        <w:pStyle w:val="Heading1"/>
      </w:pPr>
      <w:r>
        <w:t>10. Required QC Reports</w:t>
      </w:r>
    </w:p>
    <w:p>
      <w:pPr>
        <w:pStyle w:val="ListBullet"/>
        <w:ind w:left="288" w:hanging="173"/>
      </w:pPr>
      <w:r>
        <w:t>Question count and official blueprint allocation</w:t>
      </w:r>
    </w:p>
    <w:p>
      <w:pPr>
        <w:pStyle w:val="ListBullet"/>
        <w:ind w:left="288" w:hanging="173"/>
      </w:pPr>
      <w:r>
        <w:t>Cognitive-demand and difficulty distribution</w:t>
      </w:r>
    </w:p>
    <w:p>
      <w:pPr>
        <w:pStyle w:val="ListBullet"/>
        <w:ind w:left="288" w:hanging="173"/>
      </w:pPr>
      <w:r>
        <w:t>Answer-position and sequence audit</w:t>
      </w:r>
    </w:p>
    <w:p>
      <w:pPr>
        <w:pStyle w:val="ListBullet"/>
        <w:ind w:left="288" w:hanging="173"/>
      </w:pPr>
      <w:r>
        <w:t>LCSW three-option/four-option distribution</w:t>
      </w:r>
    </w:p>
    <w:p>
      <w:pPr>
        <w:pStyle w:val="ListBullet"/>
        <w:ind w:left="288" w:hanging="173"/>
      </w:pPr>
      <w:r>
        <w:t>Duplicate and near-duplicate review</w:t>
      </w:r>
    </w:p>
    <w:p>
      <w:pPr>
        <w:pStyle w:val="ListBullet"/>
        <w:ind w:left="288" w:hanging="173"/>
      </w:pPr>
      <w:r>
        <w:t>Current-source verification log</w:t>
      </w:r>
    </w:p>
    <w:p>
      <w:pPr>
        <w:pStyle w:val="ListBullet"/>
        <w:ind w:left="288" w:hanging="173"/>
      </w:pPr>
      <w:r>
        <w:t>Comments, tracked changes, metadata, accessibility, and document-integrity audit</w:t>
      </w:r>
    </w:p>
    <w:p>
      <w:pPr>
        <w:pStyle w:val="ListBullet"/>
        <w:ind w:left="288" w:hanging="173"/>
      </w:pPr>
      <w:r>
        <w:t>Complete page-by-page render review</w:t>
      </w:r>
    </w:p>
    <w:p>
      <w:pPr>
        <w:pStyle w:val="Heading1"/>
      </w:pPr>
      <w:r>
        <w:t>Source Basis</w:t>
      </w:r>
    </w:p>
    <w:p>
      <w:r>
        <w:t>Official sources reviewed July 25, 2026:</w:t>
      </w:r>
    </w:p>
    <w:p>
      <w:pPr>
        <w:pStyle w:val="ListBullet"/>
        <w:ind w:left="288" w:hanging="173"/>
      </w:pPr>
      <w:r>
        <w:t>California Board of Behavioral Sciences and Pearson VUE, California BBS Candidate Handbook: LMFT Clinical Examination — 125 scored questions, 25 pretest questions, 240 minutes.</w:t>
      </w:r>
    </w:p>
    <w:p>
      <w:pPr>
        <w:pStyle w:val="ListBullet"/>
        <w:ind w:left="288" w:hanging="173"/>
      </w:pPr>
      <w:r>
        <w:t>Pearson VUE, Licensed Marriage and Family Therapist Written Clinical Examination Outline, effective January 1, 2021 — official area weights and task structure.</w:t>
      </w:r>
    </w:p>
    <w:p>
      <w:pPr>
        <w:pStyle w:val="ListBullet"/>
        <w:ind w:left="288" w:hanging="173"/>
      </w:pPr>
      <w:r>
        <w:t>Association of Social Work Boards, 2026 changes to the Social Work Licensing Exams and 2026 Examination Guidebook — exams administered on or after August 3, 2026 use 122 total questions, 110 scored, 12 unscored, three content areas, mixed three- and four-option items, and a four-hour limit.</w:t>
      </w:r>
    </w:p>
    <w:p>
      <w:pPr>
        <w:pStyle w:val="ListBullet"/>
        <w:ind w:left="288" w:hanging="173"/>
      </w:pPr>
      <w:r>
        <w:t>CTA internal course-development, workbook-production, and question-bank standards.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4F3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rFonts w:ascii="Arial" w:hAnsi="Arial"/>
                <w:b/>
                <w:color w:val="17365D"/>
                <w:sz w:val="21"/>
              </w:rPr>
              <w:t>Publication note</w:t>
            </w:r>
          </w:p>
          <w:p>
            <w:pPr>
              <w:spacing w:after="0"/>
            </w:pPr>
            <w:r>
              <w:rPr>
                <w:rFonts w:ascii="Arial" w:hAnsi="Arial"/>
                <w:color w:val="202B3C"/>
                <w:sz w:val="19"/>
              </w:rPr>
              <w:t>Exam rules and outlines can change. Recheck official BBS, Pearson VUE, and ASWB sources before each major publication or reissue.</w:t>
            </w:r>
          </w:p>
        </w:tc>
        <w:trPr>
          <w:tblHeader/>
        </w:trPr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6675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59C9C"/>
        <w:sz w:val="16"/>
      </w:rPr>
      <w:t>CLINICAL TRAINING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59C9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b/>
      <w:i/>
      <w:iCs/>
      <w:color w:val="159C9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Label">
    <w:name w:val="CTA Label"/>
    <w:pPr>
      <w:spacing w:after="40"/>
    </w:pPr>
    <w:rPr>
      <w:rFonts w:ascii="Arial" w:hAnsi="Arial"/>
      <w:b/>
      <w:color w:val="159C9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LMFT &amp; LCSW Clinical Exam Preparation Programs</dc:title>
  <dc:subject>Question Bank and Comprehensive Exam Production Standard — Revised Structure</dc:subject>
  <dc:creator>Clinical Training Academy</dc:creator>
  <cp:keywords>LMFT, LCSW, clinical exam, comprehensive simulation, blueprint, exam preparation</cp:keywords>
  <dc:description>Controlled educational production resource.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