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920240" cy="1388039"/>
            <wp:docPr id="1" name="Picture 1" descr="Clinical Training Academy stacked logo" title="Clinical Training Academy stacked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388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b/>
          <w:color w:val="FFFFFF"/>
          <w:sz w:val="16"/>
          <w:shd w:fill="0F6B6D"/>
        </w:rPr>
        <w:t>INTERNAL ADMIN RESOURCE</w:t>
      </w:r>
    </w:p>
    <w:p>
      <w:pPr>
        <w:pStyle w:val="Title"/>
        <w:jc w:val="center"/>
      </w:pPr>
      <w:r>
        <w:t>LMFT and LCSW Exam Preparation Programs</w:t>
      </w:r>
    </w:p>
    <w:p>
      <w:pPr>
        <w:jc w:val="center"/>
      </w:pPr>
      <w:r>
        <w:rPr>
          <w:b/>
          <w:color w:val="183B4E"/>
          <w:sz w:val="36"/>
        </w:rPr>
        <w:t>Master Quality-Control Audit of 24 Student Workbooks</w:t>
      </w:r>
    </w:p>
    <w:p>
      <w:pPr>
        <w:jc w:val="center"/>
      </w:pPr>
      <w:r>
        <w:rPr>
          <w:color w:val="667085"/>
          <w:sz w:val="22"/>
        </w:rPr>
        <w:t>Audit Report v1.0  •  July 23,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B54708"/>
              <w:top w:val="single" w:sz="8" w:color="B54708"/>
              <w:right w:val="single" w:sz="8" w:color="B54708"/>
              <w:bottom w:val="single" w:sz="8" w:color="B54708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Publication Decision</w:t>
            </w:r>
          </w:p>
          <w:p>
            <w:pPr>
              <w:spacing w:after="0"/>
            </w:pPr>
            <w:r>
              <w:t>The workbook architecture is complete and instructionally strong, but the suite should remain on publication hold until assessment-key rebalancing, accessibility remediation, blueprint traceability, student/admin separation, and final source review are completed.</w:t>
            </w:r>
          </w:p>
        </w:tc>
      </w:tr>
    </w:tbl>
    <w:p>
      <w:pPr>
        <w:spacing w:before="400"/>
        <w:jc w:val="center"/>
      </w:pPr>
      <w:r>
        <w:rPr>
          <w:sz w:val="20"/>
        </w:rPr>
        <w:t>Scope: 12 California LMFT Clinical workbooks + 12 ASWB Clinical LCSW workbooks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audit reviewed the latest available version of every student-facing workbook against CTA exam-preparation standards, current program crosswalks, official exam structures, source controls, assessment construction, accessibility, navigation, and publication readiness. The review found a complete 12-workbook architecture for both programs and strong learner-facing instructional design. It also found several system-level issues that should be corrected before any workbook is labeled v1.0 or released to students.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6B6D"/>
            <w:vAlign w:val="center"/>
          </w:tcPr>
          <w:p>
            <w:r>
              <w:rPr>
                <w:color w:val="FFFFFF"/>
              </w:rPr>
              <w:t>Audit Measure</w:t>
            </w:r>
          </w:p>
        </w:tc>
        <w:tc>
          <w:tcPr>
            <w:tcW w:type="dxa" w:w="5112"/>
            <w:shd w:fill="0F6B6D"/>
            <w:vAlign w:val="center"/>
          </w:tcPr>
          <w:p>
            <w:r>
              <w:rPr>
                <w:color w:val="FFFFFF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Student workbooks reviewed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24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Current practice items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255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Workbooks with complete answer/rationale counts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24 of 24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Items keyed B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160 of 255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Items keyed D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4 of 255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Workbooks exceeding 3–5 objective standard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19 of 24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Workbooks missing explicit Chapter Summary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16 of 24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High-severity accessibility findings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20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Medium accessibility findings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314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Workbooks with page numbers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24 of 24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Workbooks with a table of contents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0 of 24</w:t>
            </w:r>
          </w:p>
        </w:tc>
      </w:tr>
    </w:tbl>
    <w:p>
      <w:pPr>
        <w:pStyle w:val="Heading2"/>
      </w:pPr>
      <w:r>
        <w:t>Overall Readiness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83B4E"/>
          </w:tcPr>
          <w:p>
            <w:r>
              <w:rPr>
                <w:color w:val="FFFFFF"/>
              </w:rPr>
              <w:t>Category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Rating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Evidence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Decision</w:t>
            </w:r>
          </w:p>
        </w:tc>
      </w:tr>
      <w:tr>
        <w:trPr>
          <w:cantSplit/>
        </w:trPr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Program architecture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027A48"/>
              </w:rPr>
              <w:t>Strong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All 12 workbooks exist for each program and align with the planned topic architecture.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Proceed to evidence mapping.</w:t>
            </w:r>
          </w:p>
        </w:tc>
      </w:tr>
      <w:tr>
        <w:trPr>
          <w:cantSplit/>
        </w:trPr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Instructional content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B54708"/>
              </w:rPr>
              <w:t>Strong with revisions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All files include objectives, learner guidance, original questions, and full rationales.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Standardize chapter elements and student-facing controls.</w:t>
            </w:r>
          </w:p>
        </w:tc>
      </w:tr>
      <w:tr>
        <w:trPr>
          <w:cantSplit/>
        </w:trPr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Assessment integrity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B42318"/>
              </w:rPr>
              <w:t>Publication hold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Answer positions are highly predictable and complete assessment products are not yet built.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Rebalance and govern the item bank before release.</w:t>
            </w:r>
          </w:p>
        </w:tc>
      </w:tr>
      <w:tr>
        <w:trPr>
          <w:cantSplit/>
        </w:trPr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Accessibility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B42318"/>
              </w:rPr>
              <w:t>Publication hold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High-severity image-alt issues and broad table/heading remediation remain.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Complete a coordinated accessibility pass.</w:t>
            </w:r>
          </w:p>
        </w:tc>
      </w:tr>
      <w:tr>
        <w:trPr>
          <w:cantSplit/>
        </w:trPr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Source currency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B54708"/>
              </w:rPr>
              <w:t>Current baseline; signoff pending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Current ASWB and LMFT exam structures are accurately represented in the key overview workbooks.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Complete formal source and legal SME signoff.</w:t>
            </w:r>
          </w:p>
        </w:tc>
      </w:tr>
      <w:tr>
        <w:trPr>
          <w:cantSplit/>
        </w:trPr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Production readiness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B42318"/>
              </w:rPr>
              <w:t>Not ready for v1.0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Draft, internal-reference, cover, metadata, TOC, and disclaimer inconsistencies remain.</w:t>
            </w:r>
          </w:p>
        </w:tc>
        <w:tc>
          <w:tcPr>
            <w:tcW w:type="dxa" w:w="25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Complete the revision plan in this report.</w:t>
            </w:r>
          </w:p>
        </w:tc>
      </w:tr>
    </w:tbl>
    <w:p>
      <w:pPr>
        <w:pStyle w:val="Heading1"/>
      </w:pPr>
      <w:r>
        <w:t>What Is Working Well</w:t>
      </w:r>
    </w:p>
    <w:p>
      <w:pPr>
        <w:pStyle w:val="ListBullet"/>
      </w:pPr>
      <w:r>
        <w:t>The full 12-workbook student architecture exists for both LMFT and LCSW programs.</w:t>
      </w:r>
    </w:p>
    <w:p>
      <w:pPr>
        <w:pStyle w:val="ListBullet"/>
      </w:pPr>
      <w:r>
        <w:t>All 24 workbooks contain learner guidance, learning objectives, original practice questions, and an answer-and-rationale section.</w:t>
      </w:r>
    </w:p>
    <w:p>
      <w:pPr>
        <w:pStyle w:val="ListBullet"/>
      </w:pPr>
      <w:r>
        <w:t>Question and rationale counts match in every workbook: 120 LMFT items and 135 LCSW items, including the 25-question LCSW mini-mock.</w:t>
      </w:r>
    </w:p>
    <w:p>
      <w:pPr>
        <w:pStyle w:val="ListBullet"/>
      </w:pPr>
      <w:r>
        <w:t>The writing consistently uses a coaching-oriented, exam-focused tone and emphasizes sequencing, safety, role clarity, assessment, and professional judgment.</w:t>
      </w:r>
    </w:p>
    <w:p>
      <w:pPr>
        <w:pStyle w:val="ListBullet"/>
      </w:pPr>
      <w:r>
        <w:t>Each program uses profession-specific reasoning rather than merely changing labels: systemic/relational framing for LMFT and person-in-environment, self-determination, access, advocacy, and social justice for LCSW.</w:t>
      </w:r>
    </w:p>
    <w:p>
      <w:pPr>
        <w:pStyle w:val="ListBullet"/>
      </w:pPr>
      <w:r>
        <w:t>No comments or tracked changes were found in the reviewed files, and all workbooks include page numbers.</w:t>
      </w:r>
    </w:p>
    <w:p>
      <w:pPr>
        <w:pStyle w:val="ListBullet"/>
      </w:pPr>
      <w:r>
        <w:t>The current ASWB and LMFT examination structures are accurately stated in the key strategy and mock workbooks.</w:t>
      </w:r>
    </w:p>
    <w:p>
      <w:pPr>
        <w:pStyle w:val="Heading1"/>
      </w:pPr>
      <w:r>
        <w:t>Audit Scope and Method</w:t>
      </w:r>
    </w:p>
    <w:p>
      <w:pPr>
        <w:pStyle w:val="ListBullet"/>
      </w:pPr>
      <w:r>
        <w:t>Compared workbook structure with CTA Exam Preparation Chapter Standards and CTA Assessment Development Standards.</w:t>
      </w:r>
    </w:p>
    <w:p>
      <w:pPr>
        <w:pStyle w:val="ListBullet"/>
      </w:pPr>
      <w:r>
        <w:t>Reviewed the latest version of each workbook; LCSW Workbook 1 v0.2 superseded v0.1.</w:t>
      </w:r>
    </w:p>
    <w:p>
      <w:pPr>
        <w:pStyle w:val="ListBullet"/>
      </w:pPr>
      <w:r>
        <w:t>Checked objective counts, required sections, question and rationale counts, option counts, correct-answer positions, disclaimers, internal production language, navigation fields, comments, tracked changes, images, and document metadata.</w:t>
      </w:r>
    </w:p>
    <w:p>
      <w:pPr>
        <w:pStyle w:val="ListBullet"/>
      </w:pPr>
      <w:r>
        <w:t>Ran an automated DOCX accessibility audit and interpreted table findings cautiously because some tables are layout/callout structures rather than data tables.</w:t>
      </w:r>
    </w:p>
    <w:p>
      <w:pPr>
        <w:pStyle w:val="ListBullet"/>
      </w:pPr>
      <w:r>
        <w:t>Compared program architecture with the LMFT Master Content Crosswalk and the Dual-Development Crosswalk.</w:t>
      </w:r>
    </w:p>
    <w:p>
      <w:pPr>
        <w:pStyle w:val="ListBullet"/>
      </w:pPr>
      <w:r>
        <w:t>Verified current exam facts against official ASWB, California BBS, and Pearson/BBS sources. Conducted a focused legal-content spot check rather than a substitute for final California counsel or subject-matter review.</w:t>
      </w:r>
    </w:p>
    <w:p>
      <w:pPr>
        <w:pStyle w:val="Heading1"/>
      </w:pPr>
      <w:r>
        <w:t>F-01  Correct-answer positions are highly predictable across the 255-question set.</w:t>
      </w:r>
    </w:p>
    <w:p>
      <w:r>
        <w:rPr>
          <w:b/>
          <w:color w:val="FFFFFF"/>
          <w:sz w:val="16"/>
          <w:shd w:fill="B42318"/>
        </w:rPr>
        <w:t>CRITICAL</w:t>
      </w:r>
      <w:r>
        <w:rPr>
          <w:b/>
        </w:rPr>
        <w:t xml:space="preserve">  Assessment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183B4E"/>
              <w:top w:val="single" w:sz="8" w:color="183B4E"/>
              <w:right w:val="single" w:sz="8" w:color="183B4E"/>
              <w:bottom w:val="single" w:sz="8" w:color="183B4E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Evidence</w:t>
            </w:r>
          </w:p>
          <w:p>
            <w:pPr>
              <w:spacing w:after="0"/>
            </w:pPr>
            <w:r>
              <w:t>Overall keys: A 45 (17.6%), B 160 (62.7%), C 46 (18.0%), D 4 (1.6%). Among 223 four-option items, B is correct 134 times and D only 4 times. LCSW WB6 keys all 10 items as B; LCSW WB12 keys 23 of 25 as B.</w:t>
            </w:r>
          </w:p>
        </w:tc>
      </w:tr>
    </w:tbl>
    <w:p>
      <w:r>
        <w:rPr>
          <w:b/>
        </w:rPr>
        <w:t xml:space="preserve">Affected: </w:t>
      </w:r>
      <w:r>
        <w:t>All question sets; highest risk in LCSW WB6 and WB12.</w:t>
      </w:r>
    </w:p>
    <w:p>
      <w:r>
        <w:rPr>
          <w:b/>
        </w:rPr>
        <w:t xml:space="preserve">Required action: </w:t>
      </w:r>
      <w:r>
        <w:t>Reorder or rewrite answer options and revalidate every rationale. Balance answer positions within each workbook and across mocks without creating a visible pattern.</w:t>
      </w:r>
    </w:p>
    <w:p>
      <w:r>
        <w:rPr>
          <w:b/>
        </w:rPr>
        <w:t xml:space="preserve">Acceptance criterion: </w:t>
      </w:r>
      <w:r>
        <w:t>No workbook has a dominant answer position above 40% unless statistically justified; full banks pass answer-position and sequence-pattern checks.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09953"/>
            <wp:docPr id="2" name="Picture 2" descr="Bar chart showing correct-answer positions: A 45, B 160, C 46, D 4" title="Bar chart showing correct-answer positions: A 45, B 160, C 46, D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answer_ke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uditCaption"/>
        <w:jc w:val="center"/>
      </w:pPr>
      <w:r>
        <w:t>Figure 1. The current answer-key distribution creates a learnable pattern unrelated to content mastery.</w:t>
      </w:r>
    </w:p>
    <w:p>
      <w:pPr>
        <w:pStyle w:val="Heading1"/>
      </w:pPr>
      <w:r>
        <w:t>F-02  The content workbooks do not yet constitute the complete CTA assessment system.</w:t>
      </w:r>
    </w:p>
    <w:p>
      <w:r>
        <w:rPr>
          <w:b/>
          <w:color w:val="FFFFFF"/>
          <w:sz w:val="16"/>
          <w:shd w:fill="B42318"/>
        </w:rPr>
        <w:t>CRITICAL</w:t>
      </w:r>
      <w:r>
        <w:rPr>
          <w:b/>
        </w:rPr>
        <w:t xml:space="preserve">  Assessment product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183B4E"/>
              <w:top w:val="single" w:sz="8" w:color="183B4E"/>
              <w:right w:val="single" w:sz="8" w:color="183B4E"/>
              <w:bottom w:val="single" w:sz="8" w:color="183B4E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Evidence</w:t>
            </w:r>
          </w:p>
          <w:p>
            <w:pPr>
              <w:spacing w:after="0"/>
            </w:pPr>
            <w:r>
              <w:t>The suite contains 120 LMFT questions and 135 LCSW questions. There are no 50-question workbook examinations, no 150-question LMFT simulation, and no 122-question LCSW simulation. LCSW WB12 contains a clearly labeled 25-question mini-mock.</w:t>
            </w:r>
          </w:p>
        </w:tc>
      </w:tr>
    </w:tbl>
    <w:p>
      <w:r>
        <w:rPr>
          <w:b/>
        </w:rPr>
        <w:t xml:space="preserve">Affected: </w:t>
      </w:r>
      <w:r>
        <w:t>Both programs.</w:t>
      </w:r>
    </w:p>
    <w:p>
      <w:r>
        <w:rPr>
          <w:b/>
        </w:rPr>
        <w:t xml:space="preserve">Required action: </w:t>
      </w:r>
      <w:r>
        <w:t>Build tagged question banks, workbook examinations, and current-format full-length mock exams. Amend CTA standards so clinical mock lengths match each official exam rather than the 75-question Law and Ethics standard.</w:t>
      </w:r>
    </w:p>
    <w:p>
      <w:r>
        <w:rPr>
          <w:b/>
        </w:rPr>
        <w:t xml:space="preserve">Acceptance criterion: </w:t>
      </w:r>
      <w:r>
        <w:t>Each program has an approved item bank, blueprint-weighted workbook exams, and at least two full-length simulations matching current official structure.</w:t>
      </w:r>
    </w:p>
    <w:p>
      <w:pPr>
        <w:pStyle w:val="Heading1"/>
      </w:pPr>
      <w:r>
        <w:t>F-03  The master crosswalk dashboards are administratively stale.</w:t>
      </w:r>
    </w:p>
    <w:p>
      <w:r>
        <w:rPr>
          <w:b/>
          <w:color w:val="FFFFFF"/>
          <w:sz w:val="16"/>
          <w:shd w:fill="B54708"/>
        </w:rPr>
        <w:t>HIGH</w:t>
      </w:r>
      <w:r>
        <w:rPr>
          <w:b/>
        </w:rPr>
        <w:t xml:space="preserve">  Blueprint traceability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183B4E"/>
              <w:top w:val="single" w:sz="8" w:color="183B4E"/>
              <w:right w:val="single" w:sz="8" w:color="183B4E"/>
              <w:bottom w:val="single" w:sz="8" w:color="183B4E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Evidence</w:t>
            </w:r>
          </w:p>
          <w:p>
            <w:pPr>
              <w:spacing w:after="0"/>
            </w:pPr>
            <w:r>
              <w:t>The LMFT crosswalk still reports 124 tasks as 'Mapped - Not Drafted.' The dual-program dashboard still reports 64 topics as 'Mapped - Not Drafted' and zero adaptations complete.</w:t>
            </w:r>
          </w:p>
        </w:tc>
      </w:tr>
    </w:tbl>
    <w:p>
      <w:r>
        <w:rPr>
          <w:b/>
        </w:rPr>
        <w:t xml:space="preserve">Affected: </w:t>
      </w:r>
      <w:r>
        <w:t>LMFT Master Content Crosswalk v1.0 and Dual-Development Crosswalk v1.2.</w:t>
      </w:r>
    </w:p>
    <w:p>
      <w:r>
        <w:rPr>
          <w:b/>
        </w:rPr>
        <w:t xml:space="preserve">Required action: </w:t>
      </w:r>
      <w:r>
        <w:t>Update every task/topic with workbook, section heading, page evidence, question IDs, source status, reviewer, and completion status.</w:t>
      </w:r>
    </w:p>
    <w:p>
      <w:r>
        <w:rPr>
          <w:b/>
        </w:rPr>
        <w:t xml:space="preserve">Acceptance criterion: </w:t>
      </w:r>
      <w:r>
        <w:t>All official LMFT tasks and all LCSW applied-knowledge statements have auditable evidence links and review status.</w:t>
      </w:r>
    </w:p>
    <w:p>
      <w:pPr>
        <w:pStyle w:val="Heading1"/>
      </w:pPr>
      <w:r>
        <w:t>F-04  The current drafts need a coordinated accessibility remediation pass.</w:t>
      </w:r>
    </w:p>
    <w:p>
      <w:r>
        <w:rPr>
          <w:b/>
          <w:color w:val="FFFFFF"/>
          <w:sz w:val="16"/>
          <w:shd w:fill="B54708"/>
        </w:rPr>
        <w:t>HIGH</w:t>
      </w:r>
      <w:r>
        <w:rPr>
          <w:b/>
        </w:rPr>
        <w:t xml:space="preserve">  Accessibility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183B4E"/>
              <w:top w:val="single" w:sz="8" w:color="183B4E"/>
              <w:right w:val="single" w:sz="8" w:color="183B4E"/>
              <w:bottom w:val="single" w:sz="8" w:color="183B4E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Evidence</w:t>
            </w:r>
          </w:p>
          <w:p>
            <w:pPr>
              <w:spacing w:after="0"/>
            </w:pPr>
            <w:r>
              <w:t>Automated audit identified 20 missing image-alt instances, 14 heading-level skips, and 300 table structures without marked header rows. The table count includes layout/callout tables and therefore requires classification, not blanket header assignment.</w:t>
            </w:r>
          </w:p>
        </w:tc>
      </w:tr>
    </w:tbl>
    <w:p>
      <w:r>
        <w:rPr>
          <w:b/>
        </w:rPr>
        <w:t xml:space="preserve">Affected: </w:t>
      </w:r>
      <w:r>
        <w:t>All 24 workbooks.</w:t>
      </w:r>
    </w:p>
    <w:p>
      <w:r>
        <w:rPr>
          <w:b/>
        </w:rPr>
        <w:t xml:space="preserve">Required action: </w:t>
      </w:r>
      <w:r>
        <w:t>Add meaningful logo/image alt text, correct heading hierarchy, mark true data-table headers, convert or appropriately classify layout tables, verify reading order and hyperlinks, and rerun the audit.</w:t>
      </w:r>
    </w:p>
    <w:p>
      <w:r>
        <w:rPr>
          <w:b/>
        </w:rPr>
        <w:t xml:space="preserve">Acceptance criterion: </w:t>
      </w:r>
      <w:r>
        <w:t>Zero high-severity accessibility findings and documented resolution of every remaining table finding.</w:t>
      </w:r>
    </w:p>
    <w:p>
      <w:pPr>
        <w:pStyle w:val="Heading1"/>
      </w:pPr>
      <w:r>
        <w:t>F-05  Workbook structure is not fully standardized to the CTA Exam Preparation Chapter Standards.</w:t>
      </w:r>
    </w:p>
    <w:p>
      <w:r>
        <w:rPr>
          <w:b/>
          <w:color w:val="FFFFFF"/>
          <w:sz w:val="16"/>
          <w:shd w:fill="B54708"/>
        </w:rPr>
        <w:t>HIGH</w:t>
      </w:r>
      <w:r>
        <w:rPr>
          <w:b/>
        </w:rPr>
        <w:t xml:space="preserve">  CTA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183B4E"/>
              <w:top w:val="single" w:sz="8" w:color="183B4E"/>
              <w:right w:val="single" w:sz="8" w:color="183B4E"/>
              <w:bottom w:val="single" w:sz="8" w:color="183B4E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Evidence</w:t>
            </w:r>
          </w:p>
          <w:p>
            <w:pPr>
              <w:spacing w:after="0"/>
            </w:pPr>
            <w:r>
              <w:t>Nineteen workbooks exceed the stated 3–5 objective standard; 16 lack an explicit Chapter Summary; one lacks an explicitly labeled memory aid. All have knowledge checks and detailed rationales.</w:t>
            </w:r>
          </w:p>
        </w:tc>
      </w:tr>
    </w:tbl>
    <w:p>
      <w:r>
        <w:rPr>
          <w:b/>
        </w:rPr>
        <w:t xml:space="preserve">Affected: </w:t>
      </w:r>
      <w:r>
        <w:t>Most workbooks.</w:t>
      </w:r>
    </w:p>
    <w:p>
      <w:r>
        <w:rPr>
          <w:b/>
        </w:rPr>
        <w:t xml:space="preserve">Required action: </w:t>
      </w:r>
      <w:r>
        <w:t>Choose one consistent workbook standard: either reduce objectives and add summaries or formally revise the CTA standard for multi-topic workbooks. Add explicit high-yield memory and summary sections consistently.</w:t>
      </w:r>
    </w:p>
    <w:p>
      <w:r>
        <w:rPr>
          <w:b/>
        </w:rPr>
        <w:t xml:space="preserve">Acceptance criterion: </w:t>
      </w:r>
      <w:r>
        <w:t>Every workbook passes a single approved structure checklist.</w:t>
      </w:r>
    </w:p>
    <w:p>
      <w:pPr>
        <w:pStyle w:val="Heading1"/>
      </w:pPr>
      <w:r>
        <w:t>F-06  Internal development language remains in student-facing drafts.</w:t>
      </w:r>
    </w:p>
    <w:p>
      <w:r>
        <w:rPr>
          <w:b/>
          <w:color w:val="FFFFFF"/>
          <w:sz w:val="16"/>
          <w:shd w:fill="B54708"/>
        </w:rPr>
        <w:t>HIGH</w:t>
      </w:r>
      <w:r>
        <w:rPr>
          <w:b/>
        </w:rPr>
        <w:t xml:space="preserve">  Publishing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183B4E"/>
              <w:top w:val="single" w:sz="8" w:color="183B4E"/>
              <w:right w:val="single" w:sz="8" w:color="183B4E"/>
              <w:bottom w:val="single" w:sz="8" w:color="183B4E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Evidence</w:t>
            </w:r>
          </w:p>
          <w:p>
            <w:pPr>
              <w:spacing w:after="0"/>
            </w:pPr>
            <w:r>
              <w:t>Twenty-two workbooks cite Shared Core/internal development files in student source notes; 20 contain a PUBLICATION CONTROL note. All 24 include 'For CTA review before publication.'</w:t>
            </w:r>
          </w:p>
        </w:tc>
      </w:tr>
    </w:tbl>
    <w:p>
      <w:r>
        <w:rPr>
          <w:b/>
        </w:rPr>
        <w:t xml:space="preserve">Affected: </w:t>
      </w:r>
      <w:r>
        <w:t>Most workbooks.</w:t>
      </w:r>
    </w:p>
    <w:p>
      <w:r>
        <w:rPr>
          <w:b/>
        </w:rPr>
        <w:t xml:space="preserve">Required action: </w:t>
      </w:r>
      <w:r>
        <w:t>Create separate student and admin editions. Remove internal file names and production notes from the student edition; retain them in a controlled source register.</w:t>
      </w:r>
    </w:p>
    <w:p>
      <w:r>
        <w:rPr>
          <w:b/>
        </w:rPr>
        <w:t xml:space="preserve">Acceptance criterion: </w:t>
      </w:r>
      <w:r>
        <w:t>Student files contain only learner-facing content and public source notes; admin files retain version and verification controls.</w:t>
      </w:r>
    </w:p>
    <w:p>
      <w:pPr>
        <w:pStyle w:val="Heading1"/>
      </w:pPr>
      <w:r>
        <w:t>Medium-Priority Findings</w:t>
      </w:r>
    </w:p>
    <w:p>
      <w:r>
        <w:rPr>
          <w:b/>
          <w:color w:val="FFFFFF"/>
          <w:sz w:val="16"/>
          <w:shd w:fill="183B4E"/>
        </w:rPr>
        <w:t>F-07</w:t>
      </w:r>
      <w:r>
        <w:rPr>
          <w:b/>
        </w:rPr>
        <w:t xml:space="preserve">  Cover naming and non-affiliation language are inconsistent.</w:t>
      </w:r>
    </w:p>
    <w:p>
      <w:pPr>
        <w:ind w:left="216"/>
      </w:pPr>
      <w:r>
        <w:t>Seventeen of 24 covers use the canonical program name; only 8 of 24 contain an explicit non-affiliation statement.</w:t>
      </w:r>
    </w:p>
    <w:p>
      <w:pPr>
        <w:ind w:left="216"/>
      </w:pPr>
      <w:r>
        <w:rPr>
          <w:b/>
        </w:rPr>
        <w:t xml:space="preserve">Action: </w:t>
      </w:r>
      <w:r>
        <w:t>Apply one cover template and one counsel-approved disclaimer to every workbook.</w:t>
      </w:r>
    </w:p>
    <w:p>
      <w:r>
        <w:rPr>
          <w:b/>
          <w:color w:val="FFFFFF"/>
          <w:sz w:val="16"/>
          <w:shd w:fill="183B4E"/>
        </w:rPr>
        <w:t>F-08</w:t>
      </w:r>
      <w:r>
        <w:rPr>
          <w:b/>
        </w:rPr>
        <w:t xml:space="preserve">  Final-publication navigation and file metadata are incomplete.</w:t>
      </w:r>
    </w:p>
    <w:p>
      <w:pPr>
        <w:ind w:left="216"/>
      </w:pPr>
      <w:r>
        <w:t>All 24 include page numbers, but none contains a table of contents. Four files list 'python-docx' as creator, and all retain a 2013 template creation date.</w:t>
      </w:r>
    </w:p>
    <w:p>
      <w:pPr>
        <w:ind w:left="216"/>
      </w:pPr>
      <w:r>
        <w:rPr>
          <w:b/>
        </w:rPr>
        <w:t xml:space="preserve">Action: </w:t>
      </w:r>
      <w:r>
        <w:t>Add a static or updateable TOC where appropriate, create accessible hyperlinks, set CTA author/title/subject metadata, and scrub template metadata.</w:t>
      </w:r>
    </w:p>
    <w:p>
      <w:r>
        <w:rPr>
          <w:b/>
          <w:color w:val="FFFFFF"/>
          <w:sz w:val="16"/>
          <w:shd w:fill="183B4E"/>
        </w:rPr>
        <w:t>F-09</w:t>
      </w:r>
      <w:r>
        <w:rPr>
          <w:b/>
        </w:rPr>
        <w:t xml:space="preserve">  Student files do not carry admin item metadata needed for quality control.</w:t>
      </w:r>
    </w:p>
    <w:p>
      <w:pPr>
        <w:ind w:left="216"/>
      </w:pPr>
      <w:r>
        <w:t>No Question ID, difficulty, primary concept, cognitive type, blueprint tag, source status, or item-review field appears in the current files.</w:t>
      </w:r>
    </w:p>
    <w:p>
      <w:pPr>
        <w:ind w:left="216"/>
      </w:pPr>
      <w:r>
        <w:rPr>
          <w:b/>
        </w:rPr>
        <w:t xml:space="preserve">Action: </w:t>
      </w:r>
      <w:r>
        <w:t>Move every item into a controlled admin question bank with IDs and tags; keep the student presentation clean.</w:t>
      </w:r>
    </w:p>
    <w:p>
      <w:r>
        <w:rPr>
          <w:b/>
          <w:color w:val="FFFFFF"/>
          <w:sz w:val="16"/>
          <w:shd w:fill="183B4E"/>
        </w:rPr>
        <w:t>F-10</w:t>
      </w:r>
      <w:r>
        <w:rPr>
          <w:b/>
        </w:rPr>
        <w:t xml:space="preserve">  One high-similarity item appears within the LCSW program.</w:t>
      </w:r>
    </w:p>
    <w:p>
      <w:pPr>
        <w:ind w:left="216"/>
      </w:pPr>
      <w:r>
        <w:t>LCSW WB11 Q10 and LCSW WB12 Q25 both use a clinic with long intake delays and lower completion among clients needing interpreters.</w:t>
      </w:r>
    </w:p>
    <w:p>
      <w:pPr>
        <w:ind w:left="216"/>
      </w:pPr>
      <w:r>
        <w:rPr>
          <w:b/>
        </w:rPr>
        <w:t xml:space="preserve">Action: </w:t>
      </w:r>
      <w:r>
        <w:t>Rewrite one item so the integrated mock tests transfer rather than recognition.</w:t>
      </w:r>
    </w:p>
    <w:p>
      <w:r>
        <w:rPr>
          <w:b/>
          <w:color w:val="FFFFFF"/>
          <w:sz w:val="16"/>
          <w:shd w:fill="183B4E"/>
        </w:rPr>
        <w:t>F-11</w:t>
      </w:r>
      <w:r>
        <w:rPr>
          <w:b/>
        </w:rPr>
        <w:t xml:space="preserve">  The LCSW practice mix is only partly aligned with the redesigned three- and four-option format.</w:t>
      </w:r>
    </w:p>
    <w:p>
      <w:pPr>
        <w:ind w:left="216"/>
      </w:pPr>
      <w:r>
        <w:t>Across 135 LCSW items, 32 use three options and 103 use four. The 25-question mini-mock uses a stronger three-option mix, but most workbook checks are exclusively four-option.</w:t>
      </w:r>
    </w:p>
    <w:p>
      <w:pPr>
        <w:ind w:left="216"/>
      </w:pPr>
      <w:r>
        <w:rPr>
          <w:b/>
        </w:rPr>
        <w:t xml:space="preserve">Action: </w:t>
      </w:r>
      <w:r>
        <w:t>Set an intentional option-format plan based on the current ASWB format, without inventing an unsupported exact percentage.</w:t>
      </w:r>
    </w:p>
    <w:p>
      <w:r>
        <w:rPr>
          <w:b/>
          <w:color w:val="FFFFFF"/>
          <w:sz w:val="16"/>
          <w:shd w:fill="183B4E"/>
        </w:rPr>
        <w:t>F-12</w:t>
      </w:r>
      <w:r>
        <w:rPr>
          <w:b/>
        </w:rPr>
        <w:t xml:space="preserve">  Current official baselines are correctly reflected, but final release still requires formal source signoff.</w:t>
      </w:r>
    </w:p>
    <w:p>
      <w:pPr>
        <w:ind w:left="216"/>
      </w:pPr>
      <w:r>
        <w:t>ASWB facts in WB1/WB12 match the 2026 guidebook. LMFT WB1 matches the current Pearson/BBS structure. Spot checks of LMFT WB6 and WB12 found cautious, source-aligned statements regarding child reporting, elder/dependent-adult reporting, duty to protect, Section 5150 authority, subpoenas, and privilege.</w:t>
      </w:r>
    </w:p>
    <w:p>
      <w:pPr>
        <w:ind w:left="216"/>
      </w:pPr>
      <w:r>
        <w:rPr>
          <w:b/>
        </w:rPr>
        <w:t xml:space="preserve">Action: </w:t>
      </w:r>
      <w:r>
        <w:t>Complete line-by-line clinical and California legal SME review and date-stamp the source register immediately before v1.0 publication.</w:t>
      </w:r>
    </w:p>
    <w:p>
      <w:pPr>
        <w:pStyle w:val="Heading1"/>
      </w:pPr>
      <w:r>
        <w:t>Official Source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CFDF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8" w:color="027A48"/>
              <w:top w:val="single" w:sz="8" w:color="027A48"/>
              <w:right w:val="single" w:sz="8" w:color="027A48"/>
              <w:bottom w:val="single" w:sz="8" w:color="027A48"/>
            </w:tcBorders>
          </w:tcPr>
          <w:p>
            <w:pPr>
              <w:spacing w:after="60"/>
            </w:pPr>
            <w:r>
              <w:rPr>
                <w:b/>
                <w:color w:val="183B4E"/>
                <w:sz w:val="20"/>
              </w:rPr>
              <w:t>Verified Current Baselines</w:t>
            </w:r>
          </w:p>
          <w:p>
            <w:pPr>
              <w:spacing w:after="0"/>
            </w:pPr>
            <w:r>
              <w:t>ASWB Clinical workbooks use the August 3, 2026 structure: 122 total questions, 12 unscored, four hours, two 61-question sections, and content weights of 36% Values and Ethics, 32% Assessment and Planning, and 32% Intervention and Practice. The LMFT strategy workbook uses the current Pearson/BBS structure: 125 scored questions, 25 pretest questions, and 240 minutes.</w:t>
            </w:r>
          </w:p>
        </w:tc>
      </w:tr>
    </w:tbl>
    <w:p>
      <w:pPr>
        <w:pStyle w:val="Heading2"/>
      </w:pPr>
      <w:r>
        <w:t>ASWB Examination Guidebook — 2026 Blueprints</w:t>
      </w:r>
    </w:p>
    <w:p>
      <w:r>
        <w:rPr>
          <w:b/>
        </w:rPr>
        <w:t xml:space="preserve">Version/date: </w:t>
      </w:r>
      <w:r>
        <w:t>Published May 2026; exams on/after Aug. 3, 2026</w:t>
      </w:r>
    </w:p>
    <w:p>
      <w:r>
        <w:rPr>
          <w:b/>
        </w:rPr>
        <w:t xml:space="preserve">Verified: </w:t>
      </w:r>
      <w:r>
        <w:t>Clinical exam: 122 total, 12 unscored, 110 scored; four hours; two 61-question sections; 36% Values and Ethics, 32% Assessment and Planning, 32% Intervention and Practice; three- and four-option questions.</w:t>
      </w:r>
    </w:p>
    <w:p>
      <w:r>
        <w:rPr>
          <w:b/>
        </w:rPr>
        <w:t xml:space="preserve">Recheck: </w:t>
      </w:r>
      <w:r>
        <w:t>Before release and at least annually.</w:t>
      </w:r>
    </w:p>
    <w:p>
      <w:pPr>
        <w:pStyle w:val="AuditSmall"/>
      </w:pPr>
      <w:r>
        <w:t>https://www.aswb.org/wp-content/uploads/2026/05/2026-Social-Work-Licensing-Exam-Guidebook-5.4.2026.pdf</w:t>
      </w:r>
    </w:p>
    <w:p>
      <w:pPr>
        <w:pStyle w:val="Heading2"/>
      </w:pPr>
      <w:r>
        <w:t>ASWB 2026 Exam Transition</w:t>
      </w:r>
    </w:p>
    <w:p>
      <w:r>
        <w:rPr>
          <w:b/>
        </w:rPr>
        <w:t xml:space="preserve">Version/date: </w:t>
      </w:r>
      <w:r>
        <w:t>Current July 2026</w:t>
      </w:r>
    </w:p>
    <w:p>
      <w:r>
        <w:rPr>
          <w:b/>
        </w:rPr>
        <w:t xml:space="preserve">Verified: </w:t>
      </w:r>
      <w:r>
        <w:t>Redesigned exams begin August 3, 2026; 122 total questions including 12 unscored.</w:t>
      </w:r>
    </w:p>
    <w:p>
      <w:r>
        <w:rPr>
          <w:b/>
        </w:rPr>
        <w:t xml:space="preserve">Recheck: </w:t>
      </w:r>
      <w:r>
        <w:t>After launch and before marketing updates.</w:t>
      </w:r>
    </w:p>
    <w:p>
      <w:pPr>
        <w:pStyle w:val="AuditSmall"/>
      </w:pPr>
      <w:r>
        <w:t>https://www.aswb.org/2026exams/</w:t>
      </w:r>
    </w:p>
    <w:p>
      <w:pPr>
        <w:pStyle w:val="Heading2"/>
      </w:pPr>
      <w:r>
        <w:t>California BBS LMFT Clinical Exam Page / Pearson Candidate Handbook</w:t>
      </w:r>
    </w:p>
    <w:p>
      <w:r>
        <w:rPr>
          <w:b/>
        </w:rPr>
        <w:t xml:space="preserve">Version/date: </w:t>
      </w:r>
      <w:r>
        <w:t>BBS current page; Pearson handbook July 2026</w:t>
      </w:r>
    </w:p>
    <w:p>
      <w:r>
        <w:rPr>
          <w:b/>
        </w:rPr>
        <w:t xml:space="preserve">Verified: </w:t>
      </w:r>
      <w:r>
        <w:t>LMFT Clinical is a separate required exam; current handbook lists 125 scored questions, 25 pretest questions, and 240 minutes.</w:t>
      </w:r>
    </w:p>
    <w:p>
      <w:r>
        <w:rPr>
          <w:b/>
        </w:rPr>
        <w:t xml:space="preserve">Recheck: </w:t>
      </w:r>
      <w:r>
        <w:t>Before release and whenever Pearson/BBS updates the handbook.</w:t>
      </w:r>
    </w:p>
    <w:p>
      <w:pPr>
        <w:pStyle w:val="AuditSmall"/>
      </w:pPr>
      <w:r>
        <w:t>https://www.bbs.ca.gov/exams/lmft.html</w:t>
      </w:r>
    </w:p>
    <w:p>
      <w:pPr>
        <w:pStyle w:val="Heading2"/>
      </w:pPr>
      <w:r>
        <w:t>California BBS Statutes and Regulations</w:t>
      </w:r>
    </w:p>
    <w:p>
      <w:r>
        <w:rPr>
          <w:b/>
        </w:rPr>
        <w:t xml:space="preserve">Version/date: </w:t>
      </w:r>
      <w:r>
        <w:t>January 1, 2026 compilation</w:t>
      </w:r>
    </w:p>
    <w:p>
      <w:r>
        <w:rPr>
          <w:b/>
        </w:rPr>
        <w:t xml:space="preserve">Verified: </w:t>
      </w:r>
      <w:r>
        <w:t>Current BBS statutory/regulatory baseline for LMFT practice and professional obligations.</w:t>
      </w:r>
    </w:p>
    <w:p>
      <w:r>
        <w:rPr>
          <w:b/>
        </w:rPr>
        <w:t xml:space="preserve">Recheck: </w:t>
      </w:r>
      <w:r>
        <w:t>Immediately before release and after every California legislative/regulatory update.</w:t>
      </w:r>
    </w:p>
    <w:p>
      <w:pPr>
        <w:pStyle w:val="AuditSmall"/>
      </w:pPr>
      <w:r>
        <w:t>https://www.bbs.ca.gov/pdf/publications/lawsregs.pdf</w:t>
      </w:r>
    </w:p>
    <w:p>
      <w:pPr>
        <w:pStyle w:val="Heading2"/>
      </w:pPr>
      <w:r>
        <w:t>California BBS Law and Regulation Updates</w:t>
      </w:r>
    </w:p>
    <w:p>
      <w:r>
        <w:rPr>
          <w:b/>
        </w:rPr>
        <w:t xml:space="preserve">Version/date: </w:t>
      </w:r>
      <w:r>
        <w:t>Current web page</w:t>
      </w:r>
    </w:p>
    <w:p>
      <w:r>
        <w:rPr>
          <w:b/>
        </w:rPr>
        <w:t xml:space="preserve">Verified: </w:t>
      </w:r>
      <w:r>
        <w:t>Publication and maintenance trigger for new statutes, regulations, and guidance.</w:t>
      </w:r>
    </w:p>
    <w:p>
      <w:r>
        <w:rPr>
          <w:b/>
        </w:rPr>
        <w:t xml:space="preserve">Recheck: </w:t>
      </w:r>
      <w:r>
        <w:t>Quarterly during development; before every annual edition.</w:t>
      </w:r>
    </w:p>
    <w:p>
      <w:pPr>
        <w:pStyle w:val="AuditSmall"/>
      </w:pPr>
      <w:r>
        <w:t>https://www.bbs.ca.gov/about/law_reg.html</w:t>
      </w:r>
    </w:p>
    <w:p>
      <w:pPr>
        <w:pStyle w:val="Heading1"/>
      </w:pPr>
      <w:r>
        <w:t>Program-Level Conclusions</w:t>
      </w:r>
    </w:p>
    <w:p>
      <w:pPr>
        <w:pStyle w:val="Heading2"/>
      </w:pPr>
      <w:r>
        <w:t>California LMFT Clinical Program</w:t>
      </w:r>
    </w:p>
    <w:p>
      <w:pPr>
        <w:pStyle w:val="ListBullet"/>
      </w:pPr>
      <w:r>
        <w:t>The 12-workbook architecture follows the six-domain content plan and preserves the intended systemic, relational, diagnostic, crisis, planning, treatment, and professional-practice lenses.</w:t>
      </w:r>
    </w:p>
    <w:p>
      <w:pPr>
        <w:pStyle w:val="ListBullet"/>
      </w:pPr>
      <w:r>
        <w:t>The master task crosswalk must be updated from “Mapped - Not Drafted” to evidence-based completion status with page and question links.</w:t>
      </w:r>
    </w:p>
    <w:p>
      <w:pPr>
        <w:pStyle w:val="ListBullet"/>
      </w:pPr>
      <w:r>
        <w:t>Future question banks and mocks must be weighted to the official domain distribution rather than treating each workbook equally.</w:t>
      </w:r>
    </w:p>
    <w:p>
      <w:pPr>
        <w:pStyle w:val="ListBullet"/>
      </w:pPr>
      <w:r>
        <w:t>Workbooks 6 and 12 require final, line-by-line California legal review and a dated source signoff before publication.</w:t>
      </w:r>
    </w:p>
    <w:p>
      <w:pPr>
        <w:pStyle w:val="ListBullet"/>
      </w:pPr>
      <w:r>
        <w:t>A full 150-question LMFT simulation should include 125 scored-style items plus 25 unscored-style items presented without identification.</w:t>
      </w:r>
    </w:p>
    <w:p>
      <w:pPr>
        <w:pStyle w:val="Heading2"/>
      </w:pPr>
      <w:r>
        <w:t>ASWB Clinical LCSW Program</w:t>
      </w:r>
    </w:p>
    <w:p>
      <w:pPr>
        <w:pStyle w:val="ListBullet"/>
      </w:pPr>
      <w:r>
        <w:t>The 12-workbook architecture addresses the 2026 Values and Ethics, Assessment and Planning, and Intervention and Practice content areas.</w:t>
      </w:r>
    </w:p>
    <w:p>
      <w:pPr>
        <w:pStyle w:val="ListBullet"/>
      </w:pPr>
      <w:r>
        <w:t>The 25-question mini-mock correctly scales the 36/32/32 blueprint to 9/8/8 questions, but it is not a full exam simulation.</w:t>
      </w:r>
    </w:p>
    <w:p>
      <w:pPr>
        <w:pStyle w:val="ListBullet"/>
      </w:pPr>
      <w:r>
        <w:t>Question development should intentionally use both three- and four-option items and should be governed at the bank level rather than left to workbook-by-workbook drift.</w:t>
      </w:r>
    </w:p>
    <w:p>
      <w:pPr>
        <w:pStyle w:val="ListBullet"/>
      </w:pPr>
      <w:r>
        <w:t>The full mock should reproduce the two-section structure, scheduled break rules, four-hour timing, and inability to return to the first section after submission.</w:t>
      </w:r>
    </w:p>
    <w:p>
      <w:pPr>
        <w:pStyle w:val="ListBullet"/>
      </w:pPr>
      <w:r>
        <w:t>After the redesigned exam launches on August 3, 2026, CTA should perform a post-launch source check before final publication and marketing.</w:t>
      </w:r>
    </w:p>
    <w:p>
      <w:pPr>
        <w:pStyle w:val="Heading1"/>
      </w:pPr>
      <w:r>
        <w:t>Recommended Revision and Production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0F6B6D"/>
          </w:tcPr>
          <w:p>
            <w:r>
              <w:rPr>
                <w:color w:val="FFFFFF"/>
              </w:rPr>
              <w:t>Seq.</w:t>
            </w:r>
          </w:p>
        </w:tc>
        <w:tc>
          <w:tcPr>
            <w:tcW w:type="dxa" w:w="2045"/>
            <w:shd w:fill="0F6B6D"/>
          </w:tcPr>
          <w:p>
            <w:r>
              <w:rPr>
                <w:color w:val="FFFFFF"/>
              </w:rPr>
              <w:t>Workstream</w:t>
            </w:r>
          </w:p>
        </w:tc>
        <w:tc>
          <w:tcPr>
            <w:tcW w:type="dxa" w:w="2045"/>
            <w:shd w:fill="0F6B6D"/>
          </w:tcPr>
          <w:p>
            <w:r>
              <w:rPr>
                <w:color w:val="FFFFFF"/>
              </w:rPr>
              <w:t>Scope</w:t>
            </w:r>
          </w:p>
        </w:tc>
        <w:tc>
          <w:tcPr>
            <w:tcW w:type="dxa" w:w="2045"/>
            <w:shd w:fill="0F6B6D"/>
          </w:tcPr>
          <w:p>
            <w:r>
              <w:rPr>
                <w:color w:val="FFFFFF"/>
              </w:rPr>
              <w:t>Required Output</w:t>
            </w:r>
          </w:p>
        </w:tc>
        <w:tc>
          <w:tcPr>
            <w:tcW w:type="dxa" w:w="2045"/>
            <w:shd w:fill="0F6B6D"/>
          </w:tcPr>
          <w:p>
            <w:r>
              <w:rPr>
                <w:color w:val="FFFFFF"/>
              </w:rPr>
              <w:t>Gate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1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Global template and student/admin split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All 24 workbooks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Standard cover, disclaimer, 3–5 objectives or approved revised standard, chapter summary, learner-only source notes, TOC/navigation, metadata.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Template QA approved.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2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Accessibility remediation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All 24 workbooks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Alt text, corrected heading hierarchy, classified data/layout tables, link/read-order review.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Zero high-severity findings.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3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Question-bank normalization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All 255 current items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Unique IDs, tags, balanced key positions, option-format plan, duplicate check, rationale revalidation.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Assessment QA report approved.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4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Blueprint evidence mapping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124 LMFT tasks and 2026 LCSW Clinical applied-knowledge statements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Page/section/question/source evidence map with reviewer status.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100% mapped and reviewed.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5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Clinical and legal SME review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All workbooks; focused review of LMFT WB6/WB12 and diagnosis/medication content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Signed source and accuracy review log.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No unresolved high-risk comments.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6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Assessment product build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Both programs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Workbook exams, expanded question banks, LMFT 150-question mocks, LCSW 122-question mocks, scoring/error-analysis tools.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Blueprint and psychometric QA complete.</w:t>
            </w:r>
          </w:p>
        </w:tc>
      </w:tr>
      <w:tr>
        <w:trPr>
          <w:cantSplit/>
        </w:trPr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7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Final production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All deliverables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Approved v1.0 DOCX/PDF student editions and admin masters.</w:t>
            </w:r>
          </w:p>
        </w:tc>
        <w:tc>
          <w:tcPr>
            <w:tcW w:type="dxa" w:w="2045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t>Final render, accessibility, source, metadata, and version-control signoff.</w:t>
            </w:r>
          </w:p>
        </w:tc>
      </w:tr>
    </w:tbl>
    <w:p>
      <w:pPr>
        <w:pStyle w:val="Heading1"/>
      </w:pPr>
      <w:r>
        <w:t>v1.0 Publication Gate</w:t>
      </w:r>
    </w:p>
    <w:p>
      <w:pPr>
        <w:pStyle w:val="ListBullet"/>
      </w:pPr>
      <w:r>
        <w:t>☐ All 24 workbooks use the approved cover, naming, disclaimer, copyright, version, source-note, and metadata template.</w:t>
      </w:r>
    </w:p>
    <w:p>
      <w:pPr>
        <w:pStyle w:val="ListBullet"/>
      </w:pPr>
      <w:r>
        <w:t>☐ Every workbook passes the approved CTA structure checklist, including the chosen objective and chapter-summary standard.</w:t>
      </w:r>
    </w:p>
    <w:p>
      <w:pPr>
        <w:pStyle w:val="ListBullet"/>
      </w:pPr>
      <w:r>
        <w:t>☐ All 255 current items have unique IDs, blueprint tags, cognitive-level tags, revised answer-position balance, verified rationales, and reviewer signoff.</w:t>
      </w:r>
    </w:p>
    <w:p>
      <w:pPr>
        <w:pStyle w:val="ListBullet"/>
      </w:pPr>
      <w:r>
        <w:t>☐ No high-severity accessibility findings remain; data tables, layout tables, headings, images, reading order, and links are documented.</w:t>
      </w:r>
    </w:p>
    <w:p>
      <w:pPr>
        <w:pStyle w:val="ListBullet"/>
      </w:pPr>
      <w:r>
        <w:t>☐ The LMFT 124-task evidence map and LCSW 2026 applied-knowledge evidence map are complete.</w:t>
      </w:r>
    </w:p>
    <w:p>
      <w:pPr>
        <w:pStyle w:val="ListBullet"/>
      </w:pPr>
      <w:r>
        <w:t>☐ California legal and clinical subject-matter reviews are completed and dated.</w:t>
      </w:r>
    </w:p>
    <w:p>
      <w:pPr>
        <w:pStyle w:val="ListBullet"/>
      </w:pPr>
      <w:r>
        <w:t>☐ Full-length mocks and expanded question banks match current official exam structures and blueprints.</w:t>
      </w:r>
    </w:p>
    <w:p>
      <w:pPr>
        <w:pStyle w:val="ListBullet"/>
      </w:pPr>
      <w:r>
        <w:t>☐ Final DOCX and PDF editions are rendered page by page and approved before release.</w:t>
      </w:r>
    </w:p>
    <w:p>
      <w:r>
        <w:br w:type="page"/>
      </w:r>
    </w:p>
    <w:p>
      <w:pPr>
        <w:pStyle w:val="Heading1"/>
      </w:pPr>
      <w:r>
        <w:t>Appendix A — Workbook-Level Audit Summary</w:t>
      </w:r>
    </w:p>
    <w:p>
      <w:pPr>
        <w:pStyle w:val="Heading2"/>
      </w:pPr>
      <w:r>
        <w:t>LMFT Workbooks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83B4E"/>
          </w:tcPr>
          <w:p>
            <w:r>
              <w:rPr>
                <w:color w:val="FFFFFF"/>
              </w:rPr>
              <w:t>WB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Title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Priority action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Exam Strategy and Clinical Reasoning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7/10); complete accessibility remediation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Clinical Engagement, Intake, and Mental Status Assessment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standard disclaimer; complete accessibility remediation; remove internal source references; move publication controls to admin file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Developmental, Psychosocial, and Diversity Assessment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Relational, Family-System, Trauma, and Strengths Assessment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Diagnosis and Differential Diagnosis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Crisis, Abuse, and Safety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chapter summary; add standard disclaimer; complete accessibility remediation; remove internal source references; complete California legal SME review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Planning, Progress, and Termination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7/10); reduce objectives to 3–5; add chapter summary;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Family, Couple, Attachment, and Relational Interventions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42318"/>
              </w:rPr>
              <w:t>Major Revision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8/10); reduce objectives to 3–5; add chapter summary;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Trauma, Psychological, Behavioral, and Recovery Interventions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add chapter summary;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Developmental, Cultural, and Contextual Interventions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add chapter summary;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Theory, Groups, Referral, and Interdisciplinary Collaboration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chapter summary;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California Legal, Ethical, and Professional Practice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42318"/>
              </w:rPr>
              <w:t>Major Revision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8/10); reduce objectives to 3–5; add chapter summary; add standard disclaimer; complete accessibility remediation; remove internal source references; complete California legal SME review</w:t>
            </w:r>
          </w:p>
        </w:tc>
      </w:tr>
    </w:tbl>
    <w:p>
      <w:pPr>
        <w:pStyle w:val="Heading2"/>
      </w:pPr>
      <w:r>
        <w:t>LCSW Workbooks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83B4E"/>
          </w:tcPr>
          <w:p>
            <w:r>
              <w:rPr>
                <w:color w:val="FFFFFF"/>
              </w:rPr>
              <w:t>WB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Title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56"/>
            <w:shd w:fill="183B4E"/>
          </w:tcPr>
          <w:p>
            <w:r>
              <w:rPr>
                <w:color w:val="FFFFFF"/>
              </w:rPr>
              <w:t>Priority action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ASWB Exam Strategy and Applied Reasoning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7/10); complete accessibility remediation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Values, Ethics, Self-Determination, and Social Justice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Human Development, Diversity, and Person-in-Environment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(A 7/10); reduce objectives to 3–5;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Clinical Assessment, Interviewing, and Mental Status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standard disclaimer; complete accessibility remediation; remove internal source references; move publication controls to admin file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Diagnosis, Medical Factors, and Psychopharmacology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Crisis, Abuse, and Risk Assessment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42318"/>
              </w:rPr>
              <w:t>Major Revision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10/10); reduce objectives to 3–5; 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Treatment and Service Planning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reduce objectives to 3–5; 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Clinical Interventions and Trauma-Informed Practice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(A 7/10); reduce objectives to 3–5; 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Family, Couple, Group, and Parenting Interventions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42318"/>
              </w:rPr>
              <w:t>Major Revision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8/10); reduce objectives to 3–5; 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Case Management, Advocacy, Resources, and Collaboration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54708"/>
              </w:rPr>
              <w:t>Revision Required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add chapter summary; add standard disclaimer;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Practice Evaluation, Research, Supervision, and Administration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42318"/>
              </w:rPr>
              <w:t>Major Revision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rebalance answer positions (B 8/10); reduce objectives to 3–5; add chapter summary; complete accessibility remediation; remove internal source references</w:t>
            </w:r>
          </w:p>
        </w:tc>
      </w:tr>
      <w:tr>
        <w:trPr>
          <w:cantSplit/>
        </w:trP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Integrated Review and Mock Examination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b/>
                <w:color w:val="B42318"/>
              </w:rPr>
              <w:t>Major Revision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t>retain as mini-mock; build separate 122-question full mock; rebalance answer positions (B 23/25); reduce objectives to 3–5; add chapter summary; add standard disclaimer; complete accessibility remediation; remove internal source references</w:t>
            </w:r>
          </w:p>
        </w:tc>
      </w:tr>
    </w:tbl>
    <w:p>
      <w:pPr>
        <w:pStyle w:val="Heading1"/>
      </w:pPr>
      <w:r>
        <w:t>Appendix B — Audit Totals and Interpretation Notes</w:t>
      </w:r>
    </w:p>
    <w:p>
      <w:pPr>
        <w:pStyle w:val="ListBullet"/>
      </w:pPr>
      <w:r>
        <w:t>Answer-position statistics evaluate test-construction pattern risk, not content accuracy. Rebalancing should preserve the one-best-answer logic and must include a complete rationale recheck.</w:t>
      </w:r>
    </w:p>
    <w:p>
      <w:pPr>
        <w:pStyle w:val="ListBullet"/>
      </w:pPr>
      <w:r>
        <w:t>The automated accessibility tool flags every table without a header marker. Many CTA callout boxes are built as one-cell layout tables; these should be classified and remediated appropriately rather than automatically treated as data tables.</w:t>
      </w:r>
    </w:p>
    <w:p>
      <w:pPr>
        <w:pStyle w:val="ListBullet"/>
      </w:pPr>
      <w:r>
        <w:t>The audit confirms structural and source baselines but does not replace licensed clinical, psychometric, accessibility, or California legal review.</w:t>
      </w:r>
    </w:p>
    <w:p>
      <w:pPr>
        <w:pStyle w:val="ListBullet"/>
      </w:pPr>
      <w:r>
        <w:t>This report did not modify the 24 workbook drafts. It establishes the controlled revision backlog for the next production phase.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Clinical Training Academy  •  Internal Master Quality-Control Audit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08760" cy="340879"/>
          <wp:docPr id="1" name="Picture 1" descr="Clinical Training Academy logo" title="Clinical Training Academ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TA_Horizonta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34087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B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B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6B6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mall">
    <w:name w:val="Audit Small"/>
    <w:rPr>
      <w:rFonts w:ascii="Aptos" w:hAnsi="Aptos"/>
      <w:color w:val="667085"/>
      <w:sz w:val="16"/>
    </w:rPr>
  </w:style>
  <w:style w:type="paragraph" w:customStyle="1" w:styleId="AuditCaption">
    <w:name w:val="Audit Caption"/>
    <w:rPr>
      <w:rFonts w:ascii="Aptos" w:hAnsi="Aptos"/>
      <w:i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and LCSW 24-Workbook Master QC Audit Report</dc:title>
  <dc:subject>Internal quality-control and publication-readiness audit</dc:subject>
  <dc:creator>Clinical Training Academy</dc:creator>
  <cp:keywords>LMFT, LCSW, ASWB, exam preparation, quality control, audit</cp:keywords>
  <dc:description>Internal administrative resource; not student-facing.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