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440"/>
        <w:jc w:val="center"/>
      </w:pPr>
      <w:r>
        <w:rPr>
          <w:rFonts w:ascii="Montserrat" w:hAnsi="Montserrat" w:eastAsia="Montserrat"/>
          <w:b/>
          <w:i w:val="0"/>
          <w:color w:val="102A56"/>
          <w:sz w:val="44"/>
        </w:rPr>
        <w:t>DAVID FINAL SIMULATION</w:t>
        <w:br/>
        <w:t>IMPLEMENTATION GUIDE</w:t>
      </w:r>
    </w:p>
    <w:p>
      <w:pPr>
        <w:widowControl/>
        <w:spacing w:after="80"/>
        <w:jc w:val="center"/>
      </w:pPr>
      <w:r>
        <w:rPr>
          <w:rFonts w:ascii="Montserrat" w:hAnsi="Montserrat" w:eastAsia="Montserrat"/>
          <w:b/>
          <w:i w:val="0"/>
          <w:color w:val="149F9A"/>
          <w:sz w:val="26"/>
        </w:rPr>
        <w:t>CTA LMFT California Clinical Exam Preparation Program</w:t>
      </w:r>
    </w:p>
    <w:p>
      <w:pPr>
        <w:widowControl/>
        <w:spacing w:after="40"/>
        <w:jc w:val="center"/>
      </w:pPr>
      <w:r>
        <w:rPr>
          <w:rFonts w:ascii="Montserrat" w:hAnsi="Montserrat" w:eastAsia="Montserrat"/>
          <w:b w:val="0"/>
          <w:i w:val="0"/>
          <w:color w:val="4A5563"/>
          <w:sz w:val="22"/>
        </w:rPr>
        <w:t>Replacement control for Comprehensive Simulation Form A and Form B</w:t>
      </w:r>
    </w:p>
    <w:p>
      <w:pPr>
        <w:widowControl/>
        <w:spacing w:after="360"/>
        <w:jc w:val="center"/>
      </w:pPr>
      <w:r>
        <w:rPr>
          <w:rFonts w:ascii="Montserrat" w:hAnsi="Montserrat" w:eastAsia="Montserrat"/>
          <w:b w:val="0"/>
          <w:i w:val="0"/>
          <w:color w:val="4A5563"/>
          <w:sz w:val="20"/>
        </w:rPr>
        <w:t>Version 1.1 | August 14,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trHeight w:hRule="atLeast"/>
        </w:trPr>
        <w:tc>
          <w:tcPr>
            <w:tcW w:type="dxa" w:w="10368"/>
            <w:shd w:fill="EAF7ED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left w:val="single" w:sz="18" w:color="149F9A"/>
              <w:bottom w:val="nil"/>
              <w:right w:val="nil"/>
            </w:tcBorders>
          </w:tcPr>
          <w:p>
            <w:pPr>
              <w:widowControl/>
              <w:spacing w:after="40"/>
            </w:pPr>
            <w:r>
              <w:rPr>
                <w:rFonts w:ascii="Montserrat" w:hAnsi="Montserrat" w:eastAsia="Montserrat"/>
                <w:b/>
                <w:i w:val="0"/>
                <w:color w:val="102A56"/>
                <w:sz w:val="20"/>
              </w:rPr>
              <w:t>RELEASE STATUS</w:t>
            </w:r>
          </w:p>
          <w:p>
            <w:pPr>
              <w:widowControl/>
              <w:spacing w:after="0" w:line="245" w:lineRule="auto"/>
            </w:pPr>
            <w:r>
              <w:rPr>
                <w:rFonts w:ascii="Montserrat" w:hAnsi="Montserrat" w:eastAsia="Montserrat"/>
                <w:b w:val="0"/>
                <w:i w:val="0"/>
                <w:color w:val="111111"/>
                <w:sz w:val="20"/>
              </w:rPr>
              <w:t>APPROVED FOR CTA INTERNAL IMPLEMENTATION AND LEARNER SIMULATION DELIVERY. The final system contains 300 unique learner-facing items: Form A = 150 and Form B = 150. Source recovery is closed.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768"/>
      </w:tblGrid>
      <w:tr>
        <w:trPr>
          <w:trHeight w:hRule="atLeast"/>
          <w:tblHeader w:val="true"/>
        </w:trPr>
        <w:tc>
          <w:tcPr>
            <w:tcW w:type="dxa" w:w="5184"/>
            <w:shd w:fill="102A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5184"/>
            <w:shd w:fill="102A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9"/>
              </w:rPr>
              <w:t>Approved implementation</w:t>
            </w:r>
          </w:p>
        </w:tc>
      </w:tr>
      <w:tr>
        <w:trPr>
          <w:trHeight w:hRule="atLeast"/>
        </w:trPr>
        <w:tc>
          <w:tcPr>
            <w:tcW w:type="dxa" w:w="3096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/>
                <w:i w:val="0"/>
                <w:color w:val="102A56"/>
                <w:sz w:val="18"/>
              </w:rPr>
              <w:t>Implementation scope</w:t>
            </w:r>
          </w:p>
        </w:tc>
        <w:tc>
          <w:tcPr>
            <w:tcW w:type="dxa" w:w="6768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 w:val="0"/>
                <w:i w:val="0"/>
                <w:color w:val="111111"/>
                <w:sz w:val="18"/>
              </w:rPr>
              <w:t>Replace the existing California LMFT Clinical comprehensive Form A and Form B simulations and their answer/rationale mappings only.</w:t>
            </w:r>
          </w:p>
        </w:tc>
      </w:tr>
      <w:tr>
        <w:trPr>
          <w:trHeight w:hRule="atLeast"/>
        </w:trPr>
        <w:tc>
          <w:tcPr>
            <w:tcW w:type="dxa" w:w="3096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/>
                <w:i w:val="0"/>
                <w:color w:val="102A56"/>
                <w:sz w:val="18"/>
              </w:rPr>
              <w:t>Public product title</w:t>
            </w:r>
          </w:p>
        </w:tc>
        <w:tc>
          <w:tcPr>
            <w:tcW w:type="dxa" w:w="6768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 w:val="0"/>
                <w:i w:val="0"/>
                <w:color w:val="111111"/>
                <w:sz w:val="18"/>
              </w:rPr>
              <w:t>CTA LMFT California Clinical Exam Preparation Program</w:t>
            </w:r>
          </w:p>
        </w:tc>
      </w:tr>
      <w:tr>
        <w:trPr>
          <w:trHeight w:hRule="atLeast"/>
        </w:trPr>
        <w:tc>
          <w:tcPr>
            <w:tcW w:type="dxa" w:w="3096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/>
                <w:i w:val="0"/>
                <w:color w:val="102A56"/>
                <w:sz w:val="18"/>
              </w:rPr>
              <w:t>Program classification</w:t>
            </w:r>
          </w:p>
        </w:tc>
        <w:tc>
          <w:tcPr>
            <w:tcW w:type="dxa" w:w="6768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 w:val="0"/>
                <w:i w:val="0"/>
                <w:color w:val="111111"/>
                <w:sz w:val="18"/>
              </w:rPr>
              <w:t>Exam Preparation Only | No CE Credit</w:t>
            </w:r>
          </w:p>
        </w:tc>
      </w:tr>
      <w:tr>
        <w:trPr>
          <w:trHeight w:hRule="atLeast"/>
        </w:trPr>
        <w:tc>
          <w:tcPr>
            <w:tcW w:type="dxa" w:w="3096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/>
                <w:i w:val="0"/>
                <w:color w:val="102A56"/>
                <w:sz w:val="18"/>
              </w:rPr>
              <w:t>Launch price</w:t>
            </w:r>
          </w:p>
        </w:tc>
        <w:tc>
          <w:tcPr>
            <w:tcW w:type="dxa" w:w="6768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 w:val="0"/>
                <w:i w:val="0"/>
                <w:color w:val="111111"/>
                <w:sz w:val="18"/>
              </w:rPr>
              <w:t>$249</w:t>
            </w:r>
          </w:p>
        </w:tc>
      </w:tr>
      <w:tr>
        <w:trPr>
          <w:trHeight w:hRule="atLeast"/>
        </w:trPr>
        <w:tc>
          <w:tcPr>
            <w:tcW w:type="dxa" w:w="3096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/>
                <w:i w:val="0"/>
                <w:color w:val="102A56"/>
                <w:sz w:val="18"/>
              </w:rPr>
              <w:t>Access period</w:t>
            </w:r>
          </w:p>
        </w:tc>
        <w:tc>
          <w:tcPr>
            <w:tcW w:type="dxa" w:w="6768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 w:val="0"/>
                <w:i w:val="0"/>
                <w:color w:val="111111"/>
                <w:sz w:val="18"/>
              </w:rPr>
              <w:t>6 months from enrollment</w:t>
            </w:r>
          </w:p>
        </w:tc>
      </w:tr>
      <w:tr>
        <w:trPr>
          <w:trHeight w:hRule="atLeast"/>
        </w:trPr>
        <w:tc>
          <w:tcPr>
            <w:tcW w:type="dxa" w:w="3096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/>
                <w:i w:val="0"/>
                <w:color w:val="102A56"/>
                <w:sz w:val="18"/>
              </w:rPr>
              <w:t>Form architecture</w:t>
            </w:r>
          </w:p>
        </w:tc>
        <w:tc>
          <w:tcPr>
            <w:tcW w:type="dxa" w:w="6768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 w:val="0"/>
                <w:i w:val="0"/>
                <w:color w:val="111111"/>
                <w:sz w:val="18"/>
              </w:rPr>
              <w:t>150 questions per form | 125 scored/core + 25 unidentified calibration-style | four options A-D</w:t>
            </w:r>
          </w:p>
        </w:tc>
      </w:tr>
      <w:tr>
        <w:trPr>
          <w:trHeight w:hRule="atLeast"/>
        </w:trPr>
        <w:tc>
          <w:tcPr>
            <w:tcW w:type="dxa" w:w="3096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/>
                <w:i w:val="0"/>
                <w:color w:val="102A56"/>
                <w:sz w:val="18"/>
              </w:rPr>
              <w:t>Simulation time</w:t>
            </w:r>
          </w:p>
        </w:tc>
        <w:tc>
          <w:tcPr>
            <w:tcW w:type="dxa" w:w="6768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 w:val="0"/>
                <w:i w:val="0"/>
                <w:color w:val="111111"/>
                <w:sz w:val="18"/>
              </w:rPr>
              <w:t>240 minutes per form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trHeight w:hRule="atLeast"/>
        </w:trPr>
        <w:tc>
          <w:tcPr>
            <w:tcW w:type="dxa" w:w="10368"/>
            <w:shd w:fill="FFF5D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left w:val="single" w:sz="18" w:color="C89400"/>
              <w:bottom w:val="nil"/>
              <w:right w:val="nil"/>
            </w:tcBorders>
          </w:tcPr>
          <w:p>
            <w:pPr>
              <w:widowControl/>
              <w:spacing w:after="40"/>
            </w:pPr>
            <w:r>
              <w:rPr>
                <w:rFonts w:ascii="Montserrat" w:hAnsi="Montserrat" w:eastAsia="Montserrat"/>
                <w:b/>
                <w:i w:val="0"/>
                <w:color w:val="102A56"/>
                <w:sz w:val="20"/>
              </w:rPr>
              <w:t>DO NOT REOPEN THE COURSE</w:t>
            </w:r>
          </w:p>
          <w:p>
            <w:pPr>
              <w:widowControl/>
              <w:spacing w:after="0" w:line="245" w:lineRule="auto"/>
            </w:pPr>
            <w:r>
              <w:rPr>
                <w:rFonts w:ascii="Montserrat" w:hAnsi="Montserrat" w:eastAsia="Montserrat"/>
                <w:b w:val="0"/>
                <w:i w:val="0"/>
                <w:color w:val="111111"/>
                <w:sz w:val="20"/>
              </w:rPr>
              <w:t>This handoff does not restart the curriculum, source recovery, or item rebuild. Do not substitute older July simulation files, legacy administrative banks, or prior learner-facing forms.</w:t>
            </w:r>
          </w:p>
        </w:tc>
      </w:tr>
    </w:tbl>
    <w:p>
      <w:pPr>
        <w:widowControl/>
        <w:spacing w:after="20"/>
      </w:pPr>
    </w:p>
    <w:p>
      <w:pPr>
        <w:keepNext/>
        <w:spacing w:before="140" w:after="80"/>
        <w:pageBreakBefore/>
        <w:widowControl/>
        <w:pBdr>
          <w:bottom w:val="single" w:sz="8" w:space="2" w:color="149F9A"/>
        </w:pBdr>
      </w:pPr>
      <w:r>
        <w:rPr>
          <w:rFonts w:ascii="Montserrat" w:hAnsi="Montserrat" w:eastAsia="Montserrat"/>
          <w:b/>
          <w:i w:val="0"/>
          <w:color w:val="102A56"/>
          <w:sz w:val="32"/>
        </w:rPr>
        <w:t>1. Exact Files David Must Implement</w:t>
      </w:r>
    </w:p>
    <w:p>
      <w:pPr>
        <w:widowControl/>
        <w:spacing w:after="100" w:line="252" w:lineRule="auto"/>
      </w:pPr>
      <w:r>
        <w:rPr>
          <w:rFonts w:ascii="Montserrat" w:hAnsi="Montserrat" w:eastAsia="Montserrat"/>
          <w:b w:val="0"/>
          <w:i w:val="0"/>
          <w:color w:val="111111"/>
          <w:sz w:val="20"/>
        </w:rPr>
        <w:t>Use the following August 14 final simulation files as the implementation source of truth. Do not rename inside the LMS in a way that makes version control ambiguous, and do not replace their question text with older forms.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1944"/>
        <w:gridCol w:w="3168"/>
      </w:tblGrid>
      <w:tr>
        <w:trPr>
          <w:trHeight w:hRule="atLeast"/>
          <w:tblHeader w:val="true"/>
        </w:trPr>
        <w:tc>
          <w:tcPr>
            <w:tcW w:type="dxa" w:w="3456"/>
            <w:shd w:fill="102A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after="0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8"/>
              </w:rPr>
              <w:t>File</w:t>
            </w:r>
          </w:p>
        </w:tc>
        <w:tc>
          <w:tcPr>
            <w:tcW w:type="dxa" w:w="3456"/>
            <w:shd w:fill="102A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after="0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456"/>
            <w:shd w:fill="102A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after="0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8"/>
              </w:rPr>
              <w:t>Release / visibility</w:t>
            </w:r>
          </w:p>
        </w:tc>
      </w:tr>
      <w:tr>
        <w:trPr>
          <w:trHeight w:hRule="atLeast"/>
        </w:trPr>
        <w:tc>
          <w:tcPr>
            <w:tcW w:type="dxa" w:w="482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/>
                <w:i w:val="0"/>
                <w:color w:val="102A56"/>
                <w:sz w:val="17"/>
              </w:rPr>
              <w:t>CTA_LMFT_CA_Clinical_Exam_Prep_Final_Form_A_v1.0.docx</w:t>
            </w:r>
          </w:p>
        </w:tc>
        <w:tc>
          <w:tcPr>
            <w:tcW w:type="dxa" w:w="194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 w:val="0"/>
                <w:i w:val="0"/>
                <w:color w:val="111111"/>
                <w:sz w:val="17"/>
              </w:rPr>
              <w:t>Learner-facing Form A</w:t>
            </w:r>
          </w:p>
        </w:tc>
        <w:tc>
          <w:tcPr>
            <w:tcW w:type="dxa" w:w="31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 w:val="0"/>
                <w:i w:val="0"/>
                <w:color w:val="111111"/>
                <w:sz w:val="17"/>
              </w:rPr>
              <w:t>Visible as the Form A assessment; questions/options only.</w:t>
            </w:r>
          </w:p>
        </w:tc>
      </w:tr>
      <w:tr>
        <w:trPr>
          <w:trHeight w:hRule="atLeast"/>
        </w:trPr>
        <w:tc>
          <w:tcPr>
            <w:tcW w:type="dxa" w:w="4824"/>
            <w:shd w:fill="F3F5F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/>
                <w:i w:val="0"/>
                <w:color w:val="102A56"/>
                <w:sz w:val="17"/>
              </w:rPr>
              <w:t>CTA_LMFT_CA_Clinical_Exam_Prep_Final_Form_B_v1.0.docx</w:t>
            </w:r>
          </w:p>
        </w:tc>
        <w:tc>
          <w:tcPr>
            <w:tcW w:type="dxa" w:w="1944"/>
            <w:shd w:fill="F3F5F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 w:val="0"/>
                <w:i w:val="0"/>
                <w:color w:val="111111"/>
                <w:sz w:val="17"/>
              </w:rPr>
              <w:t>Learner-facing Form B</w:t>
            </w:r>
          </w:p>
        </w:tc>
        <w:tc>
          <w:tcPr>
            <w:tcW w:type="dxa" w:w="3168"/>
            <w:shd w:fill="F3F5F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 w:val="0"/>
                <w:i w:val="0"/>
                <w:color w:val="111111"/>
                <w:sz w:val="17"/>
              </w:rPr>
              <w:t>Visible only at the appropriate later program stage; questions/options only.</w:t>
            </w:r>
          </w:p>
        </w:tc>
      </w:tr>
      <w:tr>
        <w:trPr>
          <w:trHeight w:hRule="atLeast"/>
        </w:trPr>
        <w:tc>
          <w:tcPr>
            <w:tcW w:type="dxa" w:w="482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/>
                <w:i w:val="0"/>
                <w:color w:val="102A56"/>
                <w:sz w:val="17"/>
              </w:rPr>
              <w:t>CTA_LMFT_CA_Clinical_Exam_Prep_Final_Admin_Key_Rationales_v1.0.docx</w:t>
            </w:r>
          </w:p>
        </w:tc>
        <w:tc>
          <w:tcPr>
            <w:tcW w:type="dxa" w:w="194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 w:val="0"/>
                <w:i w:val="0"/>
                <w:color w:val="111111"/>
                <w:sz w:val="17"/>
              </w:rPr>
              <w:t>Administrator key + rationales</w:t>
            </w:r>
          </w:p>
        </w:tc>
        <w:tc>
          <w:tcPr>
            <w:tcW w:type="dxa" w:w="31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 w:val="0"/>
                <w:i w:val="0"/>
                <w:color w:val="111111"/>
                <w:sz w:val="17"/>
              </w:rPr>
              <w:t>Restricted. Use for key mapping, scored/core status, calibration status, and post-submission rationale display.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trHeight w:hRule="atLeast"/>
        </w:trPr>
        <w:tc>
          <w:tcPr>
            <w:tcW w:type="dxa" w:w="10368"/>
            <w:shd w:fill="EEF3F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left w:val="single" w:sz="18" w:color="102A56"/>
              <w:bottom w:val="nil"/>
              <w:right w:val="nil"/>
            </w:tcBorders>
          </w:tcPr>
          <w:p>
            <w:pPr>
              <w:widowControl/>
              <w:spacing w:after="40"/>
            </w:pPr>
            <w:r>
              <w:rPr>
                <w:rFonts w:ascii="Montserrat" w:hAnsi="Montserrat" w:eastAsia="Montserrat"/>
                <w:b/>
                <w:i w:val="0"/>
                <w:color w:val="102A56"/>
                <w:sz w:val="20"/>
              </w:rPr>
              <w:t>IMPORTANT V1.1 PROVENANCE CORRECTION</w:t>
            </w:r>
          </w:p>
          <w:p>
            <w:pPr>
              <w:widowControl/>
              <w:spacing w:after="0" w:line="245" w:lineRule="auto"/>
            </w:pPr>
            <w:r>
              <w:rPr>
                <w:rFonts w:ascii="Montserrat" w:hAnsi="Montserrat" w:eastAsia="Montserrat"/>
                <w:b w:val="0"/>
                <w:i w:val="0"/>
                <w:color w:val="111111"/>
                <w:sz w:val="20"/>
              </w:rPr>
              <w:t>The administrator key was generated before the final source-control reconciliation and its first-page provenance note still says 261 preserved / 39 successors. The controlling final provenance is 270 preserved / 30 controlled successors. This is an internal provenance correction only: it does not change any learner-facing stem, option, answer key, rationale, sequence, or LMS scoring behavior.</w:t>
            </w:r>
          </w:p>
        </w:tc>
      </w:tr>
    </w:tbl>
    <w:p>
      <w:pPr>
        <w:widowControl/>
        <w:spacing w:after="20"/>
      </w:pPr>
    </w:p>
    <w:p>
      <w:pPr>
        <w:keepNext/>
        <w:spacing w:before="140" w:after="80"/>
        <w:widowControl/>
        <w:pBdr>
          <w:bottom w:val="single" w:sz="8" w:space="2" w:color="149F9A"/>
        </w:pBdr>
      </w:pPr>
      <w:r>
        <w:rPr>
          <w:rFonts w:ascii="Montserrat" w:hAnsi="Montserrat" w:eastAsia="Montserrat"/>
          <w:b/>
          <w:i w:val="0"/>
          <w:color w:val="102A56"/>
          <w:sz w:val="32"/>
        </w:rPr>
        <w:t>2. What Must Be Replaced</w:t>
      </w:r>
    </w:p>
    <w:p>
      <w:pPr>
        <w:pStyle w:val="CTABullet"/>
        <w:widowControl/>
        <w:spacing w:after="60" w:line="240" w:lineRule="auto"/>
        <w:ind w:left="317" w:hanging="230"/>
      </w:pPr>
      <w:r>
        <w:rPr>
          <w:rFonts w:ascii="Montserrat" w:hAnsi="Montserrat" w:eastAsia="Montserrat"/>
          <w:b/>
          <w:i w:val="0"/>
          <w:color w:val="149F9A"/>
          <w:sz w:val="20"/>
        </w:rPr>
        <w:t xml:space="preserve">•  </w:t>
      </w:r>
      <w:r>
        <w:rPr>
          <w:rFonts w:ascii="Montserrat" w:hAnsi="Montserrat" w:eastAsia="Montserrat"/>
          <w:b w:val="0"/>
          <w:i w:val="0"/>
          <w:color w:val="111111"/>
          <w:sz w:val="20"/>
        </w:rPr>
        <w:t>Remove the currently implemented/legacy California LMFT Clinical comprehensive Form A and Form B from learner access.</w:t>
      </w:r>
    </w:p>
    <w:p>
      <w:pPr>
        <w:pStyle w:val="CTABullet"/>
        <w:widowControl/>
        <w:spacing w:after="60" w:line="240" w:lineRule="auto"/>
        <w:ind w:left="317" w:hanging="230"/>
      </w:pPr>
      <w:r>
        <w:rPr>
          <w:rFonts w:ascii="Montserrat" w:hAnsi="Montserrat" w:eastAsia="Montserrat"/>
          <w:b/>
          <w:i w:val="0"/>
          <w:color w:val="149F9A"/>
          <w:sz w:val="20"/>
        </w:rPr>
        <w:t xml:space="preserve">•  </w:t>
      </w:r>
      <w:r>
        <w:rPr>
          <w:rFonts w:ascii="Montserrat" w:hAnsi="Montserrat" w:eastAsia="Montserrat"/>
          <w:b w:val="0"/>
          <w:i w:val="0"/>
          <w:color w:val="111111"/>
          <w:sz w:val="20"/>
        </w:rPr>
        <w:t>Archive the old forms and old answer mappings in a restricted nonpublishing archive; do not delete them if CTA needs historical records.</w:t>
      </w:r>
    </w:p>
    <w:p>
      <w:pPr>
        <w:pStyle w:val="CTABullet"/>
        <w:widowControl/>
        <w:spacing w:after="60" w:line="240" w:lineRule="auto"/>
        <w:ind w:left="317" w:hanging="230"/>
      </w:pPr>
      <w:r>
        <w:rPr>
          <w:rFonts w:ascii="Montserrat" w:hAnsi="Montserrat" w:eastAsia="Montserrat"/>
          <w:b/>
          <w:i w:val="0"/>
          <w:color w:val="149F9A"/>
          <w:sz w:val="20"/>
        </w:rPr>
        <w:t xml:space="preserve">•  </w:t>
      </w:r>
      <w:r>
        <w:rPr>
          <w:rFonts w:ascii="Montserrat" w:hAnsi="Montserrat" w:eastAsia="Montserrat"/>
          <w:b w:val="0"/>
          <w:i w:val="0"/>
          <w:color w:val="111111"/>
          <w:sz w:val="20"/>
        </w:rPr>
        <w:t>Import the August 14 final Form A and Form B exactly as sequenced.</w:t>
      </w:r>
    </w:p>
    <w:p>
      <w:pPr>
        <w:pStyle w:val="CTABullet"/>
        <w:widowControl/>
        <w:spacing w:after="60" w:line="240" w:lineRule="auto"/>
        <w:ind w:left="317" w:hanging="230"/>
      </w:pPr>
      <w:r>
        <w:rPr>
          <w:rFonts w:ascii="Montserrat" w:hAnsi="Montserrat" w:eastAsia="Montserrat"/>
          <w:b/>
          <w:i w:val="0"/>
          <w:color w:val="149F9A"/>
          <w:sz w:val="20"/>
        </w:rPr>
        <w:t xml:space="preserve">•  </w:t>
      </w:r>
      <w:r>
        <w:rPr>
          <w:rFonts w:ascii="Montserrat" w:hAnsi="Montserrat" w:eastAsia="Montserrat"/>
          <w:b w:val="0"/>
          <w:i w:val="0"/>
          <w:color w:val="111111"/>
          <w:sz w:val="20"/>
        </w:rPr>
        <w:t>Rebuild the answer-key mapping from the final administrator key, not from any July 2026 key or earlier administrative item bank.</w:t>
      </w:r>
    </w:p>
    <w:p>
      <w:pPr>
        <w:pStyle w:val="CTABullet"/>
        <w:widowControl/>
        <w:spacing w:after="60" w:line="240" w:lineRule="auto"/>
        <w:ind w:left="317" w:hanging="230"/>
      </w:pPr>
      <w:r>
        <w:rPr>
          <w:rFonts w:ascii="Montserrat" w:hAnsi="Montserrat" w:eastAsia="Montserrat"/>
          <w:b/>
          <w:i w:val="0"/>
          <w:color w:val="149F9A"/>
          <w:sz w:val="20"/>
        </w:rPr>
        <w:t xml:space="preserve">•  </w:t>
      </w:r>
      <w:r>
        <w:rPr>
          <w:rFonts w:ascii="Montserrat" w:hAnsi="Montserrat" w:eastAsia="Montserrat"/>
          <w:b w:val="0"/>
          <w:i w:val="0"/>
          <w:color w:val="111111"/>
          <w:sz w:val="20"/>
        </w:rPr>
        <w:t>Keep the existing 12 workbooks and 12 workbook-specific 17-question banks outside this replacement task unless CTA separately supplies corrections.</w:t>
      </w:r>
    </w:p>
    <w:p>
      <w:pPr>
        <w:pStyle w:val="CTABullet"/>
        <w:widowControl/>
        <w:spacing w:after="60" w:line="240" w:lineRule="auto"/>
        <w:ind w:left="317" w:hanging="230"/>
      </w:pPr>
      <w:r>
        <w:rPr>
          <w:rFonts w:ascii="Montserrat" w:hAnsi="Montserrat" w:eastAsia="Montserrat"/>
          <w:b/>
          <w:i w:val="0"/>
          <w:color w:val="149F9A"/>
          <w:sz w:val="20"/>
        </w:rPr>
        <w:t xml:space="preserve">•  </w:t>
      </w:r>
      <w:r>
        <w:rPr>
          <w:rFonts w:ascii="Montserrat" w:hAnsi="Montserrat" w:eastAsia="Montserrat"/>
          <w:b w:val="0"/>
          <w:i w:val="0"/>
          <w:color w:val="111111"/>
          <w:sz w:val="20"/>
        </w:rPr>
        <w:t>Do not rewrite, shorten, reorder, or otherwise alter stems or answer choices. Harmless web wrapping is fine; substantive learner-facing changes must return to CTA for item-level QA.</w:t>
      </w:r>
    </w:p>
    <w:p>
      <w:pPr>
        <w:keepNext/>
        <w:spacing w:before="140" w:after="80"/>
        <w:pageBreakBefore/>
        <w:widowControl/>
        <w:pBdr>
          <w:bottom w:val="single" w:sz="8" w:space="2" w:color="149F9A"/>
        </w:pBdr>
      </w:pPr>
      <w:r>
        <w:rPr>
          <w:rFonts w:ascii="Montserrat" w:hAnsi="Montserrat" w:eastAsia="Montserrat"/>
          <w:b/>
          <w:i w:val="0"/>
          <w:color w:val="102A56"/>
          <w:sz w:val="32"/>
        </w:rPr>
        <w:t>3. LMS Assessment Configuration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768"/>
      </w:tblGrid>
      <w:tr>
        <w:trPr>
          <w:trHeight w:hRule="atLeast"/>
          <w:tblHeader w:val="true"/>
        </w:trPr>
        <w:tc>
          <w:tcPr>
            <w:tcW w:type="dxa" w:w="5184"/>
            <w:shd w:fill="102A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5184"/>
            <w:shd w:fill="102A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9"/>
              </w:rPr>
              <w:t>Approved implementation</w:t>
            </w:r>
          </w:p>
        </w:tc>
      </w:tr>
      <w:tr>
        <w:trPr>
          <w:trHeight w:hRule="atLeast"/>
        </w:trPr>
        <w:tc>
          <w:tcPr>
            <w:tcW w:type="dxa" w:w="3096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/>
                <w:i w:val="0"/>
                <w:color w:val="102A56"/>
                <w:sz w:val="18"/>
              </w:rPr>
              <w:t>Assessment titles</w:t>
            </w:r>
          </w:p>
        </w:tc>
        <w:tc>
          <w:tcPr>
            <w:tcW w:type="dxa" w:w="6768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 w:val="0"/>
                <w:i w:val="0"/>
                <w:color w:val="111111"/>
                <w:sz w:val="18"/>
              </w:rPr>
              <w:t>Comprehensive Simulation - Form A | Comprehensive Simulation - Form B</w:t>
            </w:r>
          </w:p>
        </w:tc>
      </w:tr>
      <w:tr>
        <w:trPr>
          <w:trHeight w:hRule="atLeast"/>
        </w:trPr>
        <w:tc>
          <w:tcPr>
            <w:tcW w:type="dxa" w:w="3096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/>
                <w:i w:val="0"/>
                <w:color w:val="102A56"/>
                <w:sz w:val="18"/>
              </w:rPr>
              <w:t>Question count</w:t>
            </w:r>
          </w:p>
        </w:tc>
        <w:tc>
          <w:tcPr>
            <w:tcW w:type="dxa" w:w="6768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 w:val="0"/>
                <w:i w:val="0"/>
                <w:color w:val="111111"/>
                <w:sz w:val="18"/>
              </w:rPr>
              <w:t>150 on Form A; 150 on Form B.</w:t>
            </w:r>
          </w:p>
        </w:tc>
      </w:tr>
      <w:tr>
        <w:trPr>
          <w:trHeight w:hRule="atLeast"/>
        </w:trPr>
        <w:tc>
          <w:tcPr>
            <w:tcW w:type="dxa" w:w="3096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/>
                <w:i w:val="0"/>
                <w:color w:val="102A56"/>
                <w:sz w:val="18"/>
              </w:rPr>
              <w:t>Answer format</w:t>
            </w:r>
          </w:p>
        </w:tc>
        <w:tc>
          <w:tcPr>
            <w:tcW w:type="dxa" w:w="6768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 w:val="0"/>
                <w:i w:val="0"/>
                <w:color w:val="111111"/>
                <w:sz w:val="18"/>
              </w:rPr>
              <w:t>Exactly four answer choices, A-D, with one controlled best answer.</w:t>
            </w:r>
          </w:p>
        </w:tc>
      </w:tr>
      <w:tr>
        <w:trPr>
          <w:trHeight w:hRule="atLeast"/>
        </w:trPr>
        <w:tc>
          <w:tcPr>
            <w:tcW w:type="dxa" w:w="3096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/>
                <w:i w:val="0"/>
                <w:color w:val="102A56"/>
                <w:sz w:val="18"/>
              </w:rPr>
              <w:t>Time limit</w:t>
            </w:r>
          </w:p>
        </w:tc>
        <w:tc>
          <w:tcPr>
            <w:tcW w:type="dxa" w:w="6768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 w:val="0"/>
                <w:i w:val="0"/>
                <w:color w:val="111111"/>
                <w:sz w:val="18"/>
              </w:rPr>
              <w:t>240 minutes per form.</w:t>
            </w:r>
          </w:p>
        </w:tc>
      </w:tr>
      <w:tr>
        <w:trPr>
          <w:trHeight w:hRule="atLeast"/>
        </w:trPr>
        <w:tc>
          <w:tcPr>
            <w:tcW w:type="dxa" w:w="3096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/>
                <w:i w:val="0"/>
                <w:color w:val="102A56"/>
                <w:sz w:val="18"/>
              </w:rPr>
              <w:t>Question order</w:t>
            </w:r>
          </w:p>
        </w:tc>
        <w:tc>
          <w:tcPr>
            <w:tcW w:type="dxa" w:w="6768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 w:val="0"/>
                <w:i w:val="0"/>
                <w:color w:val="111111"/>
                <w:sz w:val="18"/>
              </w:rPr>
              <w:t>Fixed. Preserve the final sequence; disable question randomization.</w:t>
            </w:r>
          </w:p>
        </w:tc>
      </w:tr>
      <w:tr>
        <w:trPr>
          <w:trHeight w:hRule="atLeast"/>
        </w:trPr>
        <w:tc>
          <w:tcPr>
            <w:tcW w:type="dxa" w:w="3096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/>
                <w:i w:val="0"/>
                <w:color w:val="102A56"/>
                <w:sz w:val="18"/>
              </w:rPr>
              <w:t>Choice order</w:t>
            </w:r>
          </w:p>
        </w:tc>
        <w:tc>
          <w:tcPr>
            <w:tcW w:type="dxa" w:w="6768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 w:val="0"/>
                <w:i w:val="0"/>
                <w:color w:val="111111"/>
                <w:sz w:val="18"/>
              </w:rPr>
              <w:t>Fixed. Preserve A-D option order; disable answer-choice randomization.</w:t>
            </w:r>
          </w:p>
        </w:tc>
      </w:tr>
      <w:tr>
        <w:trPr>
          <w:trHeight w:hRule="atLeast"/>
        </w:trPr>
        <w:tc>
          <w:tcPr>
            <w:tcW w:type="dxa" w:w="3096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/>
                <w:i w:val="0"/>
                <w:color w:val="102A56"/>
                <w:sz w:val="18"/>
              </w:rPr>
              <w:t>Calibration visibility</w:t>
            </w:r>
          </w:p>
        </w:tc>
        <w:tc>
          <w:tcPr>
            <w:tcW w:type="dxa" w:w="6768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 w:val="0"/>
                <w:i w:val="0"/>
                <w:color w:val="111111"/>
                <w:sz w:val="18"/>
              </w:rPr>
              <w:t>Never identify the 25 calibration-style items to the learner.</w:t>
            </w:r>
          </w:p>
        </w:tc>
      </w:tr>
      <w:tr>
        <w:trPr>
          <w:trHeight w:hRule="atLeast"/>
        </w:trPr>
        <w:tc>
          <w:tcPr>
            <w:tcW w:type="dxa" w:w="3096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/>
                <w:i w:val="0"/>
                <w:color w:val="102A56"/>
                <w:sz w:val="18"/>
              </w:rPr>
              <w:t>Pre-submit answers</w:t>
            </w:r>
          </w:p>
        </w:tc>
        <w:tc>
          <w:tcPr>
            <w:tcW w:type="dxa" w:w="6768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 w:val="0"/>
                <w:i w:val="0"/>
                <w:color w:val="111111"/>
                <w:sz w:val="18"/>
              </w:rPr>
              <w:t>Do not reveal correctness, keys, or rationales before final submission.</w:t>
            </w:r>
          </w:p>
        </w:tc>
      </w:tr>
      <w:tr>
        <w:trPr>
          <w:trHeight w:hRule="atLeast"/>
        </w:trPr>
        <w:tc>
          <w:tcPr>
            <w:tcW w:type="dxa" w:w="3096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/>
                <w:i w:val="0"/>
                <w:color w:val="102A56"/>
                <w:sz w:val="18"/>
              </w:rPr>
              <w:t>Post-submit review</w:t>
            </w:r>
          </w:p>
        </w:tc>
        <w:tc>
          <w:tcPr>
            <w:tcW w:type="dxa" w:w="6768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 w:val="0"/>
                <w:i w:val="0"/>
                <w:color w:val="111111"/>
                <w:sz w:val="18"/>
              </w:rPr>
              <w:t>Release the controlled answer and detailed rationales only after the learner submits that form.</w:t>
            </w:r>
          </w:p>
        </w:tc>
      </w:tr>
      <w:tr>
        <w:trPr>
          <w:trHeight w:hRule="atLeast"/>
        </w:trPr>
        <w:tc>
          <w:tcPr>
            <w:tcW w:type="dxa" w:w="3096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/>
                <w:i w:val="0"/>
                <w:color w:val="102A56"/>
                <w:sz w:val="18"/>
              </w:rPr>
              <w:t>CE workflow</w:t>
            </w:r>
          </w:p>
        </w:tc>
        <w:tc>
          <w:tcPr>
            <w:tcW w:type="dxa" w:w="6768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 w:val="0"/>
                <w:i w:val="0"/>
                <w:color w:val="111111"/>
                <w:sz w:val="18"/>
              </w:rPr>
              <w:t>None. Do not connect these simulations to CE evaluation, attestation, CE hours, or CE certificate logic.</w:t>
            </w:r>
          </w:p>
        </w:tc>
      </w:tr>
    </w:tbl>
    <w:p>
      <w:pPr>
        <w:widowControl/>
        <w:spacing w:after="20"/>
      </w:pPr>
    </w:p>
    <w:p>
      <w:pPr>
        <w:keepNext/>
        <w:spacing w:before="140" w:after="80"/>
        <w:widowControl/>
        <w:pBdr>
          <w:bottom w:val="single" w:sz="8" w:space="2" w:color="149F9A"/>
        </w:pBdr>
      </w:pPr>
      <w:r>
        <w:rPr>
          <w:rFonts w:ascii="Montserrat" w:hAnsi="Montserrat" w:eastAsia="Montserrat"/>
          <w:b/>
          <w:i w:val="0"/>
          <w:color w:val="102A56"/>
          <w:sz w:val="32"/>
        </w:rPr>
        <w:t>4. Scoring Configuration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trHeight w:hRule="atLeast"/>
        </w:trPr>
        <w:tc>
          <w:tcPr>
            <w:tcW w:type="dxa" w:w="10368"/>
            <w:shd w:fill="E8F6F5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left w:val="single" w:sz="18" w:color="149F9A"/>
              <w:bottom w:val="nil"/>
              <w:right w:val="nil"/>
            </w:tcBorders>
          </w:tcPr>
          <w:p>
            <w:pPr>
              <w:widowControl/>
              <w:spacing w:after="40"/>
            </w:pPr>
            <w:r>
              <w:rPr>
                <w:rFonts w:ascii="Montserrat" w:hAnsi="Montserrat" w:eastAsia="Montserrat"/>
                <w:b/>
                <w:i w:val="0"/>
                <w:color w:val="102A56"/>
                <w:sz w:val="20"/>
              </w:rPr>
              <w:t>CTA PRACTICE SCORE</w:t>
            </w:r>
          </w:p>
          <w:p>
            <w:pPr>
              <w:widowControl/>
              <w:spacing w:after="0" w:line="245" w:lineRule="auto"/>
            </w:pPr>
            <w:r>
              <w:rPr>
                <w:rFonts w:ascii="Montserrat" w:hAnsi="Montserrat" w:eastAsia="Montserrat"/>
                <w:b w:val="0"/>
                <w:i w:val="0"/>
                <w:color w:val="111111"/>
                <w:sz w:val="20"/>
              </w:rPr>
              <w:t>DISPLAYED CTA SCORE = number correct on the 125 core/scored-style items ÷ 125 × 100. The 25 calibration-style items are completed by the learner but excluded from the CTA scored-style percentage.</w:t>
            </w:r>
          </w:p>
        </w:tc>
      </w:tr>
    </w:tbl>
    <w:p>
      <w:pPr>
        <w:widowControl/>
        <w:spacing w:after="20"/>
      </w:pPr>
    </w:p>
    <w:p>
      <w:pPr>
        <w:pStyle w:val="CTABullet"/>
        <w:widowControl/>
        <w:spacing w:after="60" w:line="240" w:lineRule="auto"/>
        <w:ind w:left="317" w:hanging="230"/>
      </w:pPr>
      <w:r>
        <w:rPr>
          <w:rFonts w:ascii="Montserrat" w:hAnsi="Montserrat" w:eastAsia="Montserrat"/>
          <w:b/>
          <w:i w:val="0"/>
          <w:color w:val="149F9A"/>
          <w:sz w:val="20"/>
        </w:rPr>
        <w:t xml:space="preserve">•  </w:t>
      </w:r>
      <w:r>
        <w:rPr>
          <w:rFonts w:ascii="Montserrat" w:hAnsi="Montserrat" w:eastAsia="Montserrat"/>
          <w:b w:val="0"/>
          <w:i w:val="0"/>
          <w:color w:val="111111"/>
          <w:sz w:val="20"/>
        </w:rPr>
        <w:t>All 150 questions remain required/answerable for realistic simulation practice.</w:t>
      </w:r>
    </w:p>
    <w:p>
      <w:pPr>
        <w:pStyle w:val="CTABullet"/>
        <w:widowControl/>
        <w:spacing w:after="60" w:line="240" w:lineRule="auto"/>
        <w:ind w:left="317" w:hanging="230"/>
      </w:pPr>
      <w:r>
        <w:rPr>
          <w:rFonts w:ascii="Montserrat" w:hAnsi="Montserrat" w:eastAsia="Montserrat"/>
          <w:b/>
          <w:i w:val="0"/>
          <w:color w:val="149F9A"/>
          <w:sz w:val="20"/>
        </w:rPr>
        <w:t xml:space="preserve">•  </w:t>
      </w:r>
      <w:r>
        <w:rPr>
          <w:rFonts w:ascii="Montserrat" w:hAnsi="Montserrat" w:eastAsia="Montserrat"/>
          <w:b w:val="0"/>
          <w:i w:val="0"/>
          <w:color w:val="111111"/>
          <w:sz w:val="20"/>
        </w:rPr>
        <w:t>The learner must not be told which 25 items are calibration-style.</w:t>
      </w:r>
    </w:p>
    <w:p>
      <w:pPr>
        <w:pStyle w:val="CTABullet"/>
        <w:widowControl/>
        <w:spacing w:after="60" w:line="240" w:lineRule="auto"/>
        <w:ind w:left="317" w:hanging="230"/>
      </w:pPr>
      <w:r>
        <w:rPr>
          <w:rFonts w:ascii="Montserrat" w:hAnsi="Montserrat" w:eastAsia="Montserrat"/>
          <w:b/>
          <w:i w:val="0"/>
          <w:color w:val="149F9A"/>
          <w:sz w:val="20"/>
        </w:rPr>
        <w:t xml:space="preserve">•  </w:t>
      </w:r>
      <w:r>
        <w:rPr>
          <w:rFonts w:ascii="Montserrat" w:hAnsi="Montserrat" w:eastAsia="Montserrat"/>
          <w:b w:val="0"/>
          <w:i w:val="0"/>
          <w:color w:val="111111"/>
          <w:sz w:val="20"/>
        </w:rPr>
        <w:t>Calibration-style responses may receive instructional feedback after submission, but they must not change the displayed CTA scored-style percentage.</w:t>
      </w:r>
    </w:p>
    <w:p>
      <w:pPr>
        <w:pStyle w:val="CTABullet"/>
        <w:widowControl/>
        <w:spacing w:after="60" w:line="240" w:lineRule="auto"/>
        <w:ind w:left="317" w:hanging="230"/>
      </w:pPr>
      <w:r>
        <w:rPr>
          <w:rFonts w:ascii="Montserrat" w:hAnsi="Montserrat" w:eastAsia="Montserrat"/>
          <w:b/>
          <w:i w:val="0"/>
          <w:color w:val="149F9A"/>
          <w:sz w:val="20"/>
        </w:rPr>
        <w:t xml:space="preserve">•  </w:t>
      </w:r>
      <w:r>
        <w:rPr>
          <w:rFonts w:ascii="Montserrat" w:hAnsi="Montserrat" w:eastAsia="Montserrat"/>
          <w:b w:val="0"/>
          <w:i w:val="0"/>
          <w:color w:val="111111"/>
          <w:sz w:val="20"/>
        </w:rPr>
        <w:t>Do not convert the CTA percentage into an “official” BBS/Pearson score or guarantee of passing.</w:t>
      </w:r>
    </w:p>
    <w:p>
      <w:pPr>
        <w:pStyle w:val="CTABullet"/>
        <w:widowControl/>
        <w:spacing w:after="60" w:line="240" w:lineRule="auto"/>
        <w:ind w:left="317" w:hanging="230"/>
      </w:pPr>
      <w:r>
        <w:rPr>
          <w:rFonts w:ascii="Montserrat" w:hAnsi="Montserrat" w:eastAsia="Montserrat"/>
          <w:b/>
          <w:i w:val="0"/>
          <w:color w:val="149F9A"/>
          <w:sz w:val="20"/>
        </w:rPr>
        <w:t xml:space="preserve">•  </w:t>
      </w:r>
      <w:r>
        <w:rPr>
          <w:rFonts w:ascii="Montserrat" w:hAnsi="Montserrat" w:eastAsia="Montserrat"/>
          <w:b w:val="0"/>
          <w:i w:val="0"/>
          <w:color w:val="111111"/>
          <w:sz w:val="20"/>
        </w:rPr>
        <w:t>If the LMS currently calculates all 150 items automatically, configure a custom scored subset or equivalent hidden weighting so only the 125 core items determine the displayed practice percentage.</w:t>
      </w:r>
    </w:p>
    <w:p>
      <w:pPr>
        <w:keepNext/>
        <w:spacing w:before="140" w:after="80"/>
        <w:pageBreakBefore/>
        <w:widowControl/>
        <w:pBdr>
          <w:bottom w:val="single" w:sz="8" w:space="2" w:color="149F9A"/>
        </w:pBdr>
      </w:pPr>
      <w:r>
        <w:rPr>
          <w:rFonts w:ascii="Montserrat" w:hAnsi="Montserrat" w:eastAsia="Montserrat"/>
          <w:b/>
          <w:i w:val="0"/>
          <w:color w:val="102A56"/>
          <w:sz w:val="32"/>
        </w:rPr>
        <w:t>5. Form Release Sequence</w:t>
      </w:r>
    </w:p>
    <w:p>
      <w:pPr>
        <w:widowControl/>
        <w:spacing w:after="60"/>
        <w:ind w:left="317"/>
      </w:pPr>
      <w:r>
        <w:rPr>
          <w:rFonts w:ascii="Montserrat" w:hAnsi="Montserrat" w:eastAsia="Montserrat"/>
          <w:b/>
          <w:i w:val="0"/>
          <w:color w:val="149F9A"/>
          <w:sz w:val="20"/>
        </w:rPr>
        <w:t xml:space="preserve">1.  </w:t>
      </w:r>
      <w:r>
        <w:rPr>
          <w:rFonts w:ascii="Montserrat" w:hAnsi="Montserrat" w:eastAsia="Montserrat"/>
          <w:b w:val="0"/>
          <w:i w:val="0"/>
          <w:color w:val="111111"/>
          <w:sz w:val="20"/>
        </w:rPr>
        <w:t>Learner completes the core LMFT curriculum and workbook practice sequence.</w:t>
      </w:r>
    </w:p>
    <w:p>
      <w:pPr>
        <w:widowControl/>
        <w:spacing w:after="60"/>
        <w:ind w:left="317"/>
      </w:pPr>
      <w:r>
        <w:rPr>
          <w:rFonts w:ascii="Montserrat" w:hAnsi="Montserrat" w:eastAsia="Montserrat"/>
          <w:b/>
          <w:i w:val="0"/>
          <w:color w:val="149F9A"/>
          <w:sz w:val="20"/>
        </w:rPr>
        <w:t xml:space="preserve">2.  </w:t>
      </w:r>
      <w:r>
        <w:rPr>
          <w:rFonts w:ascii="Montserrat" w:hAnsi="Montserrat" w:eastAsia="Montserrat"/>
          <w:b w:val="0"/>
          <w:i w:val="0"/>
          <w:color w:val="111111"/>
          <w:sz w:val="20"/>
        </w:rPr>
        <w:t>Form A becomes available as a timed, closed-book full simulation.</w:t>
      </w:r>
    </w:p>
    <w:p>
      <w:pPr>
        <w:widowControl/>
        <w:spacing w:after="60"/>
        <w:ind w:left="317"/>
      </w:pPr>
      <w:r>
        <w:rPr>
          <w:rFonts w:ascii="Montserrat" w:hAnsi="Montserrat" w:eastAsia="Montserrat"/>
          <w:b/>
          <w:i w:val="0"/>
          <w:color w:val="149F9A"/>
          <w:sz w:val="20"/>
        </w:rPr>
        <w:t xml:space="preserve">3.  </w:t>
      </w:r>
      <w:r>
        <w:rPr>
          <w:rFonts w:ascii="Montserrat" w:hAnsi="Montserrat" w:eastAsia="Montserrat"/>
          <w:b w:val="0"/>
          <w:i w:val="0"/>
          <w:color w:val="111111"/>
          <w:sz w:val="20"/>
        </w:rPr>
        <w:t>After Form A submission, the learner may review the controlled key/rationales and complete targeted remediation.</w:t>
      </w:r>
    </w:p>
    <w:p>
      <w:pPr>
        <w:widowControl/>
        <w:spacing w:after="60"/>
        <w:ind w:left="317"/>
      </w:pPr>
      <w:r>
        <w:rPr>
          <w:rFonts w:ascii="Montserrat" w:hAnsi="Montserrat" w:eastAsia="Montserrat"/>
          <w:b/>
          <w:i w:val="0"/>
          <w:color w:val="149F9A"/>
          <w:sz w:val="20"/>
        </w:rPr>
        <w:t xml:space="preserve">4.  </w:t>
      </w:r>
      <w:r>
        <w:rPr>
          <w:rFonts w:ascii="Montserrat" w:hAnsi="Montserrat" w:eastAsia="Montserrat"/>
          <w:b w:val="0"/>
          <w:i w:val="0"/>
          <w:color w:val="111111"/>
          <w:sz w:val="20"/>
        </w:rPr>
        <w:t>Form B becomes available after the Form A/remediation stage and serves as the later readiness simulation.</w:t>
      </w:r>
    </w:p>
    <w:p>
      <w:pPr>
        <w:widowControl/>
        <w:spacing w:after="60"/>
        <w:ind w:left="317"/>
      </w:pPr>
      <w:r>
        <w:rPr>
          <w:rFonts w:ascii="Montserrat" w:hAnsi="Montserrat" w:eastAsia="Montserrat"/>
          <w:b/>
          <w:i w:val="0"/>
          <w:color w:val="149F9A"/>
          <w:sz w:val="20"/>
        </w:rPr>
        <w:t xml:space="preserve">5.  </w:t>
      </w:r>
      <w:r>
        <w:rPr>
          <w:rFonts w:ascii="Montserrat" w:hAnsi="Montserrat" w:eastAsia="Montserrat"/>
          <w:b w:val="0"/>
          <w:i w:val="0"/>
          <w:color w:val="111111"/>
          <w:sz w:val="20"/>
        </w:rPr>
        <w:t>After Form B submission, the learner may review the controlled key/rationales for Form B.</w:t>
      </w:r>
    </w:p>
    <w:p>
      <w:pPr>
        <w:keepNext/>
        <w:spacing w:before="140" w:after="80"/>
        <w:widowControl/>
        <w:pBdr>
          <w:bottom w:val="single" w:sz="8" w:space="2" w:color="149F9A"/>
        </w:pBdr>
      </w:pPr>
      <w:r>
        <w:rPr>
          <w:rFonts w:ascii="Montserrat" w:hAnsi="Montserrat" w:eastAsia="Montserrat"/>
          <w:b/>
          <w:i w:val="0"/>
          <w:color w:val="102A56"/>
          <w:sz w:val="32"/>
        </w:rPr>
        <w:t>6. Learner Visibility and Security Controls</w:t>
      </w:r>
    </w:p>
    <w:p>
      <w:pPr>
        <w:widowControl/>
        <w:spacing w:after="100" w:line="252" w:lineRule="auto"/>
      </w:pPr>
      <w:r>
        <w:rPr>
          <w:rFonts w:ascii="Montserrat" w:hAnsi="Montserrat" w:eastAsia="Montserrat"/>
          <w:b w:val="0"/>
          <w:i w:val="0"/>
          <w:color w:val="111111"/>
          <w:sz w:val="20"/>
        </w:rPr>
        <w:t>The learner should see the simulation content and the appropriate post-submission feedback. Internal production metadata must remain restricted.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768"/>
      </w:tblGrid>
      <w:tr>
        <w:trPr>
          <w:trHeight w:hRule="atLeast"/>
          <w:tblHeader w:val="true"/>
        </w:trPr>
        <w:tc>
          <w:tcPr>
            <w:tcW w:type="dxa" w:w="5184"/>
            <w:shd w:fill="102A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5184"/>
            <w:shd w:fill="102A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9"/>
              </w:rPr>
              <w:t>Approved implementation</w:t>
            </w:r>
          </w:p>
        </w:tc>
      </w:tr>
      <w:tr>
        <w:trPr>
          <w:trHeight w:hRule="atLeast"/>
        </w:trPr>
        <w:tc>
          <w:tcPr>
            <w:tcW w:type="dxa" w:w="3096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/>
                <w:i w:val="0"/>
                <w:color w:val="102A56"/>
                <w:sz w:val="18"/>
              </w:rPr>
              <w:t>Learner may see</w:t>
            </w:r>
          </w:p>
        </w:tc>
        <w:tc>
          <w:tcPr>
            <w:tcW w:type="dxa" w:w="6768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 w:val="0"/>
                <w:i w:val="0"/>
                <w:color w:val="111111"/>
                <w:sz w:val="18"/>
              </w:rPr>
              <w:t>Form title; instructions; 150 stems; A-D choices; timer; navigation; submission confirmation; permitted post-submit answer/rationale review.</w:t>
            </w:r>
          </w:p>
        </w:tc>
      </w:tr>
      <w:tr>
        <w:trPr>
          <w:trHeight w:hRule="atLeast"/>
        </w:trPr>
        <w:tc>
          <w:tcPr>
            <w:tcW w:type="dxa" w:w="3096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/>
                <w:i w:val="0"/>
                <w:color w:val="102A56"/>
                <w:sz w:val="18"/>
              </w:rPr>
              <w:t>Learner must NOT see</w:t>
            </w:r>
          </w:p>
        </w:tc>
        <w:tc>
          <w:tcPr>
            <w:tcW w:type="dxa" w:w="6768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 w:val="0"/>
                <w:i w:val="0"/>
                <w:color w:val="111111"/>
                <w:sz w:val="18"/>
              </w:rPr>
              <w:t>Internal item IDs; T/K blueprint metadata; “core,” “scored-style,” “calibration,” or “pretest” labels; source-status/provenance fields; psychometric QA; second-key records; source paths; development notes.</w:t>
            </w:r>
          </w:p>
        </w:tc>
      </w:tr>
      <w:tr>
        <w:trPr>
          <w:trHeight w:hRule="atLeast"/>
        </w:trPr>
        <w:tc>
          <w:tcPr>
            <w:tcW w:type="dxa" w:w="3096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/>
                <w:i w:val="0"/>
                <w:color w:val="102A56"/>
                <w:sz w:val="18"/>
              </w:rPr>
              <w:t>Restricted admin only</w:t>
            </w:r>
          </w:p>
        </w:tc>
        <w:tc>
          <w:tcPr>
            <w:tcW w:type="dxa" w:w="6768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 w:val="0"/>
                <w:i w:val="0"/>
                <w:color w:val="111111"/>
                <w:sz w:val="18"/>
              </w:rPr>
              <w:t>Final administrator key/rationales; source-control records; reconstruction register; Stage 9B/9C audits; production standards; archived/unused items.</w:t>
            </w:r>
          </w:p>
        </w:tc>
      </w:tr>
    </w:tbl>
    <w:p>
      <w:pPr>
        <w:widowControl/>
        <w:spacing w:after="20"/>
      </w:pPr>
    </w:p>
    <w:p>
      <w:pPr>
        <w:keepNext/>
        <w:spacing w:before="140" w:after="80"/>
        <w:widowControl/>
        <w:pBdr>
          <w:bottom w:val="single" w:sz="8" w:space="2" w:color="149F9A"/>
        </w:pBdr>
      </w:pPr>
      <w:r>
        <w:rPr>
          <w:rFonts w:ascii="Montserrat" w:hAnsi="Montserrat" w:eastAsia="Montserrat"/>
          <w:b/>
          <w:i w:val="0"/>
          <w:color w:val="102A56"/>
          <w:sz w:val="32"/>
        </w:rPr>
        <w:t>7. Public Page Controls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rPr>
          <w:trHeight w:hRule="atLeast"/>
        </w:trPr>
        <w:tc>
          <w:tcPr>
            <w:tcW w:type="dxa" w:w="10368"/>
            <w:shd w:fill="EEF3F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left w:val="single" w:sz="18" w:color="102A56"/>
              <w:bottom w:val="nil"/>
              <w:right w:val="nil"/>
            </w:tcBorders>
          </w:tcPr>
          <w:p>
            <w:pPr>
              <w:widowControl/>
              <w:spacing w:after="40"/>
            </w:pPr>
            <w:r>
              <w:rPr>
                <w:rFonts w:ascii="Montserrat" w:hAnsi="Montserrat" w:eastAsia="Montserrat"/>
                <w:b/>
                <w:i w:val="0"/>
                <w:color w:val="102A56"/>
                <w:sz w:val="20"/>
              </w:rPr>
              <w:t>PUBLIC CONTROLS UNCHANGED</w:t>
            </w:r>
          </w:p>
          <w:p>
            <w:pPr>
              <w:widowControl/>
              <w:spacing w:after="0" w:line="245" w:lineRule="auto"/>
            </w:pPr>
            <w:r>
              <w:rPr>
                <w:rFonts w:ascii="Montserrat" w:hAnsi="Montserrat" w:eastAsia="Montserrat"/>
                <w:b w:val="0"/>
                <w:i w:val="0"/>
                <w:color w:val="111111"/>
                <w:sz w:val="20"/>
              </w:rPr>
              <w:t>Keep the approved public title, $249 launch price, six-month access, Exam Preparation Only / No CE Credit classification, independent-resource disclaimer, and no-guarantee language. Public materials may state that two separate 150-question simulations are included.</w:t>
            </w:r>
          </w:p>
        </w:tc>
      </w:tr>
    </w:tbl>
    <w:p>
      <w:pPr>
        <w:widowControl/>
        <w:spacing w:after="20"/>
      </w:pPr>
    </w:p>
    <w:p>
      <w:pPr>
        <w:keepNext/>
        <w:spacing w:before="140" w:after="80"/>
        <w:pageBreakBefore/>
        <w:widowControl/>
        <w:pBdr>
          <w:bottom w:val="single" w:sz="8" w:space="2" w:color="149F9A"/>
        </w:pBdr>
      </w:pPr>
      <w:r>
        <w:rPr>
          <w:rFonts w:ascii="Montserrat" w:hAnsi="Montserrat" w:eastAsia="Montserrat"/>
          <w:b/>
          <w:i w:val="0"/>
          <w:color w:val="102A56"/>
          <w:sz w:val="32"/>
        </w:rPr>
        <w:t>8. Mandatory Implementation Acceptance Test</w:t>
      </w:r>
    </w:p>
    <w:p>
      <w:pPr>
        <w:widowControl/>
        <w:spacing w:after="100" w:line="252" w:lineRule="auto"/>
      </w:pPr>
      <w:r>
        <w:rPr>
          <w:rFonts w:ascii="Montserrat" w:hAnsi="Montserrat" w:eastAsia="Montserrat"/>
          <w:b w:val="0"/>
          <w:i w:val="0"/>
          <w:color w:val="111111"/>
          <w:sz w:val="20"/>
        </w:rPr>
        <w:t>Do not mark this website item verified merely because the files were uploaded. CTA should verify the learner-facing behavior after David reports implementation complete.</w:t>
      </w:r>
    </w:p>
    <w:p>
      <w:pPr>
        <w:pStyle w:val="CTACheck"/>
        <w:widowControl/>
        <w:spacing w:after="40" w:line="228" w:lineRule="auto"/>
        <w:ind w:left="374" w:hanging="288"/>
      </w:pPr>
      <w:r>
        <w:rPr>
          <w:rFonts w:ascii="Montserrat" w:hAnsi="Montserrat" w:eastAsia="Montserrat"/>
          <w:b w:val="0"/>
          <w:i w:val="0"/>
          <w:color w:val="102A56"/>
          <w:sz w:val="19"/>
        </w:rPr>
        <w:t xml:space="preserve">☐  </w:t>
      </w:r>
      <w:r>
        <w:rPr>
          <w:rFonts w:ascii="Montserrat" w:hAnsi="Montserrat" w:eastAsia="Montserrat"/>
          <w:b w:val="0"/>
          <w:i w:val="0"/>
          <w:color w:val="111111"/>
          <w:sz w:val="18"/>
        </w:rPr>
        <w:t>Form A displays exactly 150 questions.</w:t>
      </w:r>
    </w:p>
    <w:p>
      <w:pPr>
        <w:pStyle w:val="CTACheck"/>
        <w:widowControl/>
        <w:spacing w:after="40" w:line="228" w:lineRule="auto"/>
        <w:ind w:left="374" w:hanging="288"/>
      </w:pPr>
      <w:r>
        <w:rPr>
          <w:rFonts w:ascii="Montserrat" w:hAnsi="Montserrat" w:eastAsia="Montserrat"/>
          <w:b w:val="0"/>
          <w:i w:val="0"/>
          <w:color w:val="102A56"/>
          <w:sz w:val="19"/>
        </w:rPr>
        <w:t xml:space="preserve">☐  </w:t>
      </w:r>
      <w:r>
        <w:rPr>
          <w:rFonts w:ascii="Montserrat" w:hAnsi="Montserrat" w:eastAsia="Montserrat"/>
          <w:b w:val="0"/>
          <w:i w:val="0"/>
          <w:color w:val="111111"/>
          <w:sz w:val="18"/>
        </w:rPr>
        <w:t>Form B displays exactly 150 questions.</w:t>
      </w:r>
    </w:p>
    <w:p>
      <w:pPr>
        <w:pStyle w:val="CTACheck"/>
        <w:widowControl/>
        <w:spacing w:after="40" w:line="228" w:lineRule="auto"/>
        <w:ind w:left="374" w:hanging="288"/>
      </w:pPr>
      <w:r>
        <w:rPr>
          <w:rFonts w:ascii="Montserrat" w:hAnsi="Montserrat" w:eastAsia="Montserrat"/>
          <w:b w:val="0"/>
          <w:i w:val="0"/>
          <w:color w:val="102A56"/>
          <w:sz w:val="19"/>
        </w:rPr>
        <w:t xml:space="preserve">☐  </w:t>
      </w:r>
      <w:r>
        <w:rPr>
          <w:rFonts w:ascii="Montserrat" w:hAnsi="Montserrat" w:eastAsia="Montserrat"/>
          <w:b w:val="0"/>
          <w:i w:val="0"/>
          <w:color w:val="111111"/>
          <w:sz w:val="18"/>
        </w:rPr>
        <w:t>Every question displays exactly four options in the final A-D order.</w:t>
      </w:r>
    </w:p>
    <w:p>
      <w:pPr>
        <w:pStyle w:val="CTACheck"/>
        <w:widowControl/>
        <w:spacing w:after="40" w:line="228" w:lineRule="auto"/>
        <w:ind w:left="374" w:hanging="288"/>
      </w:pPr>
      <w:r>
        <w:rPr>
          <w:rFonts w:ascii="Montserrat" w:hAnsi="Montserrat" w:eastAsia="Montserrat"/>
          <w:b w:val="0"/>
          <w:i w:val="0"/>
          <w:color w:val="102A56"/>
          <w:sz w:val="19"/>
        </w:rPr>
        <w:t xml:space="preserve">☐  </w:t>
      </w:r>
      <w:r>
        <w:rPr>
          <w:rFonts w:ascii="Montserrat" w:hAnsi="Montserrat" w:eastAsia="Montserrat"/>
          <w:b w:val="0"/>
          <w:i w:val="0"/>
          <w:color w:val="111111"/>
          <w:sz w:val="18"/>
        </w:rPr>
        <w:t>Question sequence matches the final learner source files; question randomization is off.</w:t>
      </w:r>
    </w:p>
    <w:p>
      <w:pPr>
        <w:pStyle w:val="CTACheck"/>
        <w:widowControl/>
        <w:spacing w:after="40" w:line="228" w:lineRule="auto"/>
        <w:ind w:left="374" w:hanging="288"/>
      </w:pPr>
      <w:r>
        <w:rPr>
          <w:rFonts w:ascii="Montserrat" w:hAnsi="Montserrat" w:eastAsia="Montserrat"/>
          <w:b w:val="0"/>
          <w:i w:val="0"/>
          <w:color w:val="102A56"/>
          <w:sz w:val="19"/>
        </w:rPr>
        <w:t xml:space="preserve">☐  </w:t>
      </w:r>
      <w:r>
        <w:rPr>
          <w:rFonts w:ascii="Montserrat" w:hAnsi="Montserrat" w:eastAsia="Montserrat"/>
          <w:b w:val="0"/>
          <w:i w:val="0"/>
          <w:color w:val="111111"/>
          <w:sz w:val="18"/>
        </w:rPr>
        <w:t>Answer-choice randomization is off.</w:t>
      </w:r>
    </w:p>
    <w:p>
      <w:pPr>
        <w:pStyle w:val="CTACheck"/>
        <w:widowControl/>
        <w:spacing w:after="40" w:line="228" w:lineRule="auto"/>
        <w:ind w:left="374" w:hanging="288"/>
      </w:pPr>
      <w:r>
        <w:rPr>
          <w:rFonts w:ascii="Montserrat" w:hAnsi="Montserrat" w:eastAsia="Montserrat"/>
          <w:b w:val="0"/>
          <w:i w:val="0"/>
          <w:color w:val="102A56"/>
          <w:sz w:val="19"/>
        </w:rPr>
        <w:t xml:space="preserve">☐  </w:t>
      </w:r>
      <w:r>
        <w:rPr>
          <w:rFonts w:ascii="Montserrat" w:hAnsi="Montserrat" w:eastAsia="Montserrat"/>
          <w:b w:val="0"/>
          <w:i w:val="0"/>
          <w:color w:val="111111"/>
          <w:sz w:val="18"/>
        </w:rPr>
        <w:t>All 300 LMS answer mappings match the final administrator key (150/150 per form).</w:t>
      </w:r>
    </w:p>
    <w:p>
      <w:pPr>
        <w:pStyle w:val="CTACheck"/>
        <w:widowControl/>
        <w:spacing w:after="40" w:line="228" w:lineRule="auto"/>
        <w:ind w:left="374" w:hanging="288"/>
      </w:pPr>
      <w:r>
        <w:rPr>
          <w:rFonts w:ascii="Montserrat" w:hAnsi="Montserrat" w:eastAsia="Montserrat"/>
          <w:b w:val="0"/>
          <w:i w:val="0"/>
          <w:color w:val="102A56"/>
          <w:sz w:val="19"/>
        </w:rPr>
        <w:t xml:space="preserve">☐  </w:t>
      </w:r>
      <w:r>
        <w:rPr>
          <w:rFonts w:ascii="Montserrat" w:hAnsi="Montserrat" w:eastAsia="Montserrat"/>
          <w:b w:val="0"/>
          <w:i w:val="0"/>
          <w:color w:val="111111"/>
          <w:sz w:val="18"/>
        </w:rPr>
        <w:t>The timer is 240 minutes on each form.</w:t>
      </w:r>
    </w:p>
    <w:p>
      <w:pPr>
        <w:pStyle w:val="CTACheck"/>
        <w:widowControl/>
        <w:spacing w:after="40" w:line="228" w:lineRule="auto"/>
        <w:ind w:left="374" w:hanging="288"/>
      </w:pPr>
      <w:r>
        <w:rPr>
          <w:rFonts w:ascii="Montserrat" w:hAnsi="Montserrat" w:eastAsia="Montserrat"/>
          <w:b w:val="0"/>
          <w:i w:val="0"/>
          <w:color w:val="102A56"/>
          <w:sz w:val="19"/>
        </w:rPr>
        <w:t xml:space="preserve">☐  </w:t>
      </w:r>
      <w:r>
        <w:rPr>
          <w:rFonts w:ascii="Montserrat" w:hAnsi="Montserrat" w:eastAsia="Montserrat"/>
          <w:b w:val="0"/>
          <w:i w:val="0"/>
          <w:color w:val="111111"/>
          <w:sz w:val="18"/>
        </w:rPr>
        <w:t>The 25 calibration-style items on each form are present but unlabeled.</w:t>
      </w:r>
    </w:p>
    <w:p>
      <w:pPr>
        <w:pStyle w:val="CTACheck"/>
        <w:widowControl/>
        <w:spacing w:after="40" w:line="228" w:lineRule="auto"/>
        <w:ind w:left="374" w:hanging="288"/>
      </w:pPr>
      <w:r>
        <w:rPr>
          <w:rFonts w:ascii="Montserrat" w:hAnsi="Montserrat" w:eastAsia="Montserrat"/>
          <w:b w:val="0"/>
          <w:i w:val="0"/>
          <w:color w:val="102A56"/>
          <w:sz w:val="19"/>
        </w:rPr>
        <w:t xml:space="preserve">☐  </w:t>
      </w:r>
      <w:r>
        <w:rPr>
          <w:rFonts w:ascii="Montserrat" w:hAnsi="Montserrat" w:eastAsia="Montserrat"/>
          <w:b w:val="0"/>
          <w:i w:val="0"/>
          <w:color w:val="111111"/>
          <w:sz w:val="18"/>
        </w:rPr>
        <w:t>The displayed CTA score uses only the 125 core/scored-style items as the denominator.</w:t>
      </w:r>
    </w:p>
    <w:p>
      <w:pPr>
        <w:pStyle w:val="CTACheck"/>
        <w:widowControl/>
        <w:spacing w:after="40" w:line="228" w:lineRule="auto"/>
        <w:ind w:left="374" w:hanging="288"/>
      </w:pPr>
      <w:r>
        <w:rPr>
          <w:rFonts w:ascii="Montserrat" w:hAnsi="Montserrat" w:eastAsia="Montserrat"/>
          <w:b w:val="0"/>
          <w:i w:val="0"/>
          <w:color w:val="102A56"/>
          <w:sz w:val="19"/>
        </w:rPr>
        <w:t xml:space="preserve">☐  </w:t>
      </w:r>
      <w:r>
        <w:rPr>
          <w:rFonts w:ascii="Montserrat" w:hAnsi="Montserrat" w:eastAsia="Montserrat"/>
          <w:b w:val="0"/>
          <w:i w:val="0"/>
          <w:color w:val="111111"/>
          <w:sz w:val="18"/>
        </w:rPr>
        <w:t>A controlled test confirms that changing only calibration-style responses does not change the displayed scored-style percentage.</w:t>
      </w:r>
    </w:p>
    <w:p>
      <w:pPr>
        <w:pStyle w:val="CTACheck"/>
        <w:widowControl/>
        <w:spacing w:after="40" w:line="228" w:lineRule="auto"/>
        <w:ind w:left="374" w:hanging="288"/>
      </w:pPr>
      <w:r>
        <w:rPr>
          <w:rFonts w:ascii="Montserrat" w:hAnsi="Montserrat" w:eastAsia="Montserrat"/>
          <w:b w:val="0"/>
          <w:i w:val="0"/>
          <w:color w:val="102A56"/>
          <w:sz w:val="19"/>
        </w:rPr>
        <w:t xml:space="preserve">☐  </w:t>
      </w:r>
      <w:r>
        <w:rPr>
          <w:rFonts w:ascii="Montserrat" w:hAnsi="Montserrat" w:eastAsia="Montserrat"/>
          <w:b w:val="0"/>
          <w:i w:val="0"/>
          <w:color w:val="111111"/>
          <w:sz w:val="18"/>
        </w:rPr>
        <w:t>No correctness, key, or rationale is visible before final submission.</w:t>
      </w:r>
    </w:p>
    <w:p>
      <w:pPr>
        <w:pStyle w:val="CTACheck"/>
        <w:widowControl/>
        <w:spacing w:after="40" w:line="228" w:lineRule="auto"/>
        <w:ind w:left="374" w:hanging="288"/>
      </w:pPr>
      <w:r>
        <w:rPr>
          <w:rFonts w:ascii="Montserrat" w:hAnsi="Montserrat" w:eastAsia="Montserrat"/>
          <w:b w:val="0"/>
          <w:i w:val="0"/>
          <w:color w:val="102A56"/>
          <w:sz w:val="19"/>
        </w:rPr>
        <w:t xml:space="preserve">☐  </w:t>
      </w:r>
      <w:r>
        <w:rPr>
          <w:rFonts w:ascii="Montserrat" w:hAnsi="Montserrat" w:eastAsia="Montserrat"/>
          <w:b w:val="0"/>
          <w:i w:val="0"/>
          <w:color w:val="111111"/>
          <w:sz w:val="18"/>
        </w:rPr>
        <w:t>After submission, the correct answer and the corresponding controlled rationales are available only in the intended review state.</w:t>
      </w:r>
    </w:p>
    <w:p>
      <w:pPr>
        <w:pStyle w:val="CTACheck"/>
        <w:widowControl/>
        <w:spacing w:after="40" w:line="228" w:lineRule="auto"/>
        <w:ind w:left="374" w:hanging="288"/>
      </w:pPr>
      <w:r>
        <w:rPr>
          <w:rFonts w:ascii="Montserrat" w:hAnsi="Montserrat" w:eastAsia="Montserrat"/>
          <w:b w:val="0"/>
          <w:i w:val="0"/>
          <w:color w:val="102A56"/>
          <w:sz w:val="19"/>
        </w:rPr>
        <w:t xml:space="preserve">☐  </w:t>
      </w:r>
      <w:r>
        <w:rPr>
          <w:rFonts w:ascii="Montserrat" w:hAnsi="Montserrat" w:eastAsia="Montserrat"/>
          <w:b w:val="0"/>
          <w:i w:val="0"/>
          <w:color w:val="111111"/>
          <w:sz w:val="18"/>
        </w:rPr>
        <w:t>No internal item IDs, task/knowledge metadata, core/calibration labels, source status, or audit data are learner-visible.</w:t>
      </w:r>
    </w:p>
    <w:p>
      <w:pPr>
        <w:pStyle w:val="CTACheck"/>
        <w:widowControl/>
        <w:spacing w:after="40" w:line="228" w:lineRule="auto"/>
        <w:ind w:left="374" w:hanging="288"/>
      </w:pPr>
      <w:r>
        <w:rPr>
          <w:rFonts w:ascii="Montserrat" w:hAnsi="Montserrat" w:eastAsia="Montserrat"/>
          <w:b w:val="0"/>
          <w:i w:val="0"/>
          <w:color w:val="102A56"/>
          <w:sz w:val="19"/>
        </w:rPr>
        <w:t xml:space="preserve">☐  </w:t>
      </w:r>
      <w:r>
        <w:rPr>
          <w:rFonts w:ascii="Montserrat" w:hAnsi="Montserrat" w:eastAsia="Montserrat"/>
          <w:b w:val="0"/>
          <w:i w:val="0"/>
          <w:color w:val="111111"/>
          <w:sz w:val="18"/>
        </w:rPr>
        <w:t>The administrator key and internal files cannot be reached through student navigation or an unprotected direct link.</w:t>
      </w:r>
    </w:p>
    <w:p>
      <w:pPr>
        <w:pStyle w:val="CTACheck"/>
        <w:widowControl/>
        <w:spacing w:after="40" w:line="228" w:lineRule="auto"/>
        <w:ind w:left="374" w:hanging="288"/>
      </w:pPr>
      <w:r>
        <w:rPr>
          <w:rFonts w:ascii="Montserrat" w:hAnsi="Montserrat" w:eastAsia="Montserrat"/>
          <w:b w:val="0"/>
          <w:i w:val="0"/>
          <w:color w:val="102A56"/>
          <w:sz w:val="19"/>
        </w:rPr>
        <w:t xml:space="preserve">☐  </w:t>
      </w:r>
      <w:r>
        <w:rPr>
          <w:rFonts w:ascii="Montserrat" w:hAnsi="Montserrat" w:eastAsia="Montserrat"/>
          <w:b w:val="0"/>
          <w:i w:val="0"/>
          <w:color w:val="111111"/>
          <w:sz w:val="18"/>
        </w:rPr>
        <w:t>Form B remains unavailable until the intended Form A/remediation release point.</w:t>
      </w:r>
    </w:p>
    <w:p>
      <w:pPr>
        <w:pStyle w:val="CTACheck"/>
        <w:widowControl/>
        <w:spacing w:after="40" w:line="228" w:lineRule="auto"/>
        <w:ind w:left="374" w:hanging="288"/>
      </w:pPr>
      <w:r>
        <w:rPr>
          <w:rFonts w:ascii="Montserrat" w:hAnsi="Montserrat" w:eastAsia="Montserrat"/>
          <w:b w:val="0"/>
          <w:i w:val="0"/>
          <w:color w:val="102A56"/>
          <w:sz w:val="19"/>
        </w:rPr>
        <w:t xml:space="preserve">☐  </w:t>
      </w:r>
      <w:r>
        <w:rPr>
          <w:rFonts w:ascii="Montserrat" w:hAnsi="Montserrat" w:eastAsia="Montserrat"/>
          <w:b w:val="0"/>
          <w:i w:val="0"/>
          <w:color w:val="111111"/>
          <w:sz w:val="18"/>
        </w:rPr>
        <w:t>No CE evaluation, CE hours, CE attestation, or CE certificate is triggered by either simulation.</w:t>
      </w:r>
    </w:p>
    <w:p>
      <w:pPr>
        <w:pStyle w:val="CTACheck"/>
        <w:widowControl/>
        <w:spacing w:after="40" w:line="228" w:lineRule="auto"/>
        <w:ind w:left="374" w:hanging="288"/>
      </w:pPr>
      <w:r>
        <w:rPr>
          <w:rFonts w:ascii="Montserrat" w:hAnsi="Montserrat" w:eastAsia="Montserrat"/>
          <w:b w:val="0"/>
          <w:i w:val="0"/>
          <w:color w:val="102A56"/>
          <w:sz w:val="19"/>
        </w:rPr>
        <w:t xml:space="preserve">☐  </w:t>
      </w:r>
      <w:r>
        <w:rPr>
          <w:rFonts w:ascii="Montserrat" w:hAnsi="Montserrat" w:eastAsia="Montserrat"/>
          <w:b w:val="0"/>
          <w:i w:val="0"/>
          <w:color w:val="111111"/>
          <w:sz w:val="18"/>
        </w:rPr>
        <w:t>Desktop and mobile views show complete stems/options without clipping, overlap, or unreadable text.</w:t>
      </w:r>
    </w:p>
    <w:p>
      <w:pPr>
        <w:pStyle w:val="CTACheck"/>
        <w:widowControl/>
        <w:spacing w:after="40" w:line="228" w:lineRule="auto"/>
        <w:ind w:left="374" w:hanging="288"/>
      </w:pPr>
      <w:r>
        <w:rPr>
          <w:rFonts w:ascii="Montserrat" w:hAnsi="Montserrat" w:eastAsia="Montserrat"/>
          <w:b w:val="0"/>
          <w:i w:val="0"/>
          <w:color w:val="102A56"/>
          <w:sz w:val="19"/>
        </w:rPr>
        <w:t xml:space="preserve">☐  </w:t>
      </w:r>
      <w:r>
        <w:rPr>
          <w:rFonts w:ascii="Montserrat" w:hAnsi="Montserrat" w:eastAsia="Montserrat"/>
          <w:b w:val="0"/>
          <w:i w:val="0"/>
          <w:color w:val="111111"/>
          <w:sz w:val="18"/>
        </w:rPr>
        <w:t>Old/legacy Form A and Form B are no longer learner-accessible and are stored only in the nonpublishing archive.</w:t>
      </w:r>
    </w:p>
    <w:p>
      <w:pPr>
        <w:keepNext/>
        <w:spacing w:before="140" w:after="80"/>
        <w:widowControl/>
        <w:pBdr>
          <w:bottom w:val="single" w:sz="8" w:space="2" w:color="149F9A"/>
        </w:pBdr>
      </w:pPr>
      <w:r>
        <w:rPr>
          <w:rFonts w:ascii="Montserrat" w:hAnsi="Montserrat" w:eastAsia="Montserrat"/>
          <w:b/>
          <w:i w:val="0"/>
          <w:color w:val="102A56"/>
          <w:sz w:val="32"/>
        </w:rPr>
        <w:t>9. Final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6"/>
        <w:gridCol w:w="6048"/>
      </w:tblGrid>
      <w:tr>
        <w:trPr>
          <w:trHeight w:hRule="atLeast"/>
          <w:tblHeader w:val="true"/>
        </w:trPr>
        <w:tc>
          <w:tcPr>
            <w:tcW w:type="dxa" w:w="5184"/>
            <w:shd w:fill="102A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9"/>
              </w:rPr>
              <w:t>Control</w:t>
            </w:r>
          </w:p>
        </w:tc>
        <w:tc>
          <w:tcPr>
            <w:tcW w:type="dxa" w:w="5184"/>
            <w:shd w:fill="102A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9"/>
              </w:rPr>
              <w:t>Sign-off</w:t>
            </w:r>
          </w:p>
        </w:tc>
      </w:tr>
      <w:tr>
        <w:trPr>
          <w:trHeight w:hRule="atLeast"/>
        </w:trPr>
        <w:tc>
          <w:tcPr>
            <w:tcW w:type="dxa" w:w="3816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/>
                <w:i w:val="0"/>
                <w:color w:val="102A56"/>
                <w:sz w:val="18"/>
              </w:rPr>
              <w:t>Developer reports implementation complete</w:t>
            </w:r>
          </w:p>
        </w:tc>
        <w:tc>
          <w:tcPr>
            <w:tcW w:type="dxa" w:w="6048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 w:val="0"/>
                <w:i w:val="0"/>
                <w:color w:val="111111"/>
                <w:sz w:val="18"/>
              </w:rPr>
              <w:t>______________________________   Date: __________</w:t>
            </w:r>
          </w:p>
        </w:tc>
      </w:tr>
      <w:tr>
        <w:trPr>
          <w:trHeight w:hRule="atLeast"/>
        </w:trPr>
        <w:tc>
          <w:tcPr>
            <w:tcW w:type="dxa" w:w="3816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/>
                <w:i w:val="0"/>
                <w:color w:val="102A56"/>
                <w:sz w:val="18"/>
              </w:rPr>
              <w:t>CTA learner-role retest complete</w:t>
            </w:r>
          </w:p>
        </w:tc>
        <w:tc>
          <w:tcPr>
            <w:tcW w:type="dxa" w:w="6048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 w:val="0"/>
                <w:i w:val="0"/>
                <w:color w:val="111111"/>
                <w:sz w:val="18"/>
              </w:rPr>
              <w:t>______________________________   Date: __________</w:t>
            </w:r>
          </w:p>
        </w:tc>
      </w:tr>
      <w:tr>
        <w:trPr>
          <w:trHeight w:hRule="atLeast"/>
        </w:trPr>
        <w:tc>
          <w:tcPr>
            <w:tcW w:type="dxa" w:w="3816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/>
                <w:i w:val="0"/>
                <w:color w:val="102A56"/>
                <w:sz w:val="18"/>
              </w:rPr>
              <w:t>Form A verified</w:t>
            </w:r>
          </w:p>
        </w:tc>
        <w:tc>
          <w:tcPr>
            <w:tcW w:type="dxa" w:w="6048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 w:val="0"/>
                <w:i w:val="0"/>
                <w:color w:val="111111"/>
                <w:sz w:val="18"/>
              </w:rPr>
              <w:t>☐ Yes   ☐ No</w:t>
            </w:r>
          </w:p>
        </w:tc>
      </w:tr>
      <w:tr>
        <w:trPr>
          <w:trHeight w:hRule="atLeast"/>
        </w:trPr>
        <w:tc>
          <w:tcPr>
            <w:tcW w:type="dxa" w:w="3816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/>
                <w:i w:val="0"/>
                <w:color w:val="102A56"/>
                <w:sz w:val="18"/>
              </w:rPr>
              <w:t>Form B verified</w:t>
            </w:r>
          </w:p>
        </w:tc>
        <w:tc>
          <w:tcPr>
            <w:tcW w:type="dxa" w:w="6048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 w:val="0"/>
                <w:i w:val="0"/>
                <w:color w:val="111111"/>
                <w:sz w:val="18"/>
              </w:rPr>
              <w:t>☐ Yes   ☐ No</w:t>
            </w:r>
          </w:p>
        </w:tc>
      </w:tr>
      <w:tr>
        <w:trPr>
          <w:trHeight w:hRule="atLeast"/>
        </w:trPr>
        <w:tc>
          <w:tcPr>
            <w:tcW w:type="dxa" w:w="3816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/>
                <w:i w:val="0"/>
                <w:color w:val="102A56"/>
                <w:sz w:val="18"/>
              </w:rPr>
              <w:t>Final website/LMS status</w:t>
            </w:r>
          </w:p>
        </w:tc>
        <w:tc>
          <w:tcPr>
            <w:tcW w:type="dxa" w:w="6048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  <w:vAlign w:val="top"/>
            <w:tcBorders>
              <w:top w:val="single" w:sz="3" w:color="D8DEE6"/>
              <w:left w:val="single" w:sz="3" w:color="D8DEE6"/>
              <w:bottom w:val="single" w:sz="3" w:color="D8DEE6"/>
              <w:right w:val="single" w:sz="3" w:color="D8DEE6"/>
            </w:tcBorders>
          </w:tcPr>
          <w:p>
            <w:pPr>
              <w:widowControl/>
              <w:spacing w:after="0" w:line="240" w:lineRule="auto"/>
            </w:pPr>
            <w:r>
              <w:rPr>
                <w:rFonts w:ascii="Montserrat" w:hAnsi="Montserrat" w:eastAsia="Montserrat"/>
                <w:b w:val="0"/>
                <w:i w:val="0"/>
                <w:color w:val="111111"/>
                <w:sz w:val="18"/>
              </w:rPr>
              <w:t>☐ VERIFIED CLOSED   ☐ CORRECTIONS REQUIRED</w:t>
            </w:r>
          </w:p>
        </w:tc>
      </w:tr>
    </w:tbl>
    <w:p>
      <w:pPr>
        <w:widowControl/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48" w:val="right"/>
      </w:tabs>
      <w:jc w:val="right"/>
    </w:pPr>
    <w:r>
      <w:rPr>
        <w:rFonts w:ascii="Montserrat" w:hAnsi="Montserrat" w:eastAsia="Montserrat"/>
        <w:b w:val="0"/>
        <w:i w:val="0"/>
        <w:color w:val="667085"/>
        <w:sz w:val="15"/>
      </w:rPr>
      <w:t>CTA | LMFT California Clinical Exam Prep | INTERNAL IMPLEMENTATION RESOURCE</w:t>
    </w:r>
    <w:r>
      <w:tab/>
    </w:r>
    <w:r>
      <w:rPr>
        <w:rFonts w:ascii="Montserrat" w:hAnsi="Montserrat"/>
        <w:color w:val="667085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10" w:space="3" w:color="149F9A"/>
      </w:pBdr>
    </w:pPr>
    <w:r>
      <w:drawing>
        <wp:inline xmlns:a="http://schemas.openxmlformats.org/drawingml/2006/main" xmlns:pic="http://schemas.openxmlformats.org/drawingml/2006/picture">
          <wp:extent cx="1874519" cy="128935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rimary Horizontal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4519" cy="128935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 w:eastAsia="Montserrat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ABullet">
    <w:name w:val="CTA Bullet"/>
    <w:rPr>
      <w:rFonts w:ascii="Montserrat" w:hAnsi="Montserrat" w:eastAsia="Montserrat"/>
      <w:sz w:val="20"/>
    </w:rPr>
  </w:style>
  <w:style w:type="paragraph" w:customStyle="1" w:styleId="CTACheck">
    <w:name w:val="CTA Check"/>
    <w:rPr>
      <w:rFonts w:ascii="Montserrat" w:hAnsi="Montserrat" w:eastAsia="Montserrat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LMFT California Clinical - David Final Simulation Implementation Guide v1.1</dc:title>
  <dc:subject>Final Form A/Form B LMS implementation and acceptance controls</dc:subject>
  <dc:creator>Clinical Training and Supervision Academy</dc:creator>
  <cp:keywords>CTA, LMFT, California Clinical, Exam Prep, Form A, Form B, LMS, implementation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