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1143000" cy="826213"/>
            <wp:docPr id="1" name="Picture 1" descr="Clinical Training Academy logo" title="Clinical Training Academy logo"/>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143000" cy="826213"/>
                    </a:xfrm>
                    <a:prstGeom prst="rect"/>
                  </pic:spPr>
                </pic:pic>
              </a:graphicData>
            </a:graphic>
          </wp:inline>
        </w:drawing>
      </w:r>
    </w:p>
    <w:p>
      <w:pPr>
        <w:spacing w:before="80" w:after="80"/>
        <w:jc w:val="center"/>
      </w:pPr>
      <w:r>
        <w:t>LMFT CALIFORNIA CLINICAL EXAM PREPARATION PROGRAM</w:t>
      </w:r>
    </w:p>
    <w:p>
      <w:pPr>
        <w:spacing w:after="200"/>
        <w:jc w:val="center"/>
      </w:pPr>
      <w:r>
        <w:t>Student Workbook</w:t>
      </w:r>
    </w:p>
    <w:p>
      <w:pPr>
        <w:pStyle w:val="Title"/>
        <w:spacing w:after="160"/>
        <w:jc w:val="center"/>
      </w:pPr>
      <w:r>
        <w:t>CTA LMFT Workbook 2: Clinical Engagement, Intake, and Mental Status Assessment</w:t>
      </w:r>
    </w:p>
    <w:p>
      <w:pPr>
        <w:spacing w:after="240"/>
        <w:ind w:left="504" w:right="504"/>
        <w:jc w:val="center"/>
      </w:pPr>
      <w:r>
        <w:rPr>
          <w:i/>
          <w:color w:val="4B5563"/>
          <w:sz w:val="21"/>
        </w:rPr>
        <w:t>How to establish the clinical frame, gather decision-relevant information, and assess health, medication, and substance factors through a systemic lens</w:t>
      </w:r>
    </w:p>
    <w:p>
      <w:pPr>
        <w:jc w:val="center"/>
      </w:pPr>
      <w:r>
        <w:t>Version 1.0 - July 2026</w:t>
      </w:r>
    </w:p>
    <w:p>
      <w:pPr>
        <w:spacing w:after="0" w:before="0" w:line="240" w:lineRule="auto"/>
      </w:pPr>
      <w:r>
        <w:rPr>
          <w:sz w:val="24"/>
        </w:rPr>
      </w:r>
    </w:p>
    <w:tbl>
      <w:tblPr>
        <w:tblW w:type="auto" w:w="0"/>
        <w:jc w:val="center"/>
        <w:tblLayout w:type="fixed"/>
        <w:tblLook w:firstColumn="1" w:firstRow="1" w:lastColumn="0" w:lastRow="0" w:noHBand="0" w:noVBand="1" w:val="04A0"/>
      </w:tblPr>
      <w:tblGrid>
        <w:gridCol w:w="8352"/>
      </w:tblGrid>
      <w:tr>
        <w:trPr>
          <w:cantSplit w:val="true"/>
        </w:trPr>
        <w:tc>
          <w:tcPr>
            <w:tcW w:type="dxa" w:w="8640"/>
            <w:shd w:fill="FFF7E6" w:val="clear"/>
            <w:tcBorders>
              <w:top w:val="single" w:sz="6" w:color="9EBAD0"/>
              <w:left w:val="single" w:sz="6" w:color="9EBAD0"/>
              <w:bottom w:val="single" w:sz="6" w:color="9EBAD0"/>
              <w:right w:val="single" w:sz="6" w:color="9EBAD0"/>
              <w:insideH w:val="single" w:sz="6" w:color="9EBAD0"/>
              <w:insideV w:val="single" w:sz="6" w:color="9EBAD0"/>
            </w:tcBorders>
            <w:vAlign w:val="center"/>
          </w:tcPr>
          <w:p>
            <w:pPr>
              <w:spacing w:before="100" w:after="100"/>
              <w:jc w:val="left"/>
            </w:pPr>
            <w:r>
              <w:rPr>
                <w:rFonts w:ascii="Aptos" w:hAnsi="Aptos"/>
                <w:b/>
                <w:color w:val="17365D"/>
                <w:sz w:val="19"/>
              </w:rPr>
              <w:t>STUDENT-FACING EXAM PREPARATION MATERIAL</w:t>
            </w:r>
            <w:r>
              <w:rPr>
                <w:rFonts w:ascii="Aptos" w:hAnsi="Aptos"/>
                <w:color w:val="1F2937"/>
                <w:sz w:val="18"/>
              </w:rPr>
              <w:br/>
              <w:t>All practice questions are original CTA items and are not actual licensing-examination questions.</w:t>
            </w:r>
          </w:p>
        </w:tc>
      </w:tr>
    </w:tbl>
    <w:p>
      <w:pPr>
        <w:spacing w:after="0" w:before="0" w:line="240" w:lineRule="auto"/>
      </w:pPr>
      <w:r>
        <w:rPr>
          <w:sz w:val="36"/>
        </w:rPr>
      </w:r>
    </w:p>
    <w:p>
      <w:pPr>
        <w:jc w:val="center"/>
      </w:pPr>
      <w:r>
        <w:t>Clinical Training Academy</w:t>
      </w:r>
    </w:p>
    <w:p>
      <w:r>
        <w:br w:type="page"/>
      </w:r>
    </w:p>
    <w:p>
      <w:pPr>
        <w:pStyle w:val="Heading1"/>
        <w:keepNext/>
        <w:keepLines/>
        <w:pageBreakBefore w:val="0"/>
      </w:pPr>
      <w:r>
        <w:t>How to Use This Workbook</w:t>
      </w:r>
    </w:p>
    <w:p>
      <w:pPr>
        <w:spacing w:after="100"/>
      </w:pPr>
      <w:r>
        <w:t>Use this workbook to organize the first phase of clinical work: engagement, intake, interviewing, mental-status assessment, and review of health, medication, and substance factors. Study the decision sequences and examples, complete the intake map, answer all 10 questions before viewing the key, and use the rationales to identify whether an error came from knowledge, timing, scope, or systemic formulation.</w:t>
      </w:r>
    </w:p>
    <w:tbl>
      <w:tblPr>
        <w:tblW w:type="auto" w:w="0"/>
        <w:jc w:val="center"/>
        <w:tblLayout w:type="autofit"/>
        <w:tblLook w:firstColumn="1" w:firstRow="1" w:lastColumn="0" w:lastRow="0" w:noHBand="0" w:noVBand="1" w:val="04A0"/>
      </w:tblPr>
      <w:tblGrid>
        <w:gridCol w:w="10080"/>
      </w:tblGrid>
      <w:tr>
        <w:trPr>
          <w:cantSplit w:val="true"/>
        </w:trPr>
        <w:tc>
          <w:tcPr>
            <w:tcW w:type="dxa" w:w="10080"/>
            <w:shd w:fill="EAF5F8" w:val="clear"/>
            <w:tcBorders>
              <w:top w:val="single" w:sz="6" w:color="A7BDC6"/>
              <w:left w:val="single" w:sz="6" w:color="A7BDC6"/>
              <w:bottom w:val="single" w:sz="6" w:color="A7BDC6"/>
              <w:right w:val="single" w:sz="6" w:color="A7BDC6"/>
              <w:insideH w:val="single" w:sz="6" w:color="A7BDC6"/>
              <w:insideV w:val="single" w:sz="6" w:color="A7BDC6"/>
            </w:tcBorders>
            <w:vAlign w:val="center"/>
          </w:tcPr>
          <w:p>
            <w:pPr>
              <w:spacing w:before="100" w:after="100"/>
              <w:jc w:val="left"/>
            </w:pPr>
            <w:r>
              <w:rPr>
                <w:rFonts w:ascii="Aptos" w:hAnsi="Aptos"/>
                <w:b/>
                <w:color w:val="17365D"/>
                <w:sz w:val="19"/>
              </w:rPr>
              <w:t>EDUCATIONAL, NON-AFFILIATION, AND SCOPE NOTICE</w:t>
            </w:r>
            <w:r>
              <w:rPr>
                <w:rFonts w:ascii="Aptos" w:hAnsi="Aptos"/>
                <w:color w:val="1F2937"/>
                <w:sz w:val="18"/>
              </w:rPr>
              <w:br/>
              <w:t>This workbook is an independent educational resource developed by Clinical Training and Supervision Academy. CTA is not affiliated with, endorsed by, or sponsored by the California Board of Behavioral Sciences, Pearson VUE, the Association of Social Work Boards, or any other licensing or testing organization. Completion does not guarantee examination passage. The material is not legal advice, clinical supervision, diagnosis, treatment, or a substitute for consultation with qualified legal, clinical, regulatory, or professional experts. Examination specifications and rules may change; consult current official sources before registering or testing.</w:t>
            </w:r>
          </w:p>
        </w:tc>
      </w:tr>
    </w:tbl>
    <w:p>
      <w:pPr>
        <w:spacing w:after="0" w:before="0" w:line="240" w:lineRule="auto"/>
      </w:pPr>
      <w:r>
        <w:rPr>
          <w:sz w:val="6"/>
        </w:rPr>
      </w:r>
    </w:p>
    <w:p>
      <w:pPr>
        <w:pStyle w:val="Heading1"/>
        <w:keepNext/>
        <w:keepLines/>
        <w:pageBreakBefore w:val="0"/>
      </w:pPr>
      <w:r>
        <w:t>Learning Objectives</w:t>
      </w:r>
    </w:p>
    <w:p>
      <w:pPr>
        <w:pStyle w:val="ListBullet"/>
        <w:keepNext w:val="0"/>
      </w:pPr>
      <w:r>
        <w:t>Identify the engagement, interviewing, and intake tasks that establish a safe and collaborative LMFT assessment.</w:t>
      </w:r>
    </w:p>
    <w:p>
      <w:pPr>
        <w:pStyle w:val="ListBullet"/>
        <w:keepNext w:val="0"/>
      </w:pPr>
      <w:r>
        <w:t>Distinguish the presenting problem, treatment goals, motivation, prior therapy experiences, and the appropriate unit of treatment.</w:t>
      </w:r>
    </w:p>
    <w:p>
      <w:pPr>
        <w:pStyle w:val="ListBullet"/>
        <w:keepNext w:val="0"/>
      </w:pPr>
      <w:r>
        <w:t>Apply balanced systemic interviewing while maintaining multiple alliances and avoiding premature alignment with one family member.</w:t>
      </w:r>
    </w:p>
    <w:p>
      <w:pPr>
        <w:pStyle w:val="ListBullet"/>
        <w:keepNext w:val="0"/>
      </w:pPr>
      <w:r>
        <w:t>Evaluate mental-status findings together with baseline functioning, medical conditions, medications, substance use, and relational context.</w:t>
      </w:r>
    </w:p>
    <w:p>
      <w:pPr>
        <w:pStyle w:val="ListBullet"/>
        <w:keepNext w:val="0"/>
      </w:pPr>
      <w:r>
        <w:t>Select the best FIRST or NEXT action by prioritizing immediate safety, essential information gaps, scope of practice, and collaborative follow-through.</w:t>
      </w:r>
    </w:p>
    <w:p>
      <w:pPr>
        <w:pStyle w:val="Heading1"/>
        <w:keepNext/>
        <w:keepLines/>
        <w:pageBreakBefore w:val="0"/>
      </w:pPr>
      <w:r>
        <w:t>Why This Topic Matters</w:t>
      </w:r>
    </w:p>
    <w:p>
      <w:pPr>
        <w:spacing w:after="100"/>
      </w:pPr>
      <w:r>
        <w:t>Early-session choices determine the quality of every later clinical decision. A therapist can know the correct treatment model and still choose the wrong answer by moving too quickly. The examination repeatedly rewards a disciplined sequence: clarify the frame, engage the relevant people, assess what is happening now, compare the current presentation with baseline, and select the least assumptive next step.</w:t>
      </w:r>
    </w:p>
    <w:tbl>
      <w:tblPr>
        <w:tblW w:type="auto" w:w="0"/>
        <w:jc w:val="center"/>
        <w:tblLayout w:type="fixed"/>
        <w:tblLook w:firstColumn="1" w:firstRow="1" w:lastColumn="0" w:lastRow="0" w:noHBand="0" w:noVBand="1" w:val="04A0"/>
      </w:tblPr>
      <w:tblGrid>
        <w:gridCol w:w="9936"/>
      </w:tblGrid>
      <w:tr>
        <w:trPr>
          <w:cantSplit/>
        </w:trPr>
        <w:tc>
          <w:tcPr>
            <w:tcW w:type="dxa" w:w="10080"/>
            <w:shd w:fill="EAF4F8"/>
            <w:tcMar>
              <w:top w:w="100" w:type="dxa"/>
              <w:start w:w="120" w:type="dxa"/>
              <w:bottom w:w="100" w:type="dxa"/>
              <w:end w:w="120" w:type="dxa"/>
            </w:tcMar>
          </w:tcPr>
          <w:p>
            <w:pPr>
              <w:spacing w:after="40"/>
            </w:pPr>
            <w:r>
              <w:rPr>
                <w:b/>
                <w:color w:val="1F4E78"/>
                <w:sz w:val="17"/>
              </w:rPr>
              <w:t>EXAM POSITION</w:t>
            </w:r>
          </w:p>
          <w:p>
            <w:pPr>
              <w:spacing w:after="0"/>
            </w:pPr>
            <w:r>
              <w:rPr>
                <w:sz w:val="18"/>
              </w:rPr>
              <w:t>When two answers are plausible, prefer the one that gathers the missing decision-relevant information, addresses immediate safety, preserves balanced engagement, and stays within the LMFT role.</w:t>
            </w:r>
          </w:p>
        </w:tc>
      </w:tr>
    </w:tbl>
    <w:p>
      <w:pPr>
        <w:spacing w:after="0" w:before="0" w:line="240" w:lineRule="auto"/>
      </w:pPr>
      <w:r>
        <w:rPr>
          <w:sz w:val="6"/>
        </w:rPr>
      </w:r>
    </w:p>
    <w:p>
      <w:pPr>
        <w:pStyle w:val="Heading1"/>
        <w:keepNext/>
        <w:keepLines/>
        <w:pageBreakBefore w:val="0"/>
      </w:pPr>
      <w:r>
        <w:t>1. Engagement Is Part of Assessment</w:t>
      </w:r>
    </w:p>
    <w:p>
      <w:pPr>
        <w:spacing w:after="100"/>
      </w:pPr>
      <w:r>
        <w:t>Engagement is not a warm-up that occurs before assessment. The client’s response to role clarification, empathy, pacing, boundaries, and questions provides information about trust, readiness, fear, alliance, expectations, and the treatment context.</w:t>
      </w:r>
    </w:p>
    <w:p>
      <w:pPr>
        <w:pStyle w:val="ListBullet"/>
        <w:keepNext w:val="0"/>
        <w:keepLines/>
        <w:pageBreakBefore w:val="0"/>
        <w:spacing w:after="40"/>
      </w:pPr>
      <w:r>
        <w:t>Attunement: Notice emotional intensity, pace, culture, developmental level, nonverbal behavior, and the need for structure or space.</w:t>
      </w:r>
    </w:p>
    <w:p>
      <w:pPr>
        <w:pStyle w:val="ListBullet"/>
        <w:keepNext w:val="0"/>
        <w:keepLines/>
        <w:pageBreakBefore w:val="0"/>
        <w:spacing w:after="40"/>
      </w:pPr>
      <w:r>
        <w:t>Validation: Communicate that the emotional response is understandable without confirming an unsupported conclusion.</w:t>
      </w:r>
    </w:p>
    <w:p>
      <w:pPr>
        <w:pStyle w:val="ListBullet"/>
        <w:keepNext w:val="0"/>
        <w:keepLines/>
        <w:pageBreakBefore w:val="0"/>
        <w:spacing w:after="40"/>
      </w:pPr>
      <w:r>
        <w:t>Transparency: Explain the therapist’s role, the purpose of questions, and what will happen next.</w:t>
      </w:r>
    </w:p>
    <w:p>
      <w:pPr>
        <w:pStyle w:val="ListBullet"/>
        <w:keepNext w:val="0"/>
        <w:keepLines/>
        <w:pageBreakBefore w:val="0"/>
        <w:spacing w:after="40"/>
      </w:pPr>
      <w:r>
        <w:t>Collaboration: Invite each relevant participant to define concerns, goals, strengths, and preferred outcomes.</w:t>
      </w:r>
    </w:p>
    <w:p>
      <w:pPr>
        <w:pStyle w:val="ListBullet"/>
        <w:keepNext w:val="0"/>
        <w:keepLines/>
        <w:pageBreakBefore w:val="0"/>
        <w:spacing w:after="40"/>
      </w:pPr>
      <w:r>
        <w:t>Reliability and repair: Maintain consistent boundaries, follow through, and acknowledge misunderstandings or alliance ruptures.</w:t>
      </w:r>
    </w:p>
    <w:tbl>
      <w:tblPr>
        <w:tblW w:type="auto" w:w="0"/>
        <w:jc w:val="center"/>
        <w:tblLayout w:type="fixed"/>
        <w:tblLook w:firstColumn="1" w:firstRow="1" w:lastColumn="0" w:lastRow="0" w:noHBand="0" w:noVBand="1" w:val="04A0"/>
      </w:tblPr>
      <w:tblGrid>
        <w:gridCol w:w="9936"/>
      </w:tblGrid>
      <w:tr>
        <w:trPr>
          <w:cantSplit/>
        </w:trPr>
        <w:tc>
          <w:tcPr>
            <w:tcW w:type="dxa" w:w="10080"/>
            <w:shd w:fill="FFF2CC"/>
            <w:tcMar>
              <w:top w:w="100" w:type="dxa"/>
              <w:start w:w="120" w:type="dxa"/>
              <w:bottom w:w="100" w:type="dxa"/>
              <w:end w:w="120" w:type="dxa"/>
            </w:tcMar>
          </w:tcPr>
          <w:p>
            <w:pPr>
              <w:spacing w:after="40"/>
            </w:pPr>
            <w:r>
              <w:rPr>
                <w:b/>
                <w:color w:val="1F4E78"/>
                <w:sz w:val="17"/>
              </w:rPr>
              <w:t>CORE RULE</w:t>
            </w:r>
          </w:p>
          <w:p>
            <w:pPr>
              <w:spacing w:after="0"/>
            </w:pPr>
            <w:r>
              <w:rPr>
                <w:sz w:val="18"/>
              </w:rPr>
              <w:t>Engage before you explain. Clarify before you interpret. Assess before you intervene.</w:t>
            </w:r>
          </w:p>
        </w:tc>
      </w:tr>
    </w:tbl>
    <w:p>
      <w:pPr>
        <w:spacing w:after="0" w:before="0" w:line="240" w:lineRule="auto"/>
      </w:pPr>
      <w:r>
        <w:rPr>
          <w:sz w:val="6"/>
        </w:rPr>
      </w:r>
    </w:p>
    <w:p>
      <w:pPr>
        <w:pStyle w:val="Heading1"/>
        <w:keepNext/>
        <w:keepLines/>
        <w:pageBreakBefore w:val="0"/>
      </w:pPr>
      <w:r>
        <w:t>2. Clarify the Referral, Participants, and Unit of Treatment</w:t>
      </w:r>
    </w:p>
    <w:p>
      <w:pPr>
        <w:spacing w:after="100"/>
      </w:pPr>
      <w:r>
        <w:t>The first contact should establish who requested services, who is present, who may be the client or client system, what each person expects, and whether the current format is clinically appropriate. The unit of treatment may be an individual, couple, family, or relational system and can be refined as assessment continues.</w:t>
      </w:r>
    </w:p>
    <w:p>
      <w:pPr>
        <w:pStyle w:val="ListBullet"/>
        <w:keepNext w:val="0"/>
        <w:keepLines/>
        <w:pageBreakBefore w:val="0"/>
        <w:spacing w:after="40"/>
      </w:pPr>
      <w:r>
        <w:t>Who initiated the referral, and why now?</w:t>
      </w:r>
    </w:p>
    <w:p>
      <w:pPr>
        <w:pStyle w:val="ListBullet"/>
        <w:keepNext w:val="0"/>
        <w:keepLines/>
        <w:pageBreakBefore w:val="0"/>
        <w:spacing w:after="40"/>
      </w:pPr>
      <w:r>
        <w:t>Who believes there is a problem, and who wants change?</w:t>
      </w:r>
    </w:p>
    <w:p>
      <w:pPr>
        <w:pStyle w:val="ListBullet"/>
        <w:keepNext w:val="0"/>
        <w:keepLines/>
        <w:pageBreakBefore w:val="0"/>
        <w:spacing w:after="40"/>
      </w:pPr>
      <w:r>
        <w:t>Are there legal, school, medical, employer, or family expectations affecting participation?</w:t>
      </w:r>
    </w:p>
    <w:p>
      <w:pPr>
        <w:pStyle w:val="ListBullet"/>
        <w:keepNext w:val="0"/>
        <w:keepLines/>
        <w:pageBreakBefore w:val="0"/>
        <w:spacing w:after="40"/>
      </w:pPr>
      <w:r>
        <w:t>What confidentiality, consent, records, payment, or communication roles need clarification?</w:t>
      </w:r>
    </w:p>
    <w:p>
      <w:pPr>
        <w:pStyle w:val="ListBullet"/>
        <w:keepNext w:val="0"/>
        <w:keepLines/>
        <w:pageBreakBefore w:val="0"/>
        <w:spacing w:after="40"/>
      </w:pPr>
      <w:r>
        <w:t>Does the presenting concern suggest individual, conjoint, family, collateral, medical, addiction, or emergency involvement—and in what sequence?</w:t>
      </w:r>
    </w:p>
    <w:tbl>
      <w:tblPr>
        <w:tblW w:type="auto" w:w="0"/>
        <w:jc w:val="center"/>
        <w:tblLayout w:type="fixed"/>
        <w:tblLook w:firstColumn="1" w:firstRow="1" w:lastColumn="0" w:lastRow="0" w:noHBand="0" w:noVBand="1" w:val="04A0"/>
      </w:tblPr>
      <w:tblGrid>
        <w:gridCol w:w="9936"/>
      </w:tblGrid>
      <w:tr>
        <w:trPr>
          <w:cantSplit/>
        </w:trPr>
        <w:tc>
          <w:tcPr>
            <w:tcW w:type="dxa" w:w="10080"/>
            <w:shd w:fill="FCE4D6"/>
            <w:tcMar>
              <w:top w:w="100" w:type="dxa"/>
              <w:start w:w="120" w:type="dxa"/>
              <w:bottom w:w="100" w:type="dxa"/>
              <w:end w:w="120" w:type="dxa"/>
            </w:tcMar>
          </w:tcPr>
          <w:p>
            <w:pPr>
              <w:spacing w:after="40"/>
            </w:pPr>
            <w:r>
              <w:rPr>
                <w:b/>
                <w:color w:val="1F4E78"/>
                <w:sz w:val="17"/>
              </w:rPr>
              <w:t>EXAM TRAP</w:t>
            </w:r>
          </w:p>
          <w:p>
            <w:pPr>
              <w:spacing w:after="0"/>
            </w:pPr>
            <w:r>
              <w:rPr>
                <w:sz w:val="18"/>
              </w:rPr>
              <w:t>Do not assume the identified patient, the person who speaks first, or the person who pays is automatically the unit of treatment.</w:t>
            </w:r>
          </w:p>
        </w:tc>
      </w:tr>
    </w:tbl>
    <w:p>
      <w:pPr>
        <w:spacing w:after="0" w:before="0" w:line="240" w:lineRule="auto"/>
      </w:pPr>
      <w:r>
        <w:rPr>
          <w:sz w:val="6"/>
        </w:rPr>
      </w:r>
    </w:p>
    <w:p>
      <w:pPr>
        <w:pStyle w:val="Heading1"/>
        <w:keepNext/>
        <w:keepLines/>
        <w:pageBreakBefore w:val="0"/>
      </w:pPr>
      <w:r>
        <w:t>3. Build Multiple Alliances Without Choosing a Side</w:t>
      </w:r>
    </w:p>
    <w:p>
      <w:pPr>
        <w:spacing w:after="100"/>
      </w:pPr>
      <w:r>
        <w:t>In couple and family work, the therapist forms a working alliance with each relevant participant while maintaining the integrity of the treatment unit. Balanced joining does not mean equal agreement. It means each person’s perspective is heard, the therapist avoids premature coalitions, and the interactional sequence is examined.</w:t>
      </w:r>
    </w:p>
    <w:p>
      <w:pPr>
        <w:pStyle w:val="ListBullet"/>
        <w:keepNext w:val="0"/>
        <w:keepLines/>
        <w:pageBreakBefore w:val="0"/>
        <w:spacing w:after="40"/>
      </w:pPr>
      <w:r>
        <w:t>Elicit each person’s definition of the problem and desired outcome.</w:t>
      </w:r>
    </w:p>
    <w:p>
      <w:pPr>
        <w:pStyle w:val="ListBullet"/>
        <w:keepNext w:val="0"/>
        <w:keepLines/>
        <w:pageBreakBefore w:val="0"/>
        <w:spacing w:after="40"/>
      </w:pPr>
      <w:r>
        <w:t>Validate strain or emotion without endorsing blame.</w:t>
      </w:r>
    </w:p>
    <w:p>
      <w:pPr>
        <w:pStyle w:val="ListBullet"/>
        <w:keepNext w:val="0"/>
        <w:keepLines/>
        <w:pageBreakBefore w:val="0"/>
        <w:spacing w:after="40"/>
      </w:pPr>
      <w:r>
        <w:t>Observe who speaks, interrupts, rescues, withdraws, minimizes, escalates, or answers for someone else.</w:t>
      </w:r>
    </w:p>
    <w:p>
      <w:pPr>
        <w:pStyle w:val="ListBullet"/>
        <w:keepNext w:val="0"/>
        <w:keepLines/>
        <w:pageBreakBefore w:val="0"/>
        <w:spacing w:after="40"/>
      </w:pPr>
      <w:r>
        <w:t>Ask what happens immediately before and after the target behavior.</w:t>
      </w:r>
    </w:p>
    <w:p>
      <w:pPr>
        <w:pStyle w:val="ListBullet"/>
        <w:keepNext w:val="0"/>
        <w:keepLines/>
        <w:pageBreakBefore w:val="0"/>
        <w:spacing w:after="40"/>
      </w:pPr>
      <w:r>
        <w:t>Hold systemic hypotheses tentatively until individual, relational, contextual, health, and safety information are integrated.</w:t>
      </w:r>
    </w:p>
    <w:p>
      <w:pPr>
        <w:pStyle w:val="Heading1"/>
        <w:keepNext/>
        <w:keepLines/>
        <w:pageBreakBefore w:val="0"/>
      </w:pPr>
      <w:r>
        <w:t>4. Interviewing Techniques: Match the Tool to the Task</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360"/>
        <w:gridCol w:w="3360"/>
        <w:gridCol w:w="3360"/>
      </w:tblGrid>
      <w:tr>
        <w:trPr>
          <w:tblHeader w:val="true"/>
          <w:cantSplit/>
        </w:trPr>
        <w:tc>
          <w:tcPr>
            <w:tcW w:type="dxa" w:w="1944"/>
            <w:shd w:fill="17365D"/>
            <w:tcMar>
              <w:top w:w="75" w:type="dxa"/>
              <w:start w:w="80" w:type="dxa"/>
              <w:bottom w:w="75" w:type="dxa"/>
              <w:end w:w="80" w:type="dxa"/>
            </w:tcMar>
          </w:tcPr>
          <w:p>
            <w:pPr>
              <w:jc w:val="left"/>
            </w:pPr>
            <w:r>
              <w:rPr>
                <w:b/>
                <w:color w:val="FFFFFF"/>
                <w:sz w:val="16"/>
              </w:rPr>
              <w:t>Technique</w:t>
            </w:r>
          </w:p>
        </w:tc>
        <w:tc>
          <w:tcPr>
            <w:tcW w:type="dxa" w:w="3312"/>
            <w:shd w:fill="17365D"/>
            <w:tcMar>
              <w:top w:w="75" w:type="dxa"/>
              <w:start w:w="80" w:type="dxa"/>
              <w:bottom w:w="75" w:type="dxa"/>
              <w:end w:w="80" w:type="dxa"/>
            </w:tcMar>
          </w:tcPr>
          <w:p>
            <w:pPr>
              <w:jc w:val="left"/>
            </w:pPr>
            <w:r>
              <w:rPr>
                <w:b/>
                <w:color w:val="FFFFFF"/>
                <w:sz w:val="16"/>
              </w:rPr>
              <w:t>Primary Purpose</w:t>
            </w:r>
          </w:p>
        </w:tc>
        <w:tc>
          <w:tcPr>
            <w:tcW w:type="dxa" w:w="4680"/>
            <w:shd w:fill="17365D"/>
            <w:tcMar>
              <w:top w:w="75" w:type="dxa"/>
              <w:start w:w="80" w:type="dxa"/>
              <w:bottom w:w="75" w:type="dxa"/>
              <w:end w:w="80" w:type="dxa"/>
            </w:tcMar>
          </w:tcPr>
          <w:p>
            <w:pPr>
              <w:jc w:val="left"/>
            </w:pPr>
            <w:r>
              <w:rPr>
                <w:b/>
                <w:color w:val="FFFFFF"/>
                <w:sz w:val="16"/>
              </w:rPr>
              <w:t>Exam Use</w:t>
            </w:r>
          </w:p>
        </w:tc>
      </w:tr>
      <w:tr>
        <w:trPr>
          <w:cantSplit/>
        </w:trPr>
        <w:tc>
          <w:tcPr>
            <w:tcW w:type="dxa" w:w="1944"/>
            <w:tcMar>
              <w:top w:w="65" w:type="dxa"/>
              <w:start w:w="75" w:type="dxa"/>
              <w:bottom w:w="65" w:type="dxa"/>
              <w:end w:w="75" w:type="dxa"/>
            </w:tcMar>
          </w:tcPr>
          <w:p>
            <w:pPr>
              <w:spacing w:after="0"/>
            </w:pPr>
            <w:r>
              <w:rPr>
                <w:sz w:val="16"/>
              </w:rPr>
              <w:t>Open question</w:t>
            </w:r>
          </w:p>
        </w:tc>
        <w:tc>
          <w:tcPr>
            <w:tcW w:type="dxa" w:w="3312"/>
            <w:tcMar>
              <w:top w:w="65" w:type="dxa"/>
              <w:start w:w="75" w:type="dxa"/>
              <w:bottom w:w="65" w:type="dxa"/>
              <w:end w:w="75" w:type="dxa"/>
            </w:tcMar>
          </w:tcPr>
          <w:p>
            <w:pPr>
              <w:spacing w:after="0"/>
            </w:pPr>
            <w:r>
              <w:rPr>
                <w:sz w:val="16"/>
              </w:rPr>
              <w:t>Invites the client’s narrative and meaning.</w:t>
            </w:r>
          </w:p>
        </w:tc>
        <w:tc>
          <w:tcPr>
            <w:tcW w:type="dxa" w:w="4680"/>
            <w:tcMar>
              <w:top w:w="65" w:type="dxa"/>
              <w:start w:w="75" w:type="dxa"/>
              <w:bottom w:w="65" w:type="dxa"/>
              <w:end w:w="75" w:type="dxa"/>
            </w:tcMar>
          </w:tcPr>
          <w:p>
            <w:pPr>
              <w:spacing w:after="0"/>
            </w:pPr>
            <w:r>
              <w:rPr>
                <w:sz w:val="16"/>
              </w:rPr>
              <w:t>Use early when the topic is broad and safety does not require immediate specificity.</w:t>
            </w:r>
          </w:p>
        </w:tc>
      </w:tr>
      <w:tr>
        <w:trPr>
          <w:cantSplit/>
        </w:trPr>
        <w:tc>
          <w:tcPr>
            <w:tcW w:type="dxa" w:w="1944"/>
            <w:tcMar>
              <w:top w:w="65" w:type="dxa"/>
              <w:start w:w="75" w:type="dxa"/>
              <w:bottom w:w="65" w:type="dxa"/>
              <w:end w:w="75" w:type="dxa"/>
            </w:tcMar>
            <w:shd w:fill="F2F2F2"/>
          </w:tcPr>
          <w:p>
            <w:pPr>
              <w:spacing w:after="0"/>
            </w:pPr>
            <w:r>
              <w:rPr>
                <w:sz w:val="16"/>
              </w:rPr>
              <w:t>Closed or direct question</w:t>
            </w:r>
          </w:p>
        </w:tc>
        <w:tc>
          <w:tcPr>
            <w:tcW w:type="dxa" w:w="3312"/>
            <w:tcMar>
              <w:top w:w="65" w:type="dxa"/>
              <w:start w:w="75" w:type="dxa"/>
              <w:bottom w:w="65" w:type="dxa"/>
              <w:end w:w="75" w:type="dxa"/>
            </w:tcMar>
            <w:shd w:fill="F2F2F2"/>
          </w:tcPr>
          <w:p>
            <w:pPr>
              <w:spacing w:after="0"/>
            </w:pPr>
            <w:r>
              <w:rPr>
                <w:sz w:val="16"/>
              </w:rPr>
              <w:t>Obtains a specific fact such as timing, amount, access, or current risk.</w:t>
            </w:r>
          </w:p>
        </w:tc>
        <w:tc>
          <w:tcPr>
            <w:tcW w:type="dxa" w:w="4680"/>
            <w:tcMar>
              <w:top w:w="65" w:type="dxa"/>
              <w:start w:w="75" w:type="dxa"/>
              <w:bottom w:w="65" w:type="dxa"/>
              <w:end w:w="75" w:type="dxa"/>
            </w:tcMar>
            <w:shd w:fill="F2F2F2"/>
          </w:tcPr>
          <w:p>
            <w:pPr>
              <w:spacing w:after="0"/>
            </w:pPr>
            <w:r>
              <w:rPr>
                <w:sz w:val="16"/>
              </w:rPr>
              <w:t>Use when precision is necessary; do not rely on only yes-or-no questions.</w:t>
            </w:r>
          </w:p>
        </w:tc>
      </w:tr>
      <w:tr>
        <w:trPr>
          <w:cantSplit/>
        </w:trPr>
        <w:tc>
          <w:tcPr>
            <w:tcW w:type="dxa" w:w="1944"/>
            <w:tcMar>
              <w:top w:w="65" w:type="dxa"/>
              <w:start w:w="75" w:type="dxa"/>
              <w:bottom w:w="65" w:type="dxa"/>
              <w:end w:w="75" w:type="dxa"/>
            </w:tcMar>
          </w:tcPr>
          <w:p>
            <w:pPr>
              <w:spacing w:after="0"/>
            </w:pPr>
            <w:r>
              <w:rPr>
                <w:sz w:val="16"/>
              </w:rPr>
              <w:t>Reflection</w:t>
            </w:r>
          </w:p>
        </w:tc>
        <w:tc>
          <w:tcPr>
            <w:tcW w:type="dxa" w:w="3312"/>
            <w:tcMar>
              <w:top w:w="65" w:type="dxa"/>
              <w:start w:w="75" w:type="dxa"/>
              <w:bottom w:w="65" w:type="dxa"/>
              <w:end w:w="75" w:type="dxa"/>
            </w:tcMar>
          </w:tcPr>
          <w:p>
            <w:pPr>
              <w:spacing w:after="0"/>
            </w:pPr>
            <w:r>
              <w:rPr>
                <w:sz w:val="16"/>
              </w:rPr>
              <w:t>Restates meaning, feeling, or pattern.</w:t>
            </w:r>
          </w:p>
        </w:tc>
        <w:tc>
          <w:tcPr>
            <w:tcW w:type="dxa" w:w="4680"/>
            <w:tcMar>
              <w:top w:w="65" w:type="dxa"/>
              <w:start w:w="75" w:type="dxa"/>
              <w:bottom w:w="65" w:type="dxa"/>
              <w:end w:w="75" w:type="dxa"/>
            </w:tcMar>
          </w:tcPr>
          <w:p>
            <w:pPr>
              <w:spacing w:after="0"/>
            </w:pPr>
            <w:r>
              <w:rPr>
                <w:sz w:val="16"/>
              </w:rPr>
              <w:t>Demonstrates understanding and may deepen exploration.</w:t>
            </w:r>
          </w:p>
        </w:tc>
      </w:tr>
      <w:tr>
        <w:trPr>
          <w:cantSplit/>
        </w:trPr>
        <w:tc>
          <w:tcPr>
            <w:tcW w:type="dxa" w:w="1944"/>
            <w:tcMar>
              <w:top w:w="65" w:type="dxa"/>
              <w:start w:w="75" w:type="dxa"/>
              <w:bottom w:w="65" w:type="dxa"/>
              <w:end w:w="75" w:type="dxa"/>
            </w:tcMar>
            <w:shd w:fill="F2F2F2"/>
          </w:tcPr>
          <w:p>
            <w:pPr>
              <w:spacing w:after="0"/>
            </w:pPr>
            <w:r>
              <w:rPr>
                <w:sz w:val="16"/>
              </w:rPr>
              <w:t>Clarification</w:t>
            </w:r>
          </w:p>
        </w:tc>
        <w:tc>
          <w:tcPr>
            <w:tcW w:type="dxa" w:w="3312"/>
            <w:tcMar>
              <w:top w:w="65" w:type="dxa"/>
              <w:start w:w="75" w:type="dxa"/>
              <w:bottom w:w="65" w:type="dxa"/>
              <w:end w:w="75" w:type="dxa"/>
            </w:tcMar>
            <w:shd w:fill="F2F2F2"/>
          </w:tcPr>
          <w:p>
            <w:pPr>
              <w:spacing w:after="0"/>
            </w:pPr>
            <w:r>
              <w:rPr>
                <w:sz w:val="16"/>
              </w:rPr>
              <w:t>Defines vague words, sequences, frequency, or impact.</w:t>
            </w:r>
          </w:p>
        </w:tc>
        <w:tc>
          <w:tcPr>
            <w:tcW w:type="dxa" w:w="4680"/>
            <w:tcMar>
              <w:top w:w="65" w:type="dxa"/>
              <w:start w:w="75" w:type="dxa"/>
              <w:bottom w:w="65" w:type="dxa"/>
              <w:end w:w="75" w:type="dxa"/>
            </w:tcMar>
            <w:shd w:fill="F2F2F2"/>
          </w:tcPr>
          <w:p>
            <w:pPr>
              <w:spacing w:after="0"/>
            </w:pPr>
            <w:r>
              <w:rPr>
                <w:sz w:val="16"/>
              </w:rPr>
              <w:t>Use before interpretation when the client’s meaning is unclear.</w:t>
            </w:r>
          </w:p>
        </w:tc>
      </w:tr>
      <w:tr>
        <w:trPr>
          <w:cantSplit/>
        </w:trPr>
        <w:tc>
          <w:tcPr>
            <w:tcW w:type="dxa" w:w="1944"/>
            <w:tcMar>
              <w:top w:w="65" w:type="dxa"/>
              <w:start w:w="75" w:type="dxa"/>
              <w:bottom w:w="65" w:type="dxa"/>
              <w:end w:w="75" w:type="dxa"/>
            </w:tcMar>
          </w:tcPr>
          <w:p>
            <w:pPr>
              <w:spacing w:after="0"/>
            </w:pPr>
            <w:r>
              <w:rPr>
                <w:sz w:val="16"/>
              </w:rPr>
              <w:t>Validation</w:t>
            </w:r>
          </w:p>
        </w:tc>
        <w:tc>
          <w:tcPr>
            <w:tcW w:type="dxa" w:w="3312"/>
            <w:tcMar>
              <w:top w:w="65" w:type="dxa"/>
              <w:start w:w="75" w:type="dxa"/>
              <w:bottom w:w="65" w:type="dxa"/>
              <w:end w:w="75" w:type="dxa"/>
            </w:tcMar>
          </w:tcPr>
          <w:p>
            <w:pPr>
              <w:spacing w:after="0"/>
            </w:pPr>
            <w:r>
              <w:rPr>
                <w:sz w:val="16"/>
              </w:rPr>
              <w:t>Acknowledges an understandable response or experience.</w:t>
            </w:r>
          </w:p>
        </w:tc>
        <w:tc>
          <w:tcPr>
            <w:tcW w:type="dxa" w:w="4680"/>
            <w:tcMar>
              <w:top w:w="65" w:type="dxa"/>
              <w:start w:w="75" w:type="dxa"/>
              <w:bottom w:w="65" w:type="dxa"/>
              <w:end w:w="75" w:type="dxa"/>
            </w:tcMar>
          </w:tcPr>
          <w:p>
            <w:pPr>
              <w:spacing w:after="0"/>
            </w:pPr>
            <w:r>
              <w:rPr>
                <w:sz w:val="16"/>
              </w:rPr>
              <w:t>Does not require agreement with every conclusion or behavior.</w:t>
            </w:r>
          </w:p>
        </w:tc>
      </w:tr>
      <w:tr>
        <w:trPr>
          <w:cantSplit/>
        </w:trPr>
        <w:tc>
          <w:tcPr>
            <w:tcW w:type="dxa" w:w="1944"/>
            <w:tcMar>
              <w:top w:w="65" w:type="dxa"/>
              <w:start w:w="75" w:type="dxa"/>
              <w:bottom w:w="65" w:type="dxa"/>
              <w:end w:w="75" w:type="dxa"/>
            </w:tcMar>
            <w:shd w:fill="F2F2F2"/>
          </w:tcPr>
          <w:p>
            <w:pPr>
              <w:spacing w:after="0"/>
            </w:pPr>
            <w:r>
              <w:rPr>
                <w:sz w:val="16"/>
              </w:rPr>
              <w:t>Summary</w:t>
            </w:r>
          </w:p>
        </w:tc>
        <w:tc>
          <w:tcPr>
            <w:tcW w:type="dxa" w:w="3312"/>
            <w:tcMar>
              <w:top w:w="65" w:type="dxa"/>
              <w:start w:w="75" w:type="dxa"/>
              <w:bottom w:w="65" w:type="dxa"/>
              <w:end w:w="75" w:type="dxa"/>
            </w:tcMar>
            <w:shd w:fill="F2F2F2"/>
          </w:tcPr>
          <w:p>
            <w:pPr>
              <w:spacing w:after="0"/>
            </w:pPr>
            <w:r>
              <w:rPr>
                <w:sz w:val="16"/>
              </w:rPr>
              <w:t>Organizes information and checks shared understanding.</w:t>
            </w:r>
          </w:p>
        </w:tc>
        <w:tc>
          <w:tcPr>
            <w:tcW w:type="dxa" w:w="4680"/>
            <w:tcMar>
              <w:top w:w="65" w:type="dxa"/>
              <w:start w:w="75" w:type="dxa"/>
              <w:bottom w:w="65" w:type="dxa"/>
              <w:end w:w="75" w:type="dxa"/>
            </w:tcMar>
            <w:shd w:fill="F2F2F2"/>
          </w:tcPr>
          <w:p>
            <w:pPr>
              <w:spacing w:after="0"/>
            </w:pPr>
            <w:r>
              <w:rPr>
                <w:sz w:val="16"/>
              </w:rPr>
              <w:t>Useful before shifting topics, planning, or ending the contact.</w:t>
            </w:r>
          </w:p>
        </w:tc>
      </w:tr>
      <w:tr>
        <w:trPr>
          <w:cantSplit/>
        </w:trPr>
        <w:tc>
          <w:tcPr>
            <w:tcW w:type="dxa" w:w="1944"/>
            <w:tcMar>
              <w:top w:w="65" w:type="dxa"/>
              <w:start w:w="75" w:type="dxa"/>
              <w:bottom w:w="65" w:type="dxa"/>
              <w:end w:w="75" w:type="dxa"/>
            </w:tcMar>
          </w:tcPr>
          <w:p>
            <w:pPr>
              <w:spacing w:after="0"/>
            </w:pPr>
            <w:r>
              <w:rPr>
                <w:sz w:val="16"/>
              </w:rPr>
              <w:t>Confrontation or discrepancy feedback</w:t>
            </w:r>
          </w:p>
        </w:tc>
        <w:tc>
          <w:tcPr>
            <w:tcW w:type="dxa" w:w="3312"/>
            <w:tcMar>
              <w:top w:w="65" w:type="dxa"/>
              <w:start w:w="75" w:type="dxa"/>
              <w:bottom w:w="65" w:type="dxa"/>
              <w:end w:w="75" w:type="dxa"/>
            </w:tcMar>
          </w:tcPr>
          <w:p>
            <w:pPr>
              <w:spacing w:after="0"/>
            </w:pPr>
            <w:r>
              <w:rPr>
                <w:sz w:val="16"/>
              </w:rPr>
              <w:t>Names an observable inconsistency or mismatch.</w:t>
            </w:r>
          </w:p>
        </w:tc>
        <w:tc>
          <w:tcPr>
            <w:tcW w:type="dxa" w:w="4680"/>
            <w:tcMar>
              <w:top w:w="65" w:type="dxa"/>
              <w:start w:w="75" w:type="dxa"/>
              <w:bottom w:w="65" w:type="dxa"/>
              <w:end w:w="75" w:type="dxa"/>
            </w:tcMar>
          </w:tcPr>
          <w:p>
            <w:pPr>
              <w:spacing w:after="0"/>
            </w:pPr>
            <w:r>
              <w:rPr>
                <w:sz w:val="16"/>
              </w:rPr>
              <w:t>Use only after sufficient alliance and evidence; remain specific and nonshaming.</w:t>
            </w:r>
          </w:p>
        </w:tc>
      </w:tr>
    </w:tbl>
    <w:p>
      <w:pPr>
        <w:spacing w:after="0" w:before="0" w:line="240" w:lineRule="auto"/>
      </w:pPr>
      <w:r>
        <w:rPr>
          <w:sz w:val="8"/>
        </w:rPr>
      </w:r>
    </w:p>
    <w:tbl>
      <w:tblPr>
        <w:tblW w:type="auto" w:w="0"/>
        <w:jc w:val="center"/>
        <w:tblLayout w:type="fixed"/>
        <w:tblLook w:firstColumn="1" w:firstRow="1" w:lastColumn="0" w:lastRow="0" w:noHBand="0" w:noVBand="1" w:val="04A0"/>
      </w:tblPr>
      <w:tblGrid>
        <w:gridCol w:w="9936"/>
      </w:tblGrid>
      <w:tr>
        <w:trPr>
          <w:cantSplit/>
        </w:trPr>
        <w:tc>
          <w:tcPr>
            <w:tcW w:type="dxa" w:w="10080"/>
            <w:shd w:fill="EAF4F8"/>
            <w:tcMar>
              <w:top w:w="100" w:type="dxa"/>
              <w:start w:w="120" w:type="dxa"/>
              <w:bottom w:w="100" w:type="dxa"/>
              <w:end w:w="120" w:type="dxa"/>
            </w:tcMar>
          </w:tcPr>
          <w:p>
            <w:pPr>
              <w:spacing w:after="40"/>
            </w:pPr>
            <w:r>
              <w:rPr>
                <w:b/>
                <w:color w:val="1F4E78"/>
                <w:sz w:val="17"/>
              </w:rPr>
              <w:t>SENSITIVE INQUIRY</w:t>
            </w:r>
          </w:p>
          <w:p>
            <w:pPr>
              <w:spacing w:after="0"/>
            </w:pPr>
            <w:r>
              <w:rPr>
                <w:sz w:val="18"/>
              </w:rPr>
              <w:t>Explain why the information is relevant, ask in neutral behavioral terms, monitor distress or dissociation, gather only the detail needed, and summarize the next step.</w:t>
            </w:r>
          </w:p>
        </w:tc>
      </w:tr>
    </w:tbl>
    <w:p>
      <w:pPr>
        <w:spacing w:after="0" w:before="0" w:line="240" w:lineRule="auto"/>
      </w:pPr>
      <w:r>
        <w:rPr>
          <w:sz w:val="6"/>
        </w:rPr>
      </w:r>
    </w:p>
    <w:p>
      <w:pPr>
        <w:pStyle w:val="Heading1"/>
        <w:keepNext/>
        <w:keepLines/>
        <w:pageBreakBefore w:val="0"/>
      </w:pPr>
      <w:r>
        <w:t>5. Presenting Problem, Goals, Motivation, and Prior Therapy</w:t>
      </w:r>
    </w:p>
    <w:p>
      <w:pPr>
        <w:spacing w:after="100"/>
      </w:pPr>
      <w:r>
        <w:t>One event can carry several meanings. A partner may describe “avoidance,” another may describe “protection from criticism,” and a referral source may describe “noncompliance.” The therapist explores the behavior, sequence, meaning, function, and consequences before deciding which formulation is best supported.</w:t>
      </w:r>
    </w:p>
    <w:p>
      <w:pPr>
        <w:pStyle w:val="ListBullet"/>
        <w:keepNext w:val="0"/>
        <w:keepLines/>
        <w:pageBreakBefore w:val="0"/>
        <w:spacing w:after="40"/>
      </w:pPr>
      <w:r>
        <w:t>Clarify onset, frequency, intensity, duration, triggers, exceptions, and functional impact.</w:t>
      </w:r>
    </w:p>
    <w:p>
      <w:pPr>
        <w:pStyle w:val="ListBullet"/>
        <w:keepNext w:val="0"/>
        <w:keepLines/>
        <w:pageBreakBefore w:val="0"/>
        <w:spacing w:after="40"/>
      </w:pPr>
      <w:r>
        <w:t>Ask what each person wants to change and what would count as improvement.</w:t>
      </w:r>
    </w:p>
    <w:p>
      <w:pPr>
        <w:pStyle w:val="ListBullet"/>
        <w:keepNext w:val="0"/>
        <w:keepLines/>
        <w:pageBreakBefore w:val="0"/>
        <w:spacing w:after="40"/>
      </w:pPr>
      <w:r>
        <w:t>Assess readiness as situation-specific rather than a fixed trait.</w:t>
      </w:r>
    </w:p>
    <w:p>
      <w:pPr>
        <w:pStyle w:val="ListBullet"/>
        <w:keepNext w:val="0"/>
        <w:keepLines/>
        <w:pageBreakBefore w:val="0"/>
        <w:spacing w:after="40"/>
      </w:pPr>
      <w:r>
        <w:t>Explore previous therapy, helpful and unhelpful experiences, reasons for ending, and expectations for the current work.</w:t>
      </w:r>
    </w:p>
    <w:p>
      <w:pPr>
        <w:pStyle w:val="ListBullet"/>
        <w:keepNext w:val="0"/>
        <w:keepLines/>
        <w:pageBreakBefore w:val="0"/>
        <w:spacing w:after="40"/>
      </w:pPr>
      <w:r>
        <w:t>Distinguish reluctance, fear, access barriers, and disagreement from lack of motivation.</w:t>
      </w:r>
    </w:p>
    <w:p>
      <w:pPr>
        <w:pStyle w:val="Heading1"/>
        <w:keepNext/>
        <w:keepLines/>
        <w:pageBreakBefore w:val="0"/>
      </w:pPr>
      <w:r>
        <w:t>6. Organize the Intake Without Turning It Into a Checklist</w:t>
      </w:r>
    </w:p>
    <w:p>
      <w:pPr>
        <w:spacing w:after="100"/>
      </w:pPr>
      <w:r>
        <w:t>A useful intake gathers enough information to formulate the problem safely and collaboratively. The therapist connects facts to functioning, relationships, context, and next-step decisions.</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360"/>
        <w:gridCol w:w="3360"/>
        <w:gridCol w:w="3360"/>
      </w:tblGrid>
      <w:tr>
        <w:trPr>
          <w:tblHeader w:val="true"/>
          <w:cantSplit/>
        </w:trPr>
        <w:tc>
          <w:tcPr>
            <w:tcW w:type="dxa" w:w="2088"/>
            <w:shd w:fill="17365D"/>
            <w:tcMar>
              <w:top w:w="75" w:type="dxa"/>
              <w:start w:w="80" w:type="dxa"/>
              <w:bottom w:w="75" w:type="dxa"/>
              <w:end w:w="80" w:type="dxa"/>
            </w:tcMar>
          </w:tcPr>
          <w:p>
            <w:pPr>
              <w:jc w:val="left"/>
            </w:pPr>
            <w:r>
              <w:rPr>
                <w:b/>
                <w:color w:val="FFFFFF"/>
                <w:sz w:val="15"/>
              </w:rPr>
              <w:t>Assessment Area</w:t>
            </w:r>
          </w:p>
        </w:tc>
        <w:tc>
          <w:tcPr>
            <w:tcW w:type="dxa" w:w="4320"/>
            <w:shd w:fill="17365D"/>
            <w:tcMar>
              <w:top w:w="75" w:type="dxa"/>
              <w:start w:w="80" w:type="dxa"/>
              <w:bottom w:w="75" w:type="dxa"/>
              <w:end w:w="80" w:type="dxa"/>
            </w:tcMar>
          </w:tcPr>
          <w:p>
            <w:pPr>
              <w:jc w:val="left"/>
            </w:pPr>
            <w:r>
              <w:rPr>
                <w:b/>
                <w:color w:val="FFFFFF"/>
                <w:sz w:val="15"/>
              </w:rPr>
              <w:t>Decision-Relevant Questions</w:t>
            </w:r>
          </w:p>
        </w:tc>
        <w:tc>
          <w:tcPr>
            <w:tcW w:type="dxa" w:w="3528"/>
            <w:shd w:fill="17365D"/>
            <w:tcMar>
              <w:top w:w="75" w:type="dxa"/>
              <w:start w:w="80" w:type="dxa"/>
              <w:bottom w:w="75" w:type="dxa"/>
              <w:end w:w="80" w:type="dxa"/>
            </w:tcMar>
          </w:tcPr>
          <w:p>
            <w:pPr>
              <w:jc w:val="left"/>
            </w:pPr>
            <w:r>
              <w:rPr>
                <w:b/>
                <w:color w:val="FFFFFF"/>
                <w:sz w:val="15"/>
              </w:rPr>
              <w:t>Systemic Add-On</w:t>
            </w:r>
          </w:p>
        </w:tc>
      </w:tr>
      <w:tr>
        <w:trPr>
          <w:cantSplit/>
        </w:trPr>
        <w:tc>
          <w:tcPr>
            <w:tcW w:type="dxa" w:w="2088"/>
            <w:tcMar>
              <w:top w:w="65" w:type="dxa"/>
              <w:start w:w="75" w:type="dxa"/>
              <w:bottom w:w="65" w:type="dxa"/>
              <w:end w:w="75" w:type="dxa"/>
            </w:tcMar>
          </w:tcPr>
          <w:p>
            <w:pPr>
              <w:spacing w:after="0"/>
            </w:pPr>
            <w:r>
              <w:rPr>
                <w:sz w:val="15"/>
              </w:rPr>
              <w:t>Presenting concern</w:t>
            </w:r>
          </w:p>
        </w:tc>
        <w:tc>
          <w:tcPr>
            <w:tcW w:type="dxa" w:w="4320"/>
            <w:tcMar>
              <w:top w:w="65" w:type="dxa"/>
              <w:start w:w="75" w:type="dxa"/>
              <w:bottom w:w="65" w:type="dxa"/>
              <w:end w:w="75" w:type="dxa"/>
            </w:tcMar>
          </w:tcPr>
          <w:p>
            <w:pPr>
              <w:spacing w:after="0"/>
            </w:pPr>
            <w:r>
              <w:rPr>
                <w:sz w:val="15"/>
              </w:rPr>
              <w:t>What changed, when, how often, and with what impact?</w:t>
            </w:r>
          </w:p>
        </w:tc>
        <w:tc>
          <w:tcPr>
            <w:tcW w:type="dxa" w:w="3528"/>
            <w:tcMar>
              <w:top w:w="65" w:type="dxa"/>
              <w:start w:w="75" w:type="dxa"/>
              <w:bottom w:w="65" w:type="dxa"/>
              <w:end w:w="75" w:type="dxa"/>
            </w:tcMar>
          </w:tcPr>
          <w:p>
            <w:pPr>
              <w:spacing w:after="0"/>
            </w:pPr>
            <w:r>
              <w:rPr>
                <w:sz w:val="15"/>
              </w:rPr>
              <w:t>How do others respond, and what pattern is maintained?</w:t>
            </w:r>
          </w:p>
        </w:tc>
      </w:tr>
      <w:tr>
        <w:trPr>
          <w:cantSplit/>
        </w:trPr>
        <w:tc>
          <w:tcPr>
            <w:tcW w:type="dxa" w:w="2088"/>
            <w:tcMar>
              <w:top w:w="65" w:type="dxa"/>
              <w:start w:w="75" w:type="dxa"/>
              <w:bottom w:w="65" w:type="dxa"/>
              <w:end w:w="75" w:type="dxa"/>
            </w:tcMar>
            <w:shd w:fill="F2F2F2"/>
          </w:tcPr>
          <w:p>
            <w:pPr>
              <w:spacing w:after="0"/>
            </w:pPr>
            <w:r>
              <w:rPr>
                <w:sz w:val="15"/>
              </w:rPr>
              <w:t>Development and history</w:t>
            </w:r>
          </w:p>
        </w:tc>
        <w:tc>
          <w:tcPr>
            <w:tcW w:type="dxa" w:w="4320"/>
            <w:tcMar>
              <w:top w:w="65" w:type="dxa"/>
              <w:start w:w="75" w:type="dxa"/>
              <w:bottom w:w="65" w:type="dxa"/>
              <w:end w:w="75" w:type="dxa"/>
            </w:tcMar>
            <w:shd w:fill="F2F2F2"/>
          </w:tcPr>
          <w:p>
            <w:pPr>
              <w:spacing w:after="0"/>
            </w:pPr>
            <w:r>
              <w:rPr>
                <w:sz w:val="15"/>
              </w:rPr>
              <w:t>Milestones, losses, trauma, education, work, health, prior services.</w:t>
            </w:r>
          </w:p>
        </w:tc>
        <w:tc>
          <w:tcPr>
            <w:tcW w:type="dxa" w:w="3528"/>
            <w:tcMar>
              <w:top w:w="65" w:type="dxa"/>
              <w:start w:w="75" w:type="dxa"/>
              <w:bottom w:w="65" w:type="dxa"/>
              <w:end w:w="75" w:type="dxa"/>
            </w:tcMar>
            <w:shd w:fill="F2F2F2"/>
          </w:tcPr>
          <w:p>
            <w:pPr>
              <w:spacing w:after="0"/>
            </w:pPr>
            <w:r>
              <w:rPr>
                <w:sz w:val="15"/>
              </w:rPr>
              <w:t>Family life cycle, transitions, roles, rules, and intergenerational patterns.</w:t>
            </w:r>
          </w:p>
        </w:tc>
      </w:tr>
      <w:tr>
        <w:trPr>
          <w:cantSplit/>
        </w:trPr>
        <w:tc>
          <w:tcPr>
            <w:tcW w:type="dxa" w:w="2088"/>
            <w:tcMar>
              <w:top w:w="65" w:type="dxa"/>
              <w:start w:w="75" w:type="dxa"/>
              <w:bottom w:w="65" w:type="dxa"/>
              <w:end w:w="75" w:type="dxa"/>
            </w:tcMar>
          </w:tcPr>
          <w:p>
            <w:pPr>
              <w:spacing w:after="0"/>
            </w:pPr>
            <w:r>
              <w:rPr>
                <w:sz w:val="15"/>
              </w:rPr>
              <w:t>Relationships and supports</w:t>
            </w:r>
          </w:p>
        </w:tc>
        <w:tc>
          <w:tcPr>
            <w:tcW w:type="dxa" w:w="4320"/>
            <w:tcMar>
              <w:top w:w="65" w:type="dxa"/>
              <w:start w:w="75" w:type="dxa"/>
              <w:bottom w:w="65" w:type="dxa"/>
              <w:end w:w="75" w:type="dxa"/>
            </w:tcMar>
          </w:tcPr>
          <w:p>
            <w:pPr>
              <w:spacing w:after="0"/>
            </w:pPr>
            <w:r>
              <w:rPr>
                <w:sz w:val="15"/>
              </w:rPr>
              <w:t>Attachment, intimacy, parenting, conflict, caregiving, isolation.</w:t>
            </w:r>
          </w:p>
        </w:tc>
        <w:tc>
          <w:tcPr>
            <w:tcW w:type="dxa" w:w="3528"/>
            <w:tcMar>
              <w:top w:w="65" w:type="dxa"/>
              <w:start w:w="75" w:type="dxa"/>
              <w:bottom w:w="65" w:type="dxa"/>
              <w:end w:w="75" w:type="dxa"/>
            </w:tcMar>
          </w:tcPr>
          <w:p>
            <w:pPr>
              <w:spacing w:after="0"/>
            </w:pPr>
            <w:r>
              <w:rPr>
                <w:sz w:val="15"/>
              </w:rPr>
              <w:t>Coalitions, boundaries, hierarchy, reciprocity, and support availability.</w:t>
            </w:r>
          </w:p>
        </w:tc>
      </w:tr>
      <w:tr>
        <w:trPr>
          <w:cantSplit/>
        </w:trPr>
        <w:tc>
          <w:tcPr>
            <w:tcW w:type="dxa" w:w="2088"/>
            <w:tcMar>
              <w:top w:w="65" w:type="dxa"/>
              <w:start w:w="75" w:type="dxa"/>
              <w:bottom w:w="65" w:type="dxa"/>
              <w:end w:w="75" w:type="dxa"/>
            </w:tcMar>
            <w:shd w:fill="F2F2F2"/>
          </w:tcPr>
          <w:p>
            <w:pPr>
              <w:spacing w:after="0"/>
            </w:pPr>
            <w:r>
              <w:rPr>
                <w:sz w:val="15"/>
              </w:rPr>
              <w:t>Culture and context</w:t>
            </w:r>
          </w:p>
        </w:tc>
        <w:tc>
          <w:tcPr>
            <w:tcW w:type="dxa" w:w="4320"/>
            <w:tcMar>
              <w:top w:w="65" w:type="dxa"/>
              <w:start w:w="75" w:type="dxa"/>
              <w:bottom w:w="65" w:type="dxa"/>
              <w:end w:w="75" w:type="dxa"/>
            </w:tcMar>
            <w:shd w:fill="F2F2F2"/>
          </w:tcPr>
          <w:p>
            <w:pPr>
              <w:spacing w:after="0"/>
            </w:pPr>
            <w:r>
              <w:rPr>
                <w:sz w:val="15"/>
              </w:rPr>
              <w:t>Identity, spirituality, language, discrimination, housing, finances, access.</w:t>
            </w:r>
          </w:p>
        </w:tc>
        <w:tc>
          <w:tcPr>
            <w:tcW w:type="dxa" w:w="3528"/>
            <w:tcMar>
              <w:top w:w="65" w:type="dxa"/>
              <w:start w:w="75" w:type="dxa"/>
              <w:bottom w:w="65" w:type="dxa"/>
              <w:end w:w="75" w:type="dxa"/>
            </w:tcMar>
            <w:shd w:fill="F2F2F2"/>
          </w:tcPr>
          <w:p>
            <w:pPr>
              <w:spacing w:after="0"/>
            </w:pPr>
            <w:r>
              <w:rPr>
                <w:sz w:val="15"/>
              </w:rPr>
              <w:t>How context shapes meaning, expectations, power, and treatment fit.</w:t>
            </w:r>
          </w:p>
        </w:tc>
      </w:tr>
      <w:tr>
        <w:trPr>
          <w:cantSplit/>
        </w:trPr>
        <w:tc>
          <w:tcPr>
            <w:tcW w:type="dxa" w:w="2088"/>
            <w:tcMar>
              <w:top w:w="65" w:type="dxa"/>
              <w:start w:w="75" w:type="dxa"/>
              <w:bottom w:w="65" w:type="dxa"/>
              <w:end w:w="75" w:type="dxa"/>
            </w:tcMar>
          </w:tcPr>
          <w:p>
            <w:pPr>
              <w:spacing w:after="0"/>
            </w:pPr>
            <w:r>
              <w:rPr>
                <w:sz w:val="15"/>
              </w:rPr>
              <w:t>Strengths and coping</w:t>
            </w:r>
          </w:p>
        </w:tc>
        <w:tc>
          <w:tcPr>
            <w:tcW w:type="dxa" w:w="4320"/>
            <w:tcMar>
              <w:top w:w="65" w:type="dxa"/>
              <w:start w:w="75" w:type="dxa"/>
              <w:bottom w:w="65" w:type="dxa"/>
              <w:end w:w="75" w:type="dxa"/>
            </w:tcMar>
          </w:tcPr>
          <w:p>
            <w:pPr>
              <w:spacing w:after="0"/>
            </w:pPr>
            <w:r>
              <w:rPr>
                <w:sz w:val="15"/>
              </w:rPr>
              <w:t>What has helped, who is supportive, what remains functional?</w:t>
            </w:r>
          </w:p>
        </w:tc>
        <w:tc>
          <w:tcPr>
            <w:tcW w:type="dxa" w:w="3528"/>
            <w:tcMar>
              <w:top w:w="65" w:type="dxa"/>
              <w:start w:w="75" w:type="dxa"/>
              <w:bottom w:w="65" w:type="dxa"/>
              <w:end w:w="75" w:type="dxa"/>
            </w:tcMar>
          </w:tcPr>
          <w:p>
            <w:pPr>
              <w:spacing w:after="0"/>
            </w:pPr>
            <w:r>
              <w:rPr>
                <w:sz w:val="15"/>
              </w:rPr>
              <w:t>Protective relationships, flexible patterns, and prior successful adaptation.</w:t>
            </w:r>
          </w:p>
        </w:tc>
      </w:tr>
      <w:tr>
        <w:trPr>
          <w:cantSplit/>
        </w:trPr>
        <w:tc>
          <w:tcPr>
            <w:tcW w:type="dxa" w:w="2088"/>
            <w:tcMar>
              <w:top w:w="65" w:type="dxa"/>
              <w:start w:w="75" w:type="dxa"/>
              <w:bottom w:w="65" w:type="dxa"/>
              <w:end w:w="75" w:type="dxa"/>
            </w:tcMar>
            <w:shd w:fill="F2F2F2"/>
          </w:tcPr>
          <w:p>
            <w:pPr>
              <w:spacing w:after="0"/>
            </w:pPr>
            <w:r>
              <w:rPr>
                <w:sz w:val="15"/>
              </w:rPr>
              <w:t>Safety and urgency</w:t>
            </w:r>
          </w:p>
        </w:tc>
        <w:tc>
          <w:tcPr>
            <w:tcW w:type="dxa" w:w="4320"/>
            <w:tcMar>
              <w:top w:w="65" w:type="dxa"/>
              <w:start w:w="75" w:type="dxa"/>
              <w:bottom w:w="65" w:type="dxa"/>
              <w:end w:w="75" w:type="dxa"/>
            </w:tcMar>
            <w:shd w:fill="F2F2F2"/>
          </w:tcPr>
          <w:p>
            <w:pPr>
              <w:spacing w:after="0"/>
            </w:pPr>
            <w:r>
              <w:rPr>
                <w:sz w:val="15"/>
              </w:rPr>
              <w:t>Self-harm, harm to others, abuse, intoxication, medical instability.</w:t>
            </w:r>
          </w:p>
        </w:tc>
        <w:tc>
          <w:tcPr>
            <w:tcW w:type="dxa" w:w="3528"/>
            <w:tcMar>
              <w:top w:w="65" w:type="dxa"/>
              <w:start w:w="75" w:type="dxa"/>
              <w:bottom w:w="65" w:type="dxa"/>
              <w:end w:w="75" w:type="dxa"/>
            </w:tcMar>
            <w:shd w:fill="F2F2F2"/>
          </w:tcPr>
          <w:p>
            <w:pPr>
              <w:spacing w:after="0"/>
            </w:pPr>
            <w:r>
              <w:rPr>
                <w:sz w:val="15"/>
              </w:rPr>
              <w:t>Effects on partners, children, dependent adults, driving, weapons, and caregiving.</w:t>
            </w:r>
          </w:p>
        </w:tc>
      </w:tr>
    </w:tbl>
    <w:p>
      <w:pPr>
        <w:spacing w:after="0" w:before="0" w:line="240" w:lineRule="auto"/>
      </w:pPr>
      <w:r>
        <w:rPr>
          <w:sz w:val="8"/>
        </w:rPr>
      </w:r>
    </w:p>
    <w:p>
      <w:pPr>
        <w:pStyle w:val="Heading1"/>
        <w:keepNext/>
        <w:keepLines/>
        <w:pageBreakBefore w:val="0"/>
      </w:pPr>
      <w:r>
        <w:t>7. Mental Status Examination: A Current Clinical Snapshot</w:t>
      </w:r>
    </w:p>
    <w:p>
      <w:pPr>
        <w:spacing w:after="100"/>
      </w:pPr>
      <w:r>
        <w:t>The mental status examination organizes what the therapist observes and what the client reports during the current contact. It does not replace history, collateral information, medical evaluation, or diagnosis. Describe findings behaviorally and compare them with the client’s baseline.</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360"/>
        <w:gridCol w:w="3360"/>
        <w:gridCol w:w="3360"/>
      </w:tblGrid>
      <w:tr>
        <w:trPr>
          <w:tblHeader w:val="true"/>
          <w:cantSplit/>
        </w:trPr>
        <w:tc>
          <w:tcPr>
            <w:tcW w:type="dxa" w:w="2088"/>
            <w:shd w:fill="17365D"/>
            <w:tcMar>
              <w:top w:w="75" w:type="dxa"/>
              <w:start w:w="80" w:type="dxa"/>
              <w:bottom w:w="75" w:type="dxa"/>
              <w:end w:w="80" w:type="dxa"/>
            </w:tcMar>
          </w:tcPr>
          <w:p>
            <w:pPr>
              <w:jc w:val="left"/>
            </w:pPr>
            <w:r>
              <w:rPr>
                <w:b/>
                <w:color w:val="FFFFFF"/>
                <w:sz w:val="15"/>
              </w:rPr>
              <w:t>Domain</w:t>
            </w:r>
          </w:p>
        </w:tc>
        <w:tc>
          <w:tcPr>
            <w:tcW w:type="dxa" w:w="4320"/>
            <w:shd w:fill="17365D"/>
            <w:tcMar>
              <w:top w:w="75" w:type="dxa"/>
              <w:start w:w="80" w:type="dxa"/>
              <w:bottom w:w="75" w:type="dxa"/>
              <w:end w:w="80" w:type="dxa"/>
            </w:tcMar>
          </w:tcPr>
          <w:p>
            <w:pPr>
              <w:jc w:val="left"/>
            </w:pPr>
            <w:r>
              <w:rPr>
                <w:b/>
                <w:color w:val="FFFFFF"/>
                <w:sz w:val="15"/>
              </w:rPr>
              <w:t>What to Assess</w:t>
            </w:r>
          </w:p>
        </w:tc>
        <w:tc>
          <w:tcPr>
            <w:tcW w:type="dxa" w:w="3528"/>
            <w:shd w:fill="17365D"/>
            <w:tcMar>
              <w:top w:w="75" w:type="dxa"/>
              <w:start w:w="80" w:type="dxa"/>
              <w:bottom w:w="75" w:type="dxa"/>
              <w:end w:w="80" w:type="dxa"/>
            </w:tcMar>
          </w:tcPr>
          <w:p>
            <w:pPr>
              <w:jc w:val="left"/>
            </w:pPr>
            <w:r>
              <w:rPr>
                <w:b/>
                <w:color w:val="FFFFFF"/>
                <w:sz w:val="15"/>
              </w:rPr>
              <w:t>Exam Caution</w:t>
            </w:r>
          </w:p>
        </w:tc>
      </w:tr>
      <w:tr>
        <w:trPr>
          <w:cantSplit/>
        </w:trPr>
        <w:tc>
          <w:tcPr>
            <w:tcW w:type="dxa" w:w="2088"/>
            <w:tcMar>
              <w:top w:w="65" w:type="dxa"/>
              <w:start w:w="75" w:type="dxa"/>
              <w:bottom w:w="65" w:type="dxa"/>
              <w:end w:w="75" w:type="dxa"/>
            </w:tcMar>
          </w:tcPr>
          <w:p>
            <w:pPr>
              <w:spacing w:after="0"/>
            </w:pPr>
            <w:r>
              <w:rPr>
                <w:sz w:val="15"/>
              </w:rPr>
              <w:t>Appearance and behavior</w:t>
            </w:r>
          </w:p>
        </w:tc>
        <w:tc>
          <w:tcPr>
            <w:tcW w:type="dxa" w:w="4320"/>
            <w:tcMar>
              <w:top w:w="65" w:type="dxa"/>
              <w:start w:w="75" w:type="dxa"/>
              <w:bottom w:w="65" w:type="dxa"/>
              <w:end w:w="75" w:type="dxa"/>
            </w:tcMar>
          </w:tcPr>
          <w:p>
            <w:pPr>
              <w:spacing w:after="0"/>
            </w:pPr>
            <w:r>
              <w:rPr>
                <w:sz w:val="15"/>
              </w:rPr>
              <w:t>Grooming, clothing, eye contact, posture, movement, engagement, unusual behavior.</w:t>
            </w:r>
          </w:p>
        </w:tc>
        <w:tc>
          <w:tcPr>
            <w:tcW w:type="dxa" w:w="3528"/>
            <w:tcMar>
              <w:top w:w="65" w:type="dxa"/>
              <w:start w:w="75" w:type="dxa"/>
              <w:bottom w:w="65" w:type="dxa"/>
              <w:end w:w="75" w:type="dxa"/>
            </w:tcMar>
          </w:tcPr>
          <w:p>
            <w:pPr>
              <w:spacing w:after="0"/>
            </w:pPr>
            <w:r>
              <w:rPr>
                <w:sz w:val="15"/>
              </w:rPr>
              <w:t>Describe what is observed; avoid labels such as “bizarre” without behavioral detail.</w:t>
            </w:r>
          </w:p>
        </w:tc>
      </w:tr>
      <w:tr>
        <w:trPr>
          <w:cantSplit/>
        </w:trPr>
        <w:tc>
          <w:tcPr>
            <w:tcW w:type="dxa" w:w="2088"/>
            <w:tcMar>
              <w:top w:w="65" w:type="dxa"/>
              <w:start w:w="75" w:type="dxa"/>
              <w:bottom w:w="65" w:type="dxa"/>
              <w:end w:w="75" w:type="dxa"/>
            </w:tcMar>
            <w:shd w:fill="F2F2F2"/>
          </w:tcPr>
          <w:p>
            <w:pPr>
              <w:spacing w:after="0"/>
            </w:pPr>
            <w:r>
              <w:rPr>
                <w:sz w:val="15"/>
              </w:rPr>
              <w:t>Consciousness and orientation</w:t>
            </w:r>
          </w:p>
        </w:tc>
        <w:tc>
          <w:tcPr>
            <w:tcW w:type="dxa" w:w="4320"/>
            <w:tcMar>
              <w:top w:w="65" w:type="dxa"/>
              <w:start w:w="75" w:type="dxa"/>
              <w:bottom w:w="65" w:type="dxa"/>
              <w:end w:w="75" w:type="dxa"/>
            </w:tcMar>
            <w:shd w:fill="F2F2F2"/>
          </w:tcPr>
          <w:p>
            <w:pPr>
              <w:spacing w:after="0"/>
            </w:pPr>
            <w:r>
              <w:rPr>
                <w:sz w:val="15"/>
              </w:rPr>
              <w:t>Alertness; orientation to person, place, time, and situation.</w:t>
            </w:r>
          </w:p>
        </w:tc>
        <w:tc>
          <w:tcPr>
            <w:tcW w:type="dxa" w:w="3528"/>
            <w:tcMar>
              <w:top w:w="65" w:type="dxa"/>
              <w:start w:w="75" w:type="dxa"/>
              <w:bottom w:w="65" w:type="dxa"/>
              <w:end w:w="75" w:type="dxa"/>
            </w:tcMar>
            <w:shd w:fill="F2F2F2"/>
          </w:tcPr>
          <w:p>
            <w:pPr>
              <w:spacing w:after="0"/>
            </w:pPr>
            <w:r>
              <w:rPr>
                <w:sz w:val="15"/>
              </w:rPr>
              <w:t>Sudden or fluctuating change can indicate urgent medical or substance-related factors.</w:t>
            </w:r>
          </w:p>
        </w:tc>
      </w:tr>
      <w:tr>
        <w:trPr>
          <w:cantSplit/>
        </w:trPr>
        <w:tc>
          <w:tcPr>
            <w:tcW w:type="dxa" w:w="2088"/>
            <w:tcMar>
              <w:top w:w="65" w:type="dxa"/>
              <w:start w:w="75" w:type="dxa"/>
              <w:bottom w:w="65" w:type="dxa"/>
              <w:end w:w="75" w:type="dxa"/>
            </w:tcMar>
          </w:tcPr>
          <w:p>
            <w:pPr>
              <w:spacing w:after="0"/>
            </w:pPr>
            <w:r>
              <w:rPr>
                <w:sz w:val="15"/>
              </w:rPr>
              <w:t>Speech</w:t>
            </w:r>
          </w:p>
        </w:tc>
        <w:tc>
          <w:tcPr>
            <w:tcW w:type="dxa" w:w="4320"/>
            <w:tcMar>
              <w:top w:w="65" w:type="dxa"/>
              <w:start w:w="75" w:type="dxa"/>
              <w:bottom w:w="65" w:type="dxa"/>
              <w:end w:w="75" w:type="dxa"/>
            </w:tcMar>
          </w:tcPr>
          <w:p>
            <w:pPr>
              <w:spacing w:after="0"/>
            </w:pPr>
            <w:r>
              <w:rPr>
                <w:sz w:val="15"/>
              </w:rPr>
              <w:t>Rate, volume, fluency, latency, articulation, pressure, mutism.</w:t>
            </w:r>
          </w:p>
        </w:tc>
        <w:tc>
          <w:tcPr>
            <w:tcW w:type="dxa" w:w="3528"/>
            <w:tcMar>
              <w:top w:w="65" w:type="dxa"/>
              <w:start w:w="75" w:type="dxa"/>
              <w:bottom w:w="65" w:type="dxa"/>
              <w:end w:w="75" w:type="dxa"/>
            </w:tcMar>
          </w:tcPr>
          <w:p>
            <w:pPr>
              <w:spacing w:after="0"/>
            </w:pPr>
            <w:r>
              <w:rPr>
                <w:sz w:val="15"/>
              </w:rPr>
              <w:t>Speech findings are data, not a diagnosis by themselves.</w:t>
            </w:r>
          </w:p>
        </w:tc>
      </w:tr>
      <w:tr>
        <w:trPr>
          <w:cantSplit/>
        </w:trPr>
        <w:tc>
          <w:tcPr>
            <w:tcW w:type="dxa" w:w="2088"/>
            <w:tcMar>
              <w:top w:w="65" w:type="dxa"/>
              <w:start w:w="75" w:type="dxa"/>
              <w:bottom w:w="65" w:type="dxa"/>
              <w:end w:w="75" w:type="dxa"/>
            </w:tcMar>
            <w:shd w:fill="F2F2F2"/>
          </w:tcPr>
          <w:p>
            <w:pPr>
              <w:spacing w:after="0"/>
            </w:pPr>
            <w:r>
              <w:rPr>
                <w:sz w:val="15"/>
              </w:rPr>
              <w:t>Mood and affect</w:t>
            </w:r>
          </w:p>
        </w:tc>
        <w:tc>
          <w:tcPr>
            <w:tcW w:type="dxa" w:w="4320"/>
            <w:tcMar>
              <w:top w:w="65" w:type="dxa"/>
              <w:start w:w="75" w:type="dxa"/>
              <w:bottom w:w="65" w:type="dxa"/>
              <w:end w:w="75" w:type="dxa"/>
            </w:tcMar>
            <w:shd w:fill="F2F2F2"/>
          </w:tcPr>
          <w:p>
            <w:pPr>
              <w:spacing w:after="0"/>
            </w:pPr>
            <w:r>
              <w:rPr>
                <w:sz w:val="15"/>
              </w:rPr>
              <w:t>Reported emotional state; observed range, intensity, stability, and congruence.</w:t>
            </w:r>
          </w:p>
        </w:tc>
        <w:tc>
          <w:tcPr>
            <w:tcW w:type="dxa" w:w="3528"/>
            <w:tcMar>
              <w:top w:w="65" w:type="dxa"/>
              <w:start w:w="75" w:type="dxa"/>
              <w:bottom w:w="65" w:type="dxa"/>
              <w:end w:w="75" w:type="dxa"/>
            </w:tcMar>
            <w:shd w:fill="F2F2F2"/>
          </w:tcPr>
          <w:p>
            <w:pPr>
              <w:spacing w:after="0"/>
            </w:pPr>
            <w:r>
              <w:rPr>
                <w:sz w:val="15"/>
              </w:rPr>
              <w:t>Mood is reported; affect is observed.</w:t>
            </w:r>
          </w:p>
        </w:tc>
      </w:tr>
      <w:tr>
        <w:trPr>
          <w:cantSplit/>
        </w:trPr>
        <w:tc>
          <w:tcPr>
            <w:tcW w:type="dxa" w:w="2088"/>
            <w:tcMar>
              <w:top w:w="65" w:type="dxa"/>
              <w:start w:w="75" w:type="dxa"/>
              <w:bottom w:w="65" w:type="dxa"/>
              <w:end w:w="75" w:type="dxa"/>
            </w:tcMar>
          </w:tcPr>
          <w:p>
            <w:pPr>
              <w:spacing w:after="0"/>
            </w:pPr>
            <w:r>
              <w:rPr>
                <w:sz w:val="15"/>
              </w:rPr>
              <w:t>Thought process and content</w:t>
            </w:r>
          </w:p>
        </w:tc>
        <w:tc>
          <w:tcPr>
            <w:tcW w:type="dxa" w:w="4320"/>
            <w:tcMar>
              <w:top w:w="65" w:type="dxa"/>
              <w:start w:w="75" w:type="dxa"/>
              <w:bottom w:w="65" w:type="dxa"/>
              <w:end w:w="75" w:type="dxa"/>
            </w:tcMar>
          </w:tcPr>
          <w:p>
            <w:pPr>
              <w:spacing w:after="0"/>
            </w:pPr>
            <w:r>
              <w:rPr>
                <w:sz w:val="15"/>
              </w:rPr>
              <w:t>Organization of ideas; themes such as hopelessness, guilt, obsession, delusion, or suicidal thinking.</w:t>
            </w:r>
          </w:p>
        </w:tc>
        <w:tc>
          <w:tcPr>
            <w:tcW w:type="dxa" w:w="3528"/>
            <w:tcMar>
              <w:top w:w="65" w:type="dxa"/>
              <w:start w:w="75" w:type="dxa"/>
              <w:bottom w:w="65" w:type="dxa"/>
              <w:end w:w="75" w:type="dxa"/>
            </w:tcMar>
          </w:tcPr>
          <w:p>
            <w:pPr>
              <w:spacing w:after="0"/>
            </w:pPr>
            <w:r>
              <w:rPr>
                <w:sz w:val="15"/>
              </w:rPr>
              <w:t>Differentiate how thoughts are organized from what the client believes or reports.</w:t>
            </w:r>
          </w:p>
        </w:tc>
      </w:tr>
      <w:tr>
        <w:trPr>
          <w:cantSplit/>
        </w:trPr>
        <w:tc>
          <w:tcPr>
            <w:tcW w:type="dxa" w:w="2088"/>
            <w:tcMar>
              <w:top w:w="65" w:type="dxa"/>
              <w:start w:w="75" w:type="dxa"/>
              <w:bottom w:w="65" w:type="dxa"/>
              <w:end w:w="75" w:type="dxa"/>
            </w:tcMar>
            <w:shd w:fill="F2F2F2"/>
          </w:tcPr>
          <w:p>
            <w:pPr>
              <w:spacing w:after="0"/>
            </w:pPr>
            <w:r>
              <w:rPr>
                <w:sz w:val="15"/>
              </w:rPr>
              <w:t>Perception</w:t>
            </w:r>
          </w:p>
        </w:tc>
        <w:tc>
          <w:tcPr>
            <w:tcW w:type="dxa" w:w="4320"/>
            <w:tcMar>
              <w:top w:w="65" w:type="dxa"/>
              <w:start w:w="75" w:type="dxa"/>
              <w:bottom w:w="65" w:type="dxa"/>
              <w:end w:w="75" w:type="dxa"/>
            </w:tcMar>
            <w:shd w:fill="F2F2F2"/>
          </w:tcPr>
          <w:p>
            <w:pPr>
              <w:spacing w:after="0"/>
            </w:pPr>
            <w:r>
              <w:rPr>
                <w:sz w:val="15"/>
              </w:rPr>
              <w:t>Hallucinations, illusions, dissociation, depersonalization.</w:t>
            </w:r>
          </w:p>
        </w:tc>
        <w:tc>
          <w:tcPr>
            <w:tcW w:type="dxa" w:w="3528"/>
            <w:tcMar>
              <w:top w:w="65" w:type="dxa"/>
              <w:start w:w="75" w:type="dxa"/>
              <w:bottom w:w="65" w:type="dxa"/>
              <w:end w:w="75" w:type="dxa"/>
            </w:tcMar>
            <w:shd w:fill="F2F2F2"/>
          </w:tcPr>
          <w:p>
            <w:pPr>
              <w:spacing w:after="0"/>
            </w:pPr>
            <w:r>
              <w:rPr>
                <w:sz w:val="15"/>
              </w:rPr>
              <w:t>Clarify context, substances, sleep, culture, trauma, and safety.</w:t>
            </w:r>
          </w:p>
        </w:tc>
      </w:tr>
      <w:tr>
        <w:trPr>
          <w:cantSplit/>
        </w:trPr>
        <w:tc>
          <w:tcPr>
            <w:tcW w:type="dxa" w:w="2088"/>
            <w:tcMar>
              <w:top w:w="65" w:type="dxa"/>
              <w:start w:w="75" w:type="dxa"/>
              <w:bottom w:w="65" w:type="dxa"/>
              <w:end w:w="75" w:type="dxa"/>
            </w:tcMar>
          </w:tcPr>
          <w:p>
            <w:pPr>
              <w:spacing w:after="0"/>
            </w:pPr>
            <w:r>
              <w:rPr>
                <w:sz w:val="15"/>
              </w:rPr>
              <w:t>Cognition</w:t>
            </w:r>
          </w:p>
        </w:tc>
        <w:tc>
          <w:tcPr>
            <w:tcW w:type="dxa" w:w="4320"/>
            <w:tcMar>
              <w:top w:w="65" w:type="dxa"/>
              <w:start w:w="75" w:type="dxa"/>
              <w:bottom w:w="65" w:type="dxa"/>
              <w:end w:w="75" w:type="dxa"/>
            </w:tcMar>
          </w:tcPr>
          <w:p>
            <w:pPr>
              <w:spacing w:after="0"/>
            </w:pPr>
            <w:r>
              <w:rPr>
                <w:sz w:val="15"/>
              </w:rPr>
              <w:t>Attention, memory, concentration, language, abstraction, executive functioning.</w:t>
            </w:r>
          </w:p>
        </w:tc>
        <w:tc>
          <w:tcPr>
            <w:tcW w:type="dxa" w:w="3528"/>
            <w:tcMar>
              <w:top w:w="65" w:type="dxa"/>
              <w:start w:w="75" w:type="dxa"/>
              <w:bottom w:w="65" w:type="dxa"/>
              <w:end w:w="75" w:type="dxa"/>
            </w:tcMar>
          </w:tcPr>
          <w:p>
            <w:pPr>
              <w:spacing w:after="0"/>
            </w:pPr>
            <w:r>
              <w:rPr>
                <w:sz w:val="15"/>
              </w:rPr>
              <w:t>Compare with baseline and consider medical, medication, and substance causes.</w:t>
            </w:r>
          </w:p>
        </w:tc>
      </w:tr>
      <w:tr>
        <w:trPr>
          <w:cantSplit/>
        </w:trPr>
        <w:tc>
          <w:tcPr>
            <w:tcW w:type="dxa" w:w="2088"/>
            <w:tcMar>
              <w:top w:w="65" w:type="dxa"/>
              <w:start w:w="75" w:type="dxa"/>
              <w:bottom w:w="65" w:type="dxa"/>
              <w:end w:w="75" w:type="dxa"/>
            </w:tcMar>
            <w:shd w:fill="F2F2F2"/>
          </w:tcPr>
          <w:p>
            <w:pPr>
              <w:spacing w:after="0"/>
            </w:pPr>
            <w:r>
              <w:rPr>
                <w:sz w:val="15"/>
              </w:rPr>
              <w:t>Insight, judgment, impulse control</w:t>
            </w:r>
          </w:p>
        </w:tc>
        <w:tc>
          <w:tcPr>
            <w:tcW w:type="dxa" w:w="4320"/>
            <w:tcMar>
              <w:top w:w="65" w:type="dxa"/>
              <w:start w:w="75" w:type="dxa"/>
              <w:bottom w:w="65" w:type="dxa"/>
              <w:end w:w="75" w:type="dxa"/>
            </w:tcMar>
            <w:shd w:fill="F2F2F2"/>
          </w:tcPr>
          <w:p>
            <w:pPr>
              <w:spacing w:after="0"/>
            </w:pPr>
            <w:r>
              <w:rPr>
                <w:sz w:val="15"/>
              </w:rPr>
              <w:t>Awareness, decision-making, anticipation of consequences, behavioral control.</w:t>
            </w:r>
          </w:p>
        </w:tc>
        <w:tc>
          <w:tcPr>
            <w:tcW w:type="dxa" w:w="3528"/>
            <w:tcMar>
              <w:top w:w="65" w:type="dxa"/>
              <w:start w:w="75" w:type="dxa"/>
              <w:bottom w:w="65" w:type="dxa"/>
              <w:end w:w="75" w:type="dxa"/>
            </w:tcMar>
            <w:shd w:fill="F2F2F2"/>
          </w:tcPr>
          <w:p>
            <w:pPr>
              <w:spacing w:after="0"/>
            </w:pPr>
            <w:r>
              <w:rPr>
                <w:sz w:val="15"/>
              </w:rPr>
              <w:t>Assess in context; do not infer global incapacity from one poor decision.</w:t>
            </w:r>
          </w:p>
        </w:tc>
      </w:tr>
    </w:tbl>
    <w:p>
      <w:pPr>
        <w:spacing w:after="0" w:before="0" w:line="240" w:lineRule="auto"/>
      </w:pPr>
      <w:r>
        <w:rPr>
          <w:sz w:val="8"/>
        </w:rPr>
      </w:r>
    </w:p>
    <w:p>
      <w:pPr>
        <w:pStyle w:val="Heading1"/>
        <w:keepNext/>
        <w:keepLines/>
        <w:pageBreakBefore w:val="0"/>
      </w:pPr>
      <w:r>
        <w:t>8. Baseline, Medical, and Medication Factors</w:t>
      </w:r>
    </w:p>
    <w:p>
      <w:pPr>
        <w:spacing w:after="100"/>
      </w:pPr>
      <w:r>
        <w:t>New changes in cognition, speech, movement, perception, sleep, mood, or functioning may reflect medical illness, neurological conditions, injury, pain, sleep deprivation, medication effects, withdrawal, intoxication, or a primary mental-health condition. Chronology is central.</w:t>
      </w:r>
    </w:p>
    <w:p>
      <w:pPr>
        <w:pStyle w:val="ListBullet"/>
        <w:keepNext w:val="0"/>
        <w:keepLines/>
        <w:pageBreakBefore w:val="0"/>
        <w:spacing w:after="40"/>
      </w:pPr>
      <w:r>
        <w:t>Establish what is new versus typical, and whether onset was sudden, gradual, episodic, or progressive.</w:t>
      </w:r>
    </w:p>
    <w:p>
      <w:pPr>
        <w:pStyle w:val="ListBullet"/>
        <w:keepNext w:val="0"/>
        <w:keepLines/>
        <w:pageBreakBefore w:val="0"/>
        <w:spacing w:after="40"/>
      </w:pPr>
      <w:r>
        <w:t>Ask about recent illness, falls, head injury, pain, dehydration, pregnancy, nutrition, and sleep.</w:t>
      </w:r>
    </w:p>
    <w:p>
      <w:pPr>
        <w:pStyle w:val="ListBullet"/>
        <w:keepNext w:val="0"/>
        <w:keepLines/>
        <w:pageBreakBefore w:val="0"/>
        <w:spacing w:after="40"/>
      </w:pPr>
      <w:r>
        <w:t>Clarify prescription, over-the-counter, supplement, and as-needed medication use, including recent starts, stops, dose changes, missed doses, benefit, and side effects.</w:t>
      </w:r>
    </w:p>
    <w:p>
      <w:pPr>
        <w:pStyle w:val="ListBullet"/>
        <w:keepNext w:val="0"/>
        <w:keepLines/>
        <w:pageBreakBefore w:val="0"/>
        <w:spacing w:after="40"/>
      </w:pPr>
      <w:r>
        <w:t>Assess urgency and encourage prescriber or medical consultation; coordinate with appropriate authorization.</w:t>
      </w:r>
    </w:p>
    <w:p>
      <w:pPr>
        <w:pStyle w:val="ListBullet"/>
        <w:keepNext w:val="0"/>
        <w:keepLines/>
        <w:pageBreakBefore w:val="0"/>
        <w:spacing w:after="40"/>
      </w:pPr>
      <w:r>
        <w:t>Do not tell the client to stop, restart, increase, decrease, or substitute medication.</w:t>
      </w:r>
    </w:p>
    <w:tbl>
      <w:tblPr>
        <w:tblW w:type="auto" w:w="0"/>
        <w:jc w:val="center"/>
        <w:tblLayout w:type="fixed"/>
        <w:tblLook w:firstColumn="1" w:firstRow="1" w:lastColumn="0" w:lastRow="0" w:noHBand="0" w:noVBand="1" w:val="04A0"/>
      </w:tblPr>
      <w:tblGrid>
        <w:gridCol w:w="9936"/>
      </w:tblGrid>
      <w:tr>
        <w:trPr>
          <w:cantSplit/>
        </w:trPr>
        <w:tc>
          <w:tcPr>
            <w:tcW w:type="dxa" w:w="10080"/>
            <w:shd w:fill="FFF2CC"/>
            <w:tcMar>
              <w:top w:w="100" w:type="dxa"/>
              <w:start w:w="120" w:type="dxa"/>
              <w:bottom w:w="100" w:type="dxa"/>
              <w:end w:w="120" w:type="dxa"/>
            </w:tcMar>
          </w:tcPr>
          <w:p>
            <w:pPr>
              <w:spacing w:after="40"/>
            </w:pPr>
            <w:r>
              <w:rPr>
                <w:b/>
                <w:color w:val="1F4E78"/>
                <w:sz w:val="17"/>
              </w:rPr>
              <w:t>SCOPE RULE</w:t>
            </w:r>
          </w:p>
          <w:p>
            <w:pPr>
              <w:spacing w:after="0"/>
            </w:pPr>
            <w:r>
              <w:rPr>
                <w:sz w:val="18"/>
              </w:rPr>
              <w:t>Assess, educate within competence, encourage appropriate consultation, coordinate with authorization, and address emergencies. Do not prescribe or direct medication changes.</w:t>
            </w:r>
          </w:p>
        </w:tc>
      </w:tr>
    </w:tbl>
    <w:p>
      <w:pPr>
        <w:spacing w:after="0" w:before="0" w:line="240" w:lineRule="auto"/>
      </w:pPr>
      <w:r>
        <w:rPr>
          <w:sz w:val="6"/>
        </w:rPr>
      </w:r>
    </w:p>
    <w:p>
      <w:pPr>
        <w:pStyle w:val="Heading1"/>
        <w:keepNext/>
        <w:keepLines/>
        <w:pageBreakBefore w:val="0"/>
      </w:pPr>
      <w:r>
        <w:t>9. Substance Use and Addictive Behaviors</w:t>
      </w:r>
    </w:p>
    <w:p>
      <w:pPr>
        <w:spacing w:after="100"/>
      </w:pPr>
      <w:r>
        <w:t>Use direct, neutral, behaviorally specific questions. A label such as “abuse” or “addict” is less useful than information about the substance or behavior, amount, frequency, route, context, consequences, control, tolerance, withdrawal, safety, treatment history, and recovery supports.</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3360"/>
        <w:gridCol w:w="3360"/>
        <w:gridCol w:w="3360"/>
      </w:tblGrid>
      <w:tr>
        <w:trPr>
          <w:tblHeader w:val="true"/>
          <w:cantSplit/>
        </w:trPr>
        <w:tc>
          <w:tcPr>
            <w:tcW w:type="dxa" w:w="1728"/>
            <w:shd w:fill="17365D"/>
            <w:tcMar>
              <w:top w:w="75" w:type="dxa"/>
              <w:start w:w="80" w:type="dxa"/>
              <w:bottom w:w="75" w:type="dxa"/>
              <w:end w:w="80" w:type="dxa"/>
            </w:tcMar>
          </w:tcPr>
          <w:p>
            <w:pPr>
              <w:jc w:val="left"/>
            </w:pPr>
            <w:r>
              <w:rPr>
                <w:b/>
                <w:color w:val="FFFFFF"/>
                <w:sz w:val="15"/>
              </w:rPr>
              <w:t>Assess</w:t>
            </w:r>
          </w:p>
        </w:tc>
        <w:tc>
          <w:tcPr>
            <w:tcW w:type="dxa" w:w="4608"/>
            <w:shd w:fill="17365D"/>
            <w:tcMar>
              <w:top w:w="75" w:type="dxa"/>
              <w:start w:w="80" w:type="dxa"/>
              <w:bottom w:w="75" w:type="dxa"/>
              <w:end w:w="80" w:type="dxa"/>
            </w:tcMar>
          </w:tcPr>
          <w:p>
            <w:pPr>
              <w:jc w:val="left"/>
            </w:pPr>
            <w:r>
              <w:rPr>
                <w:b/>
                <w:color w:val="FFFFFF"/>
                <w:sz w:val="15"/>
              </w:rPr>
              <w:t>Examples</w:t>
            </w:r>
          </w:p>
        </w:tc>
        <w:tc>
          <w:tcPr>
            <w:tcW w:type="dxa" w:w="3600"/>
            <w:shd w:fill="17365D"/>
            <w:tcMar>
              <w:top w:w="75" w:type="dxa"/>
              <w:start w:w="80" w:type="dxa"/>
              <w:bottom w:w="75" w:type="dxa"/>
              <w:end w:w="80" w:type="dxa"/>
            </w:tcMar>
          </w:tcPr>
          <w:p>
            <w:pPr>
              <w:jc w:val="left"/>
            </w:pPr>
            <w:r>
              <w:rPr>
                <w:b/>
                <w:color w:val="FFFFFF"/>
                <w:sz w:val="15"/>
              </w:rPr>
              <w:t>Why It Matters</w:t>
            </w:r>
          </w:p>
        </w:tc>
      </w:tr>
      <w:tr>
        <w:trPr>
          <w:cantSplit/>
        </w:trPr>
        <w:tc>
          <w:tcPr>
            <w:tcW w:type="dxa" w:w="1728"/>
            <w:tcMar>
              <w:top w:w="65" w:type="dxa"/>
              <w:start w:w="75" w:type="dxa"/>
              <w:bottom w:w="65" w:type="dxa"/>
              <w:end w:w="75" w:type="dxa"/>
            </w:tcMar>
          </w:tcPr>
          <w:p>
            <w:pPr>
              <w:spacing w:after="0"/>
            </w:pPr>
            <w:r>
              <w:rPr>
                <w:sz w:val="15"/>
              </w:rPr>
              <w:t>Pattern</w:t>
            </w:r>
          </w:p>
        </w:tc>
        <w:tc>
          <w:tcPr>
            <w:tcW w:type="dxa" w:w="4608"/>
            <w:tcMar>
              <w:top w:w="65" w:type="dxa"/>
              <w:start w:w="75" w:type="dxa"/>
              <w:bottom w:w="65" w:type="dxa"/>
              <w:end w:w="75" w:type="dxa"/>
            </w:tcMar>
          </w:tcPr>
          <w:p>
            <w:pPr>
              <w:spacing w:after="0"/>
            </w:pPr>
            <w:r>
              <w:rPr>
                <w:sz w:val="15"/>
              </w:rPr>
              <w:t>What, how much, how often, route, setting, last use.</w:t>
            </w:r>
          </w:p>
        </w:tc>
        <w:tc>
          <w:tcPr>
            <w:tcW w:type="dxa" w:w="3600"/>
            <w:tcMar>
              <w:top w:w="65" w:type="dxa"/>
              <w:start w:w="75" w:type="dxa"/>
              <w:bottom w:w="65" w:type="dxa"/>
              <w:end w:w="75" w:type="dxa"/>
            </w:tcMar>
          </w:tcPr>
          <w:p>
            <w:pPr>
              <w:spacing w:after="0"/>
            </w:pPr>
            <w:r>
              <w:rPr>
                <w:sz w:val="15"/>
              </w:rPr>
              <w:t>Clarifies exposure, timing, and immediate risk.</w:t>
            </w:r>
          </w:p>
        </w:tc>
      </w:tr>
      <w:tr>
        <w:trPr>
          <w:cantSplit/>
        </w:trPr>
        <w:tc>
          <w:tcPr>
            <w:tcW w:type="dxa" w:w="1728"/>
            <w:tcMar>
              <w:top w:w="65" w:type="dxa"/>
              <w:start w:w="75" w:type="dxa"/>
              <w:bottom w:w="65" w:type="dxa"/>
              <w:end w:w="75" w:type="dxa"/>
            </w:tcMar>
            <w:shd w:fill="F2F2F2"/>
          </w:tcPr>
          <w:p>
            <w:pPr>
              <w:spacing w:after="0"/>
            </w:pPr>
            <w:r>
              <w:rPr>
                <w:sz w:val="15"/>
              </w:rPr>
              <w:t>Function and consequences</w:t>
            </w:r>
          </w:p>
        </w:tc>
        <w:tc>
          <w:tcPr>
            <w:tcW w:type="dxa" w:w="4608"/>
            <w:tcMar>
              <w:top w:w="65" w:type="dxa"/>
              <w:start w:w="75" w:type="dxa"/>
              <w:bottom w:w="65" w:type="dxa"/>
              <w:end w:w="75" w:type="dxa"/>
            </w:tcMar>
            <w:shd w:fill="F2F2F2"/>
          </w:tcPr>
          <w:p>
            <w:pPr>
              <w:spacing w:after="0"/>
            </w:pPr>
            <w:r>
              <w:rPr>
                <w:sz w:val="15"/>
              </w:rPr>
              <w:t>Sleep, work, parenting, finances, conflict, health, legal issues.</w:t>
            </w:r>
          </w:p>
        </w:tc>
        <w:tc>
          <w:tcPr>
            <w:tcW w:type="dxa" w:w="3600"/>
            <w:tcMar>
              <w:top w:w="65" w:type="dxa"/>
              <w:start w:w="75" w:type="dxa"/>
              <w:bottom w:w="65" w:type="dxa"/>
              <w:end w:w="75" w:type="dxa"/>
            </w:tcMar>
            <w:shd w:fill="F2F2F2"/>
          </w:tcPr>
          <w:p>
            <w:pPr>
              <w:spacing w:after="0"/>
            </w:pPr>
            <w:r>
              <w:rPr>
                <w:sz w:val="15"/>
              </w:rPr>
              <w:t>Connects behavior to impairment and relational impact.</w:t>
            </w:r>
          </w:p>
        </w:tc>
      </w:tr>
      <w:tr>
        <w:trPr>
          <w:cantSplit/>
        </w:trPr>
        <w:tc>
          <w:tcPr>
            <w:tcW w:type="dxa" w:w="1728"/>
            <w:tcMar>
              <w:top w:w="65" w:type="dxa"/>
              <w:start w:w="75" w:type="dxa"/>
              <w:bottom w:w="65" w:type="dxa"/>
              <w:end w:w="75" w:type="dxa"/>
            </w:tcMar>
          </w:tcPr>
          <w:p>
            <w:pPr>
              <w:spacing w:after="0"/>
            </w:pPr>
            <w:r>
              <w:rPr>
                <w:sz w:val="15"/>
              </w:rPr>
              <w:t>Control and adaptation</w:t>
            </w:r>
          </w:p>
        </w:tc>
        <w:tc>
          <w:tcPr>
            <w:tcW w:type="dxa" w:w="4608"/>
            <w:tcMar>
              <w:top w:w="65" w:type="dxa"/>
              <w:start w:w="75" w:type="dxa"/>
              <w:bottom w:w="65" w:type="dxa"/>
              <w:end w:w="75" w:type="dxa"/>
            </w:tcMar>
          </w:tcPr>
          <w:p>
            <w:pPr>
              <w:spacing w:after="0"/>
            </w:pPr>
            <w:r>
              <w:rPr>
                <w:sz w:val="15"/>
              </w:rPr>
              <w:t>Craving, unsuccessful efforts to cut down, tolerance, withdrawal.</w:t>
            </w:r>
          </w:p>
        </w:tc>
        <w:tc>
          <w:tcPr>
            <w:tcW w:type="dxa" w:w="3600"/>
            <w:tcMar>
              <w:top w:w="65" w:type="dxa"/>
              <w:start w:w="75" w:type="dxa"/>
              <w:bottom w:w="65" w:type="dxa"/>
              <w:end w:w="75" w:type="dxa"/>
            </w:tcMar>
          </w:tcPr>
          <w:p>
            <w:pPr>
              <w:spacing w:after="0"/>
            </w:pPr>
            <w:r>
              <w:rPr>
                <w:sz w:val="15"/>
              </w:rPr>
              <w:t>Supports further assessment without premature diagnosis.</w:t>
            </w:r>
          </w:p>
        </w:tc>
      </w:tr>
      <w:tr>
        <w:trPr>
          <w:cantSplit/>
        </w:trPr>
        <w:tc>
          <w:tcPr>
            <w:tcW w:type="dxa" w:w="1728"/>
            <w:tcMar>
              <w:top w:w="65" w:type="dxa"/>
              <w:start w:w="75" w:type="dxa"/>
              <w:bottom w:w="65" w:type="dxa"/>
              <w:end w:w="75" w:type="dxa"/>
            </w:tcMar>
            <w:shd w:fill="F2F2F2"/>
          </w:tcPr>
          <w:p>
            <w:pPr>
              <w:spacing w:after="0"/>
            </w:pPr>
            <w:r>
              <w:rPr>
                <w:sz w:val="15"/>
              </w:rPr>
              <w:t>Safety</w:t>
            </w:r>
          </w:p>
        </w:tc>
        <w:tc>
          <w:tcPr>
            <w:tcW w:type="dxa" w:w="4608"/>
            <w:tcMar>
              <w:top w:w="65" w:type="dxa"/>
              <w:start w:w="75" w:type="dxa"/>
              <w:bottom w:w="65" w:type="dxa"/>
              <w:end w:w="75" w:type="dxa"/>
            </w:tcMar>
            <w:shd w:fill="F2F2F2"/>
          </w:tcPr>
          <w:p>
            <w:pPr>
              <w:spacing w:after="0"/>
            </w:pPr>
            <w:r>
              <w:rPr>
                <w:sz w:val="15"/>
              </w:rPr>
              <w:t>Driving, overdose, mixing substances, children, weapons, falls.</w:t>
            </w:r>
          </w:p>
        </w:tc>
        <w:tc>
          <w:tcPr>
            <w:tcW w:type="dxa" w:w="3600"/>
            <w:tcMar>
              <w:top w:w="65" w:type="dxa"/>
              <w:start w:w="75" w:type="dxa"/>
              <w:bottom w:w="65" w:type="dxa"/>
              <w:end w:w="75" w:type="dxa"/>
            </w:tcMar>
            <w:shd w:fill="F2F2F2"/>
          </w:tcPr>
          <w:p>
            <w:pPr>
              <w:spacing w:after="0"/>
            </w:pPr>
            <w:r>
              <w:rPr>
                <w:sz w:val="15"/>
              </w:rPr>
              <w:t>Determines whether urgent action is required.</w:t>
            </w:r>
          </w:p>
        </w:tc>
      </w:tr>
      <w:tr>
        <w:trPr>
          <w:cantSplit/>
        </w:trPr>
        <w:tc>
          <w:tcPr>
            <w:tcW w:type="dxa" w:w="1728"/>
            <w:tcMar>
              <w:top w:w="65" w:type="dxa"/>
              <w:start w:w="75" w:type="dxa"/>
              <w:bottom w:w="65" w:type="dxa"/>
              <w:end w:w="75" w:type="dxa"/>
            </w:tcMar>
          </w:tcPr>
          <w:p>
            <w:pPr>
              <w:spacing w:after="0"/>
            </w:pPr>
            <w:r>
              <w:rPr>
                <w:sz w:val="15"/>
              </w:rPr>
              <w:t>Readiness and supports</w:t>
            </w:r>
          </w:p>
        </w:tc>
        <w:tc>
          <w:tcPr>
            <w:tcW w:type="dxa" w:w="4608"/>
            <w:tcMar>
              <w:top w:w="65" w:type="dxa"/>
              <w:start w:w="75" w:type="dxa"/>
              <w:bottom w:w="65" w:type="dxa"/>
              <w:end w:w="75" w:type="dxa"/>
            </w:tcMar>
          </w:tcPr>
          <w:p>
            <w:pPr>
              <w:spacing w:after="0"/>
            </w:pPr>
            <w:r>
              <w:rPr>
                <w:sz w:val="15"/>
              </w:rPr>
              <w:t>Goals, ambivalence, harm-reduction interest, treatment and recovery history.</w:t>
            </w:r>
          </w:p>
        </w:tc>
        <w:tc>
          <w:tcPr>
            <w:tcW w:type="dxa" w:w="3600"/>
            <w:tcMar>
              <w:top w:w="65" w:type="dxa"/>
              <w:start w:w="75" w:type="dxa"/>
              <w:bottom w:w="65" w:type="dxa"/>
              <w:end w:w="75" w:type="dxa"/>
            </w:tcMar>
          </w:tcPr>
          <w:p>
            <w:pPr>
              <w:spacing w:after="0"/>
            </w:pPr>
            <w:r>
              <w:rPr>
                <w:sz w:val="15"/>
              </w:rPr>
              <w:t>Guides engagement, referral, and sequencing.</w:t>
            </w:r>
          </w:p>
        </w:tc>
      </w:tr>
    </w:tbl>
    <w:p>
      <w:pPr>
        <w:spacing w:after="0" w:before="0" w:line="240" w:lineRule="auto"/>
      </w:pPr>
      <w:r>
        <w:rPr>
          <w:sz w:val="8"/>
        </w:rPr>
      </w:r>
    </w:p>
    <w:tbl>
      <w:tblPr>
        <w:tblW w:type="auto" w:w="0"/>
        <w:jc w:val="center"/>
        <w:tblLayout w:type="fixed"/>
        <w:tblLook w:firstColumn="1" w:firstRow="1" w:lastColumn="0" w:lastRow="0" w:noHBand="0" w:noVBand="1" w:val="04A0"/>
      </w:tblPr>
      <w:tblGrid>
        <w:gridCol w:w="9936"/>
      </w:tblGrid>
      <w:tr>
        <w:trPr>
          <w:cantSplit/>
        </w:trPr>
        <w:tc>
          <w:tcPr>
            <w:tcW w:type="dxa" w:w="10080"/>
            <w:shd w:fill="EAF4F8"/>
            <w:tcMar>
              <w:top w:w="100" w:type="dxa"/>
              <w:start w:w="120" w:type="dxa"/>
              <w:bottom w:w="100" w:type="dxa"/>
              <w:end w:w="120" w:type="dxa"/>
            </w:tcMar>
          </w:tcPr>
          <w:p>
            <w:pPr>
              <w:spacing w:after="40"/>
            </w:pPr>
            <w:r>
              <w:rPr>
                <w:b/>
                <w:color w:val="1F4E78"/>
                <w:sz w:val="17"/>
              </w:rPr>
              <w:t>SCREENING</w:t>
            </w:r>
          </w:p>
          <w:p>
            <w:pPr>
              <w:spacing w:after="0"/>
            </w:pPr>
            <w:r>
              <w:rPr>
                <w:sz w:val="18"/>
              </w:rPr>
              <w:t>A positive screen means assess further. It does not by itself establish diagnosis, severity, level of care, or disclosure.</w:t>
            </w:r>
          </w:p>
        </w:tc>
      </w:tr>
    </w:tbl>
    <w:p>
      <w:pPr>
        <w:spacing w:after="0" w:before="0" w:line="240" w:lineRule="auto"/>
      </w:pPr>
      <w:r>
        <w:rPr>
          <w:sz w:val="6"/>
        </w:rPr>
      </w:r>
    </w:p>
    <w:p>
      <w:pPr>
        <w:pStyle w:val="Heading1"/>
        <w:keepNext/>
        <w:keepLines/>
        <w:pageBreakBefore w:val="0"/>
      </w:pPr>
      <w:r>
        <w:t>10. The LMFT Systemic Lens</w:t>
      </w:r>
    </w:p>
    <w:p>
      <w:pPr>
        <w:pStyle w:val="ListBullet"/>
        <w:keepNext w:val="0"/>
        <w:keepLines/>
        <w:pageBreakBefore w:val="0"/>
        <w:spacing w:after="40"/>
      </w:pPr>
      <w:r>
        <w:t>Assess the individual’s current presentation while observing how the couple or family responds to symptoms.</w:t>
      </w:r>
    </w:p>
    <w:p>
      <w:pPr>
        <w:pStyle w:val="ListBullet"/>
        <w:keepNext w:val="0"/>
        <w:keepLines/>
        <w:pageBreakBefore w:val="0"/>
        <w:spacing w:after="40"/>
      </w:pPr>
      <w:r>
        <w:t>Evaluate how illness, pain, disability, medication, substance use, gambling, caregiving, secrecy, and recovery alter roles, boundaries, intimacy, parenting, and finances.</w:t>
      </w:r>
    </w:p>
    <w:p>
      <w:pPr>
        <w:pStyle w:val="ListBullet"/>
        <w:keepNext w:val="0"/>
        <w:keepLines/>
        <w:pageBreakBefore w:val="0"/>
        <w:spacing w:after="40"/>
      </w:pPr>
      <w:r>
        <w:t>Do not treat every concern as control, denial, enabling, codependency, or triangulation without evidence.</w:t>
      </w:r>
    </w:p>
    <w:p>
      <w:pPr>
        <w:pStyle w:val="ListBullet"/>
        <w:keepNext w:val="0"/>
        <w:keepLines/>
        <w:pageBreakBefore w:val="0"/>
        <w:spacing w:after="40"/>
      </w:pPr>
      <w:r>
        <w:t>Determine whether individual, couple, family, collateral, medical, psychiatric, or addiction services are needed and in what sequence.</w:t>
      </w:r>
    </w:p>
    <w:p>
      <w:pPr>
        <w:pStyle w:val="ListBullet"/>
        <w:keepNext w:val="0"/>
        <w:keepLines/>
        <w:pageBreakBefore w:val="0"/>
        <w:spacing w:after="40"/>
      </w:pPr>
      <w:r>
        <w:t>Preserve the therapeutic alliance while making an appropriate referral; explain the reason and coordinate within scope.</w:t>
      </w:r>
    </w:p>
    <w:p>
      <w:pPr>
        <w:pStyle w:val="Heading1"/>
        <w:keepNext/>
        <w:keepLines/>
        <w:pageBreakBefore w:val="0"/>
      </w:pPr>
      <w:r>
        <w:t>11. Integrated LMFT Reasoning Sequence</w:t>
      </w:r>
    </w:p>
    <w:p>
      <w:pPr>
        <w:keepNext w:val="0"/>
        <w:keepLines/>
        <w:pageBreakBefore w:val="0"/>
        <w:spacing w:after="40"/>
        <w:ind w:left="317" w:hanging="317"/>
      </w:pPr>
      <w:r>
        <w:rPr>
          <w:b w:val="0"/>
        </w:rPr>
        <w:t xml:space="preserve">1.  </w:t>
      </w:r>
      <w:r>
        <w:t>Clarify the referral, participants, therapist role, and possible unit of treatment.</w:t>
      </w:r>
    </w:p>
    <w:p>
      <w:pPr>
        <w:keepNext w:val="0"/>
        <w:keepLines/>
        <w:pageBreakBefore w:val="0"/>
        <w:spacing w:after="40"/>
        <w:ind w:left="317" w:hanging="317"/>
      </w:pPr>
      <w:r>
        <w:rPr>
          <w:b w:val="0"/>
        </w:rPr>
        <w:t xml:space="preserve">2.  </w:t>
      </w:r>
      <w:r>
        <w:t>Address immediate safety, medical instability, intoxication, or other controlling duties.</w:t>
      </w:r>
    </w:p>
    <w:p>
      <w:pPr>
        <w:keepNext w:val="0"/>
        <w:keepLines/>
        <w:pageBreakBefore w:val="0"/>
        <w:spacing w:after="40"/>
        <w:ind w:left="317" w:hanging="317"/>
      </w:pPr>
      <w:r>
        <w:rPr>
          <w:b w:val="0"/>
        </w:rPr>
        <w:t xml:space="preserve">3.  </w:t>
      </w:r>
      <w:r>
        <w:t>Establish balanced working alliances and obtain each relevant perspective.</w:t>
      </w:r>
    </w:p>
    <w:p>
      <w:pPr>
        <w:keepNext w:val="0"/>
        <w:keepLines/>
        <w:pageBreakBefore w:val="0"/>
        <w:spacing w:after="40"/>
        <w:ind w:left="317" w:hanging="317"/>
      </w:pPr>
      <w:r>
        <w:rPr>
          <w:b w:val="0"/>
        </w:rPr>
        <w:t xml:space="preserve">4.  </w:t>
      </w:r>
      <w:r>
        <w:t>Clarify symptoms, behavior, onset, course, triggers, functional impact, goals, readiness, and prior services.</w:t>
      </w:r>
    </w:p>
    <w:p>
      <w:pPr>
        <w:keepNext w:val="0"/>
        <w:keepLines/>
        <w:pageBreakBefore w:val="0"/>
        <w:spacing w:after="40"/>
        <w:ind w:left="317" w:hanging="317"/>
      </w:pPr>
      <w:r>
        <w:rPr>
          <w:b w:val="0"/>
        </w:rPr>
        <w:t xml:space="preserve">5.  </w:t>
      </w:r>
      <w:r>
        <w:t>Conduct the mental status examination and distinguish observation, report, record, collateral information, and inference.</w:t>
      </w:r>
    </w:p>
    <w:p>
      <w:pPr>
        <w:keepNext w:val="0"/>
        <w:keepLines/>
        <w:pageBreakBefore w:val="0"/>
        <w:spacing w:after="40"/>
        <w:ind w:left="317" w:hanging="317"/>
      </w:pPr>
      <w:r>
        <w:rPr>
          <w:b w:val="0"/>
        </w:rPr>
        <w:t xml:space="preserve">6.  </w:t>
      </w:r>
      <w:r>
        <w:t>Assess health, medication, substance, developmental, cultural, relational, and contextual factors.</w:t>
      </w:r>
    </w:p>
    <w:p>
      <w:pPr>
        <w:keepNext w:val="0"/>
        <w:keepLines/>
        <w:pageBreakBefore w:val="0"/>
        <w:spacing w:after="40"/>
        <w:ind w:left="317" w:hanging="317"/>
      </w:pPr>
      <w:r>
        <w:rPr>
          <w:b w:val="0"/>
        </w:rPr>
        <w:t xml:space="preserve">7.  </w:t>
      </w:r>
      <w:r>
        <w:t>Develop a tentative systemic formulation and identify missing information.</w:t>
      </w:r>
    </w:p>
    <w:p>
      <w:pPr>
        <w:keepNext w:val="0"/>
        <w:keepLines/>
        <w:pageBreakBefore w:val="0"/>
        <w:spacing w:after="40"/>
        <w:ind w:left="317" w:hanging="317"/>
      </w:pPr>
      <w:r>
        <w:rPr>
          <w:b w:val="0"/>
        </w:rPr>
        <w:t xml:space="preserve">8.  </w:t>
      </w:r>
      <w:r>
        <w:t>Choose the next assessment, consultation, referral, or treatment step that fits urgency, scope, unit, and readiness.</w:t>
      </w:r>
    </w:p>
    <w:tbl>
      <w:tblPr>
        <w:tblW w:type="auto" w:w="0"/>
        <w:jc w:val="center"/>
        <w:tblLayout w:type="fixed"/>
        <w:tblLook w:firstColumn="1" w:firstRow="1" w:lastColumn="0" w:lastRow="0" w:noHBand="0" w:noVBand="1" w:val="04A0"/>
      </w:tblPr>
      <w:tblGrid>
        <w:gridCol w:w="9936"/>
      </w:tblGrid>
      <w:tr>
        <w:trPr>
          <w:cantSplit/>
        </w:trPr>
        <w:tc>
          <w:tcPr>
            <w:tcW w:type="dxa" w:w="10080"/>
            <w:shd w:fill="FFF2CC"/>
            <w:tcMar>
              <w:top w:w="100" w:type="dxa"/>
              <w:start w:w="120" w:type="dxa"/>
              <w:bottom w:w="100" w:type="dxa"/>
              <w:end w:w="120" w:type="dxa"/>
            </w:tcMar>
          </w:tcPr>
          <w:p>
            <w:pPr>
              <w:spacing w:after="40"/>
            </w:pPr>
            <w:r>
              <w:rPr>
                <w:b/>
                <w:color w:val="1F4E78"/>
                <w:sz w:val="17"/>
              </w:rPr>
              <w:t>MEMORY AID</w:t>
            </w:r>
          </w:p>
          <w:p>
            <w:pPr>
              <w:spacing w:after="0"/>
            </w:pPr>
            <w:r>
              <w:rPr>
                <w:sz w:val="18"/>
              </w:rPr>
              <w:t>FRAME → ALLY → CLARIFY → OBSERVE → RULE OUT → FORMULATE → NEXT STEP</w:t>
            </w:r>
          </w:p>
        </w:tc>
      </w:tr>
    </w:tbl>
    <w:p>
      <w:pPr>
        <w:spacing w:after="0" w:before="0" w:line="240" w:lineRule="auto"/>
      </w:pPr>
      <w:r>
        <w:rPr>
          <w:sz w:val="6"/>
        </w:rPr>
      </w:r>
    </w:p>
    <w:p>
      <w:pPr>
        <w:pStyle w:val="Heading1"/>
        <w:keepNext/>
        <w:keepLines/>
        <w:pageBreakBefore w:val="0"/>
      </w:pPr>
      <w:r>
        <w:t>Worked Examples</w:t>
      </w:r>
    </w:p>
    <w:tbl>
      <w:tblPr>
        <w:tblW w:type="auto" w:w="0"/>
        <w:jc w:val="center"/>
        <w:tblLayout w:type="fixed"/>
        <w:tblLook w:firstColumn="1" w:firstRow="1" w:lastColumn="0" w:lastRow="0" w:noHBand="0" w:noVBand="1" w:val="04A0"/>
      </w:tblPr>
      <w:tblGrid>
        <w:gridCol w:w="9936"/>
      </w:tblGrid>
      <w:tr>
        <w:trPr>
          <w:cantSplit/>
        </w:trPr>
        <w:tc>
          <w:tcPr>
            <w:tcW w:type="dxa" w:w="10080"/>
            <w:shd w:fill="DDEFEF"/>
            <w:tcMar>
              <w:top w:w="100" w:type="dxa"/>
              <w:start w:w="120" w:type="dxa"/>
              <w:bottom w:w="100" w:type="dxa"/>
              <w:end w:w="120" w:type="dxa"/>
            </w:tcMar>
          </w:tcPr>
          <w:p>
            <w:pPr>
              <w:spacing w:after="40"/>
            </w:pPr>
            <w:r>
              <w:rPr>
                <w:b/>
                <w:color w:val="1F4E78"/>
                <w:sz w:val="17"/>
              </w:rPr>
              <w:t>COMPETING DEFINITIONS</w:t>
            </w:r>
          </w:p>
          <w:p>
            <w:pPr>
              <w:spacing w:after="0"/>
            </w:pPr>
            <w:r>
              <w:rPr>
                <w:sz w:val="18"/>
              </w:rPr>
              <w:t>One partner requests treatment for the other partner’s “anger,” while the other reports feeling constantly criticized.</w:t>
            </w:r>
          </w:p>
        </w:tc>
      </w:tr>
    </w:tbl>
    <w:p>
      <w:pPr>
        <w:spacing w:after="0" w:before="0" w:line="240" w:lineRule="auto"/>
      </w:pPr>
      <w:r>
        <w:rPr>
          <w:sz w:val="6"/>
        </w:rPr>
      </w:r>
    </w:p>
    <w:p>
      <w:pPr>
        <w:spacing w:after="100"/>
      </w:pPr>
      <w:r>
        <w:t>The best initial response is to clarify each person’s experience, goals, safety concerns, and interactional sequence rather than accepting one person’s label or beginning anger-management training.</w:t>
      </w:r>
    </w:p>
    <w:tbl>
      <w:tblPr>
        <w:tblW w:type="auto" w:w="0"/>
        <w:jc w:val="center"/>
        <w:tblLayout w:type="fixed"/>
        <w:tblLook w:firstColumn="1" w:firstRow="1" w:lastColumn="0" w:lastRow="0" w:noHBand="0" w:noVBand="1" w:val="04A0"/>
      </w:tblPr>
      <w:tblGrid>
        <w:gridCol w:w="9936"/>
      </w:tblGrid>
      <w:tr>
        <w:trPr>
          <w:cantSplit/>
        </w:trPr>
        <w:tc>
          <w:tcPr>
            <w:tcW w:type="dxa" w:w="10080"/>
            <w:shd w:fill="DDEFEF"/>
            <w:tcMar>
              <w:top w:w="100" w:type="dxa"/>
              <w:start w:w="120" w:type="dxa"/>
              <w:bottom w:w="100" w:type="dxa"/>
              <w:end w:w="120" w:type="dxa"/>
            </w:tcMar>
          </w:tcPr>
          <w:p>
            <w:pPr>
              <w:spacing w:after="40"/>
            </w:pPr>
            <w:r>
              <w:rPr>
                <w:b/>
                <w:color w:val="1F4E78"/>
                <w:sz w:val="17"/>
              </w:rPr>
              <w:t>RELUCTANT ADOLESCENT</w:t>
            </w:r>
          </w:p>
          <w:p>
            <w:pPr>
              <w:spacing w:after="0"/>
            </w:pPr>
            <w:r>
              <w:rPr>
                <w:sz w:val="18"/>
              </w:rPr>
              <w:t>Parents request individual therapy for a teenager who does not want to attend.</w:t>
            </w:r>
          </w:p>
        </w:tc>
      </w:tr>
    </w:tbl>
    <w:p>
      <w:pPr>
        <w:spacing w:after="0" w:before="0" w:line="240" w:lineRule="auto"/>
      </w:pPr>
      <w:r>
        <w:rPr>
          <w:sz w:val="6"/>
        </w:rPr>
      </w:r>
    </w:p>
    <w:p>
      <w:pPr>
        <w:spacing w:after="100"/>
      </w:pPr>
      <w:r>
        <w:t>Clarify the referral, the adolescent’s understanding and priorities, the family’s concerns, safety, expectations, and whether individual or family involvement is clinically appropriate. Reluctance is information about the context, not proof that treatment cannot work.</w:t>
      </w:r>
    </w:p>
    <w:tbl>
      <w:tblPr>
        <w:tblW w:type="auto" w:w="0"/>
        <w:jc w:val="center"/>
        <w:tblLayout w:type="fixed"/>
        <w:tblLook w:firstColumn="1" w:firstRow="1" w:lastColumn="0" w:lastRow="0" w:noHBand="0" w:noVBand="1" w:val="04A0"/>
      </w:tblPr>
      <w:tblGrid>
        <w:gridCol w:w="9936"/>
      </w:tblGrid>
      <w:tr>
        <w:trPr>
          <w:cantSplit/>
        </w:trPr>
        <w:tc>
          <w:tcPr>
            <w:tcW w:type="dxa" w:w="10080"/>
            <w:shd w:fill="DDEFEF"/>
            <w:tcMar>
              <w:top w:w="100" w:type="dxa"/>
              <w:start w:w="120" w:type="dxa"/>
              <w:bottom w:w="100" w:type="dxa"/>
              <w:end w:w="120" w:type="dxa"/>
            </w:tcMar>
          </w:tcPr>
          <w:p>
            <w:pPr>
              <w:spacing w:after="40"/>
            </w:pPr>
            <w:r>
              <w:rPr>
                <w:b/>
                <w:color w:val="1F4E78"/>
                <w:sz w:val="17"/>
              </w:rPr>
              <w:t>NEW BEHAVIORAL CHANGE</w:t>
            </w:r>
          </w:p>
          <w:p>
            <w:pPr>
              <w:spacing w:after="0"/>
            </w:pPr>
            <w:r>
              <w:rPr>
                <w:sz w:val="18"/>
              </w:rPr>
              <w:t>A spouse reports that a previously organized client has become confused and unsteady after several medication changes.</w:t>
            </w:r>
          </w:p>
        </w:tc>
      </w:tr>
    </w:tbl>
    <w:p>
      <w:pPr>
        <w:spacing w:after="0" w:before="0" w:line="240" w:lineRule="auto"/>
      </w:pPr>
      <w:r>
        <w:rPr>
          <w:sz w:val="6"/>
        </w:rPr>
      </w:r>
    </w:p>
    <w:p>
      <w:pPr>
        <w:spacing w:after="100"/>
      </w:pPr>
      <w:r>
        <w:t>Compare the change with baseline, assess cognition and safety, clarify medications and medical factors, and arrange medical evaluation as indicated before interpreting the problem primarily as a couple pattern.</w:t>
      </w:r>
    </w:p>
    <w:p>
      <w:pPr>
        <w:pStyle w:val="Heading1"/>
        <w:keepNext/>
        <w:keepLines/>
        <w:pageBreakBefore w:val="0"/>
      </w:pPr>
      <w:r>
        <w:t>Common Exam Traps</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5040"/>
        <w:gridCol w:w="5040"/>
      </w:tblGrid>
      <w:tr>
        <w:trPr>
          <w:tblHeader w:val="true"/>
          <w:cantSplit/>
        </w:trPr>
        <w:tc>
          <w:tcPr>
            <w:tcW w:type="dxa" w:w="3096"/>
            <w:shd w:fill="17365D"/>
            <w:tcMar>
              <w:top w:w="75" w:type="dxa"/>
              <w:start w:w="80" w:type="dxa"/>
              <w:bottom w:w="75" w:type="dxa"/>
              <w:end w:w="80" w:type="dxa"/>
            </w:tcMar>
          </w:tcPr>
          <w:p>
            <w:pPr>
              <w:jc w:val="left"/>
            </w:pPr>
            <w:r>
              <w:rPr>
                <w:b/>
                <w:color w:val="FFFFFF"/>
                <w:sz w:val="16"/>
              </w:rPr>
              <w:t>Trap</w:t>
            </w:r>
          </w:p>
        </w:tc>
        <w:tc>
          <w:tcPr>
            <w:tcW w:type="dxa" w:w="6840"/>
            <w:shd w:fill="17365D"/>
            <w:tcMar>
              <w:top w:w="75" w:type="dxa"/>
              <w:start w:w="80" w:type="dxa"/>
              <w:bottom w:w="75" w:type="dxa"/>
              <w:end w:w="80" w:type="dxa"/>
            </w:tcMar>
          </w:tcPr>
          <w:p>
            <w:pPr>
              <w:jc w:val="left"/>
            </w:pPr>
            <w:r>
              <w:rPr>
                <w:b/>
                <w:color w:val="FFFFFF"/>
                <w:sz w:val="16"/>
              </w:rPr>
              <w:t>Why It Fails</w:t>
            </w:r>
          </w:p>
        </w:tc>
      </w:tr>
      <w:tr>
        <w:trPr>
          <w:cantSplit/>
        </w:trPr>
        <w:tc>
          <w:tcPr>
            <w:tcW w:type="dxa" w:w="3096"/>
            <w:tcMar>
              <w:top w:w="65" w:type="dxa"/>
              <w:start w:w="75" w:type="dxa"/>
              <w:bottom w:w="65" w:type="dxa"/>
              <w:end w:w="75" w:type="dxa"/>
            </w:tcMar>
          </w:tcPr>
          <w:p>
            <w:pPr>
              <w:spacing w:after="0"/>
            </w:pPr>
            <w:r>
              <w:rPr>
                <w:sz w:val="16"/>
              </w:rPr>
              <w:t>Premature intervention</w:t>
            </w:r>
          </w:p>
        </w:tc>
        <w:tc>
          <w:tcPr>
            <w:tcW w:type="dxa" w:w="6840"/>
            <w:tcMar>
              <w:top w:w="65" w:type="dxa"/>
              <w:start w:w="75" w:type="dxa"/>
              <w:bottom w:w="65" w:type="dxa"/>
              <w:end w:w="75" w:type="dxa"/>
            </w:tcMar>
          </w:tcPr>
          <w:p>
            <w:pPr>
              <w:spacing w:after="0"/>
            </w:pPr>
            <w:r>
              <w:rPr>
                <w:sz w:val="16"/>
              </w:rPr>
              <w:t>Selecting communication skills, parenting strategies, or trauma work before clarifying the problem and safety.</w:t>
            </w:r>
          </w:p>
        </w:tc>
      </w:tr>
      <w:tr>
        <w:trPr>
          <w:cantSplit/>
        </w:trPr>
        <w:tc>
          <w:tcPr>
            <w:tcW w:type="dxa" w:w="3096"/>
            <w:tcMar>
              <w:top w:w="65" w:type="dxa"/>
              <w:start w:w="75" w:type="dxa"/>
              <w:bottom w:w="65" w:type="dxa"/>
              <w:end w:w="75" w:type="dxa"/>
            </w:tcMar>
            <w:shd w:fill="F2F2F2"/>
          </w:tcPr>
          <w:p>
            <w:pPr>
              <w:spacing w:after="0"/>
            </w:pPr>
            <w:r>
              <w:rPr>
                <w:sz w:val="16"/>
              </w:rPr>
              <w:t>Single-person alignment</w:t>
            </w:r>
          </w:p>
        </w:tc>
        <w:tc>
          <w:tcPr>
            <w:tcW w:type="dxa" w:w="6840"/>
            <w:tcMar>
              <w:top w:w="65" w:type="dxa"/>
              <w:start w:w="75" w:type="dxa"/>
              <w:bottom w:w="65" w:type="dxa"/>
              <w:end w:w="75" w:type="dxa"/>
            </w:tcMar>
            <w:shd w:fill="F2F2F2"/>
          </w:tcPr>
          <w:p>
            <w:pPr>
              <w:spacing w:after="0"/>
            </w:pPr>
            <w:r>
              <w:rPr>
                <w:sz w:val="16"/>
              </w:rPr>
              <w:t>Treating one family member’s description as the complete formulation.</w:t>
            </w:r>
          </w:p>
        </w:tc>
      </w:tr>
      <w:tr>
        <w:trPr>
          <w:cantSplit/>
        </w:trPr>
        <w:tc>
          <w:tcPr>
            <w:tcW w:type="dxa" w:w="3096"/>
            <w:tcMar>
              <w:top w:w="65" w:type="dxa"/>
              <w:start w:w="75" w:type="dxa"/>
              <w:bottom w:w="65" w:type="dxa"/>
              <w:end w:w="75" w:type="dxa"/>
            </w:tcMar>
          </w:tcPr>
          <w:p>
            <w:pPr>
              <w:spacing w:after="0"/>
            </w:pPr>
            <w:r>
              <w:rPr>
                <w:sz w:val="16"/>
              </w:rPr>
              <w:t>Motive as fact</w:t>
            </w:r>
          </w:p>
        </w:tc>
        <w:tc>
          <w:tcPr>
            <w:tcW w:type="dxa" w:w="6840"/>
            <w:tcMar>
              <w:top w:w="65" w:type="dxa"/>
              <w:start w:w="75" w:type="dxa"/>
              <w:bottom w:w="65" w:type="dxa"/>
              <w:end w:w="75" w:type="dxa"/>
            </w:tcMar>
          </w:tcPr>
          <w:p>
            <w:pPr>
              <w:spacing w:after="0"/>
            </w:pPr>
            <w:r>
              <w:rPr>
                <w:sz w:val="16"/>
              </w:rPr>
              <w:t>Calling silence “resistance,” concern “control,” or assistance “enabling” without evidence.</w:t>
            </w:r>
          </w:p>
        </w:tc>
      </w:tr>
      <w:tr>
        <w:trPr>
          <w:cantSplit/>
        </w:trPr>
        <w:tc>
          <w:tcPr>
            <w:tcW w:type="dxa" w:w="3096"/>
            <w:tcMar>
              <w:top w:w="65" w:type="dxa"/>
              <w:start w:w="75" w:type="dxa"/>
              <w:bottom w:w="65" w:type="dxa"/>
              <w:end w:w="75" w:type="dxa"/>
            </w:tcMar>
            <w:shd w:fill="F2F2F2"/>
          </w:tcPr>
          <w:p>
            <w:pPr>
              <w:spacing w:after="0"/>
            </w:pPr>
            <w:r>
              <w:rPr>
                <w:sz w:val="16"/>
              </w:rPr>
              <w:t>Psychiatric overshadowing</w:t>
            </w:r>
          </w:p>
        </w:tc>
        <w:tc>
          <w:tcPr>
            <w:tcW w:type="dxa" w:w="6840"/>
            <w:tcMar>
              <w:top w:w="65" w:type="dxa"/>
              <w:start w:w="75" w:type="dxa"/>
              <w:bottom w:w="65" w:type="dxa"/>
              <w:end w:w="75" w:type="dxa"/>
            </w:tcMar>
            <w:shd w:fill="F2F2F2"/>
          </w:tcPr>
          <w:p>
            <w:pPr>
              <w:spacing w:after="0"/>
            </w:pPr>
            <w:r>
              <w:rPr>
                <w:sz w:val="16"/>
              </w:rPr>
              <w:t>Assuming a known diagnosis explains every new cognitive, physical, or behavioral change.</w:t>
            </w:r>
          </w:p>
        </w:tc>
      </w:tr>
      <w:tr>
        <w:trPr>
          <w:cantSplit/>
        </w:trPr>
        <w:tc>
          <w:tcPr>
            <w:tcW w:type="dxa" w:w="3096"/>
            <w:tcMar>
              <w:top w:w="65" w:type="dxa"/>
              <w:start w:w="75" w:type="dxa"/>
              <w:bottom w:w="65" w:type="dxa"/>
              <w:end w:w="75" w:type="dxa"/>
            </w:tcMar>
          </w:tcPr>
          <w:p>
            <w:pPr>
              <w:spacing w:after="0"/>
            </w:pPr>
            <w:r>
              <w:rPr>
                <w:sz w:val="16"/>
              </w:rPr>
              <w:t>Medication overreach</w:t>
            </w:r>
          </w:p>
        </w:tc>
        <w:tc>
          <w:tcPr>
            <w:tcW w:type="dxa" w:w="6840"/>
            <w:tcMar>
              <w:top w:w="65" w:type="dxa"/>
              <w:start w:w="75" w:type="dxa"/>
              <w:bottom w:w="65" w:type="dxa"/>
              <w:end w:w="75" w:type="dxa"/>
            </w:tcMar>
          </w:tcPr>
          <w:p>
            <w:pPr>
              <w:spacing w:after="0"/>
            </w:pPr>
            <w:r>
              <w:rPr>
                <w:sz w:val="16"/>
              </w:rPr>
              <w:t>Directing dose changes instead of assessing, coordinating, and referring.</w:t>
            </w:r>
          </w:p>
        </w:tc>
      </w:tr>
      <w:tr>
        <w:trPr>
          <w:cantSplit/>
        </w:trPr>
        <w:tc>
          <w:tcPr>
            <w:tcW w:type="dxa" w:w="3096"/>
            <w:tcMar>
              <w:top w:w="65" w:type="dxa"/>
              <w:start w:w="75" w:type="dxa"/>
              <w:bottom w:w="65" w:type="dxa"/>
              <w:end w:w="75" w:type="dxa"/>
            </w:tcMar>
            <w:shd w:fill="F2F2F2"/>
          </w:tcPr>
          <w:p>
            <w:pPr>
              <w:spacing w:after="0"/>
            </w:pPr>
            <w:r>
              <w:rPr>
                <w:sz w:val="16"/>
              </w:rPr>
              <w:t>Substance-use overshadowing</w:t>
            </w:r>
          </w:p>
        </w:tc>
        <w:tc>
          <w:tcPr>
            <w:tcW w:type="dxa" w:w="6840"/>
            <w:tcMar>
              <w:top w:w="65" w:type="dxa"/>
              <w:start w:w="75" w:type="dxa"/>
              <w:bottom w:w="65" w:type="dxa"/>
              <w:end w:w="75" w:type="dxa"/>
            </w:tcMar>
            <w:shd w:fill="F2F2F2"/>
          </w:tcPr>
          <w:p>
            <w:pPr>
              <w:spacing w:after="0"/>
            </w:pPr>
            <w:r>
              <w:rPr>
                <w:sz w:val="16"/>
              </w:rPr>
              <w:t>Assuming intoxication or hidden use without considering medication or medical causes.</w:t>
            </w:r>
          </w:p>
        </w:tc>
      </w:tr>
      <w:tr>
        <w:trPr>
          <w:cantSplit/>
        </w:trPr>
        <w:tc>
          <w:tcPr>
            <w:tcW w:type="dxa" w:w="3096"/>
            <w:tcMar>
              <w:top w:w="65" w:type="dxa"/>
              <w:start w:w="75" w:type="dxa"/>
              <w:bottom w:w="65" w:type="dxa"/>
              <w:end w:w="75" w:type="dxa"/>
            </w:tcMar>
          </w:tcPr>
          <w:p>
            <w:pPr>
              <w:spacing w:after="0"/>
            </w:pPr>
            <w:r>
              <w:rPr>
                <w:sz w:val="16"/>
              </w:rPr>
              <w:t>Ignoring systemic safety</w:t>
            </w:r>
          </w:p>
        </w:tc>
        <w:tc>
          <w:tcPr>
            <w:tcW w:type="dxa" w:w="6840"/>
            <w:tcMar>
              <w:top w:w="65" w:type="dxa"/>
              <w:start w:w="75" w:type="dxa"/>
              <w:bottom w:w="65" w:type="dxa"/>
              <w:end w:w="75" w:type="dxa"/>
            </w:tcMar>
          </w:tcPr>
          <w:p>
            <w:pPr>
              <w:spacing w:after="0"/>
            </w:pPr>
            <w:r>
              <w:rPr>
                <w:sz w:val="16"/>
              </w:rPr>
              <w:t>Failing to consider children, dependent adults, driving, weapons, caregiving, or financial harm.</w:t>
            </w:r>
          </w:p>
        </w:tc>
      </w:tr>
      <w:tr>
        <w:trPr>
          <w:cantSplit/>
        </w:trPr>
        <w:tc>
          <w:tcPr>
            <w:tcW w:type="dxa" w:w="3096"/>
            <w:tcMar>
              <w:top w:w="65" w:type="dxa"/>
              <w:start w:w="75" w:type="dxa"/>
              <w:bottom w:w="65" w:type="dxa"/>
              <w:end w:w="75" w:type="dxa"/>
            </w:tcMar>
            <w:shd w:fill="F2F2F2"/>
          </w:tcPr>
          <w:p>
            <w:pPr>
              <w:spacing w:after="0"/>
            </w:pPr>
            <w:r>
              <w:rPr>
                <w:sz w:val="16"/>
              </w:rPr>
              <w:t>Referral as an exit</w:t>
            </w:r>
          </w:p>
        </w:tc>
        <w:tc>
          <w:tcPr>
            <w:tcW w:type="dxa" w:w="6840"/>
            <w:tcMar>
              <w:top w:w="65" w:type="dxa"/>
              <w:start w:w="75" w:type="dxa"/>
              <w:bottom w:w="65" w:type="dxa"/>
              <w:end w:w="75" w:type="dxa"/>
            </w:tcMar>
            <w:shd w:fill="F2F2F2"/>
          </w:tcPr>
          <w:p>
            <w:pPr>
              <w:spacing w:after="0"/>
            </w:pPr>
            <w:r>
              <w:rPr>
                <w:sz w:val="16"/>
              </w:rPr>
              <w:t>Ending relational treatment automatically when medical, psychiatric, or addiction care is also needed.</w:t>
            </w:r>
          </w:p>
        </w:tc>
      </w:tr>
    </w:tbl>
    <w:p>
      <w:pPr>
        <w:spacing w:after="0" w:before="0" w:line="240" w:lineRule="auto"/>
      </w:pPr>
      <w:r>
        <w:rPr>
          <w:sz w:val="8"/>
        </w:rPr>
      </w:r>
    </w:p>
    <w:p>
      <w:pPr>
        <w:pStyle w:val="Heading1"/>
        <w:keepNext/>
        <w:keepLines/>
        <w:pageBreakBefore w:val="0"/>
      </w:pPr>
      <w:r>
        <w:t>Integrated LMFT Intake Map</w:t>
      </w:r>
    </w:p>
    <w:p>
      <w:pPr>
        <w:spacing w:after="100"/>
      </w:pPr>
      <w:r>
        <w:t>Use this worksheet to organize a vignette before choosing an answer. Write only the facts that affect the next decision.</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5040"/>
        <w:gridCol w:w="5040"/>
      </w:tblGrid>
      <w:tr>
        <w:trPr>
          <w:cantSplit/>
          <w:tblHeader w:val="true"/>
        </w:trPr>
        <w:tc>
          <w:tcPr>
            <w:tcW w:type="dxa" w:w="7056"/>
            <w:gridSpan w:val="2"/>
            <w:shd w:fill="17365D"/>
            <w:tcMar>
              <w:top w:w="80" w:type="dxa"/>
              <w:start w:w="90" w:type="dxa"/>
              <w:bottom w:w="80" w:type="dxa"/>
              <w:end w:w="90" w:type="dxa"/>
            </w:tcMar>
          </w:tcPr>
          <w:p>
            <w:r>
              <w:rPr>
                <w:b/>
                <w:color w:val="FFFFFF"/>
                <w:sz w:val="18"/>
              </w:rPr>
              <w:t>Integrated LMFT Intake Map</w:t>
            </w:r>
          </w:p>
        </w:tc>
      </w:tr>
      <w:tr>
        <w:trPr>
          <w:cantSplit/>
        </w:trPr>
        <w:tc>
          <w:tcPr>
            <w:tcW w:type="dxa" w:w="2880"/>
            <w:shd w:fill="EAF4F8"/>
            <w:tcMar>
              <w:top w:w="70" w:type="dxa"/>
              <w:start w:w="80" w:type="dxa"/>
              <w:bottom w:w="70" w:type="dxa"/>
              <w:end w:w="80" w:type="dxa"/>
            </w:tcMar>
          </w:tcPr>
          <w:p>
            <w:r>
              <w:rPr>
                <w:b/>
                <w:sz w:val="16"/>
              </w:rPr>
              <w:t>Referral and possible unit of treatment</w:t>
            </w:r>
          </w:p>
        </w:tc>
        <w:tc>
          <w:tcPr>
            <w:tcW w:type="dxa" w:w="7056"/>
            <w:tcMar>
              <w:top w:w="70" w:type="dxa"/>
              <w:start w:w="80" w:type="dxa"/>
              <w:bottom w:w="70" w:type="dxa"/>
              <w:end w:w="80" w:type="dxa"/>
            </w:tcMar>
          </w:tcPr>
          <w:p>
            <w:r>
              <w:t xml:space="preserve"> </w:t>
            </w:r>
          </w:p>
          <w:p>
            <w:r>
              <w:t xml:space="preserve"> </w:t>
            </w:r>
          </w:p>
        </w:tc>
      </w:tr>
      <w:tr>
        <w:trPr>
          <w:cantSplit/>
        </w:trPr>
        <w:tc>
          <w:tcPr>
            <w:tcW w:type="dxa" w:w="2880"/>
            <w:shd w:fill="EAF4F8"/>
            <w:tcMar>
              <w:top w:w="70" w:type="dxa"/>
              <w:start w:w="80" w:type="dxa"/>
              <w:bottom w:w="70" w:type="dxa"/>
              <w:end w:w="80" w:type="dxa"/>
            </w:tcMar>
          </w:tcPr>
          <w:p>
            <w:r>
              <w:rPr>
                <w:b/>
                <w:sz w:val="16"/>
              </w:rPr>
              <w:t>Each participant’s perspective and goals</w:t>
            </w:r>
          </w:p>
        </w:tc>
        <w:tc>
          <w:tcPr>
            <w:tcW w:type="dxa" w:w="7056"/>
            <w:tcMar>
              <w:top w:w="70" w:type="dxa"/>
              <w:start w:w="80" w:type="dxa"/>
              <w:bottom w:w="70" w:type="dxa"/>
              <w:end w:w="80" w:type="dxa"/>
            </w:tcMar>
          </w:tcPr>
          <w:p>
            <w:r>
              <w:t xml:space="preserve"> </w:t>
            </w:r>
          </w:p>
          <w:p>
            <w:r>
              <w:t xml:space="preserve"> </w:t>
            </w:r>
          </w:p>
        </w:tc>
      </w:tr>
      <w:tr>
        <w:trPr>
          <w:cantSplit/>
        </w:trPr>
        <w:tc>
          <w:tcPr>
            <w:tcW w:type="dxa" w:w="2880"/>
            <w:shd w:fill="EAF4F8"/>
            <w:tcMar>
              <w:top w:w="70" w:type="dxa"/>
              <w:start w:w="80" w:type="dxa"/>
              <w:bottom w:w="70" w:type="dxa"/>
              <w:end w:w="80" w:type="dxa"/>
            </w:tcMar>
          </w:tcPr>
          <w:p>
            <w:r>
              <w:rPr>
                <w:b/>
                <w:sz w:val="16"/>
              </w:rPr>
              <w:t>Immediate safety or medical urgency</w:t>
            </w:r>
          </w:p>
        </w:tc>
        <w:tc>
          <w:tcPr>
            <w:tcW w:type="dxa" w:w="7056"/>
            <w:tcMar>
              <w:top w:w="70" w:type="dxa"/>
              <w:start w:w="80" w:type="dxa"/>
              <w:bottom w:w="70" w:type="dxa"/>
              <w:end w:w="80" w:type="dxa"/>
            </w:tcMar>
          </w:tcPr>
          <w:p>
            <w:r>
              <w:t xml:space="preserve"> </w:t>
            </w:r>
          </w:p>
          <w:p>
            <w:r>
              <w:t xml:space="preserve"> </w:t>
            </w:r>
          </w:p>
        </w:tc>
      </w:tr>
      <w:tr>
        <w:trPr>
          <w:cantSplit/>
        </w:trPr>
        <w:tc>
          <w:tcPr>
            <w:tcW w:type="dxa" w:w="2880"/>
            <w:shd w:fill="EAF4F8"/>
            <w:tcMar>
              <w:top w:w="70" w:type="dxa"/>
              <w:start w:w="80" w:type="dxa"/>
              <w:bottom w:w="70" w:type="dxa"/>
              <w:end w:w="80" w:type="dxa"/>
            </w:tcMar>
          </w:tcPr>
          <w:p>
            <w:r>
              <w:rPr>
                <w:b/>
                <w:sz w:val="16"/>
              </w:rPr>
              <w:t>Observed MSE findings and baseline change</w:t>
            </w:r>
          </w:p>
        </w:tc>
        <w:tc>
          <w:tcPr>
            <w:tcW w:type="dxa" w:w="7056"/>
            <w:tcMar>
              <w:top w:w="70" w:type="dxa"/>
              <w:start w:w="80" w:type="dxa"/>
              <w:bottom w:w="70" w:type="dxa"/>
              <w:end w:w="80" w:type="dxa"/>
            </w:tcMar>
          </w:tcPr>
          <w:p>
            <w:r>
              <w:t xml:space="preserve"> </w:t>
            </w:r>
          </w:p>
          <w:p>
            <w:r>
              <w:t xml:space="preserve"> </w:t>
            </w:r>
          </w:p>
        </w:tc>
      </w:tr>
      <w:tr>
        <w:trPr>
          <w:cantSplit/>
        </w:trPr>
        <w:tc>
          <w:tcPr>
            <w:tcW w:type="dxa" w:w="2880"/>
            <w:shd w:fill="EAF4F8"/>
            <w:tcMar>
              <w:top w:w="70" w:type="dxa"/>
              <w:start w:w="80" w:type="dxa"/>
              <w:bottom w:w="70" w:type="dxa"/>
              <w:end w:w="80" w:type="dxa"/>
            </w:tcMar>
          </w:tcPr>
          <w:p>
            <w:r>
              <w:rPr>
                <w:b/>
                <w:sz w:val="16"/>
              </w:rPr>
              <w:t>Health, medication, and substance factors</w:t>
            </w:r>
          </w:p>
        </w:tc>
        <w:tc>
          <w:tcPr>
            <w:tcW w:type="dxa" w:w="7056"/>
            <w:tcMar>
              <w:top w:w="70" w:type="dxa"/>
              <w:start w:w="80" w:type="dxa"/>
              <w:bottom w:w="70" w:type="dxa"/>
              <w:end w:w="80" w:type="dxa"/>
            </w:tcMar>
          </w:tcPr>
          <w:p>
            <w:r>
              <w:t xml:space="preserve"> </w:t>
            </w:r>
          </w:p>
          <w:p>
            <w:r>
              <w:t xml:space="preserve"> </w:t>
            </w:r>
          </w:p>
        </w:tc>
      </w:tr>
      <w:tr>
        <w:trPr>
          <w:cantSplit/>
        </w:trPr>
        <w:tc>
          <w:tcPr>
            <w:tcW w:type="dxa" w:w="2880"/>
            <w:shd w:fill="EAF4F8"/>
            <w:tcMar>
              <w:top w:w="70" w:type="dxa"/>
              <w:start w:w="80" w:type="dxa"/>
              <w:bottom w:w="70" w:type="dxa"/>
              <w:end w:w="80" w:type="dxa"/>
            </w:tcMar>
          </w:tcPr>
          <w:p>
            <w:r>
              <w:rPr>
                <w:b/>
                <w:sz w:val="16"/>
              </w:rPr>
              <w:t>Interactional sequence, roles, and relational impact</w:t>
            </w:r>
          </w:p>
        </w:tc>
        <w:tc>
          <w:tcPr>
            <w:tcW w:type="dxa" w:w="7056"/>
            <w:tcMar>
              <w:top w:w="70" w:type="dxa"/>
              <w:start w:w="80" w:type="dxa"/>
              <w:bottom w:w="70" w:type="dxa"/>
              <w:end w:w="80" w:type="dxa"/>
            </w:tcMar>
          </w:tcPr>
          <w:p>
            <w:r>
              <w:t xml:space="preserve"> </w:t>
            </w:r>
          </w:p>
          <w:p>
            <w:r>
              <w:t xml:space="preserve"> </w:t>
            </w:r>
          </w:p>
        </w:tc>
      </w:tr>
      <w:tr>
        <w:trPr>
          <w:cantSplit/>
        </w:trPr>
        <w:tc>
          <w:tcPr>
            <w:tcW w:type="dxa" w:w="2880"/>
            <w:shd w:fill="EAF4F8"/>
            <w:tcMar>
              <w:top w:w="70" w:type="dxa"/>
              <w:start w:w="80" w:type="dxa"/>
              <w:bottom w:w="70" w:type="dxa"/>
              <w:end w:w="80" w:type="dxa"/>
            </w:tcMar>
          </w:tcPr>
          <w:p>
            <w:r>
              <w:rPr>
                <w:b/>
                <w:sz w:val="16"/>
              </w:rPr>
              <w:t>Culture, development, context, strengths, and barriers</w:t>
            </w:r>
          </w:p>
        </w:tc>
        <w:tc>
          <w:tcPr>
            <w:tcW w:type="dxa" w:w="7056"/>
            <w:tcMar>
              <w:top w:w="70" w:type="dxa"/>
              <w:start w:w="80" w:type="dxa"/>
              <w:bottom w:w="70" w:type="dxa"/>
              <w:end w:w="80" w:type="dxa"/>
            </w:tcMar>
          </w:tcPr>
          <w:p>
            <w:r>
              <w:t xml:space="preserve"> </w:t>
            </w:r>
          </w:p>
          <w:p>
            <w:r>
              <w:t xml:space="preserve"> </w:t>
            </w:r>
          </w:p>
        </w:tc>
      </w:tr>
      <w:tr>
        <w:trPr>
          <w:cantSplit/>
        </w:trPr>
        <w:tc>
          <w:tcPr>
            <w:tcW w:type="dxa" w:w="2880"/>
            <w:shd w:fill="EAF4F8"/>
            <w:tcMar>
              <w:top w:w="70" w:type="dxa"/>
              <w:start w:w="80" w:type="dxa"/>
              <w:bottom w:w="70" w:type="dxa"/>
              <w:end w:w="80" w:type="dxa"/>
            </w:tcMar>
          </w:tcPr>
          <w:p>
            <w:r>
              <w:rPr>
                <w:b/>
                <w:sz w:val="16"/>
              </w:rPr>
              <w:t>Missing information or collateral needed</w:t>
            </w:r>
          </w:p>
        </w:tc>
        <w:tc>
          <w:tcPr>
            <w:tcW w:type="dxa" w:w="7056"/>
            <w:tcMar>
              <w:top w:w="70" w:type="dxa"/>
              <w:start w:w="80" w:type="dxa"/>
              <w:bottom w:w="70" w:type="dxa"/>
              <w:end w:w="80" w:type="dxa"/>
            </w:tcMar>
          </w:tcPr>
          <w:p>
            <w:r>
              <w:t xml:space="preserve"> </w:t>
            </w:r>
          </w:p>
          <w:p>
            <w:r>
              <w:t xml:space="preserve"> </w:t>
            </w:r>
          </w:p>
        </w:tc>
      </w:tr>
      <w:tr>
        <w:trPr>
          <w:cantSplit/>
        </w:trPr>
        <w:tc>
          <w:tcPr>
            <w:tcW w:type="dxa" w:w="2880"/>
            <w:shd w:fill="EAF4F8"/>
            <w:tcMar>
              <w:top w:w="70" w:type="dxa"/>
              <w:start w:w="80" w:type="dxa"/>
              <w:bottom w:w="70" w:type="dxa"/>
              <w:end w:w="80" w:type="dxa"/>
            </w:tcMar>
          </w:tcPr>
          <w:p>
            <w:r>
              <w:rPr>
                <w:b/>
                <w:sz w:val="16"/>
              </w:rPr>
              <w:t>Best next step within scope</w:t>
            </w:r>
          </w:p>
        </w:tc>
        <w:tc>
          <w:tcPr>
            <w:tcW w:type="dxa" w:w="7056"/>
            <w:tcMar>
              <w:top w:w="70" w:type="dxa"/>
              <w:start w:w="80" w:type="dxa"/>
              <w:bottom w:w="70" w:type="dxa"/>
              <w:end w:w="80" w:type="dxa"/>
            </w:tcMar>
          </w:tcPr>
          <w:p>
            <w:r>
              <w:t xml:space="preserve"> </w:t>
            </w:r>
          </w:p>
          <w:p>
            <w:r>
              <w:t xml:space="preserve"> </w:t>
            </w:r>
          </w:p>
        </w:tc>
      </w:tr>
    </w:tbl>
    <w:p>
      <w:pPr>
        <w:spacing w:after="0" w:before="0" w:line="240" w:lineRule="auto"/>
      </w:pPr>
      <w:r>
        <w:rPr>
          <w:sz w:val="8"/>
        </w:rPr>
      </w:r>
    </w:p>
    <w:p>
      <w:pPr>
        <w:pStyle w:val="Heading1"/>
        <w:keepNext/>
        <w:keepLines/>
        <w:pageBreakBefore w:val="0"/>
      </w:pPr>
      <w:r>
        <w:t>Chapter Summary</w:t>
      </w:r>
    </w:p>
    <w:p>
      <w:pPr>
        <w:pStyle w:val="ListBullet"/>
      </w:pPr>
      <w:r>
        <w:t>Engagement is part of assessment; validation does not require agreement or avoidance of difficult questions.</w:t>
      </w:r>
    </w:p>
    <w:p>
      <w:pPr>
        <w:pStyle w:val="ListBullet"/>
      </w:pPr>
      <w:r>
        <w:t>Clarify the referral, participants, client system, confidentiality expectations, goals, motivation, and prior treatment experiences.</w:t>
      </w:r>
    </w:p>
    <w:p>
      <w:pPr>
        <w:pStyle w:val="ListBullet"/>
      </w:pPr>
      <w:r>
        <w:t>Balanced systemic interviewing gathers multiple perspectives without choosing a winner or losing sight of individual safety.</w:t>
      </w:r>
    </w:p>
    <w:p>
      <w:pPr>
        <w:pStyle w:val="ListBullet"/>
      </w:pPr>
      <w:r>
        <w:t>The mental status examination is a current snapshot that must be compared with history, baseline, records, and collateral information.</w:t>
      </w:r>
    </w:p>
    <w:p>
      <w:pPr>
        <w:pStyle w:val="ListBullet"/>
      </w:pPr>
      <w:r>
        <w:t>New cognitive, physical, medication-related, or substance-related changes may require medical evaluation before routine psychotherapy intervention.</w:t>
      </w:r>
    </w:p>
    <w:p>
      <w:pPr>
        <w:pStyle w:val="ListBullet"/>
      </w:pPr>
      <w:r>
        <w:t>The strongest exam answer addresses urgency, fills the most important information gap, preserves the alliance, and remains within scope.</w:t>
      </w:r>
    </w:p>
    <w:p>
      <w:pPr>
        <w:pStyle w:val="Heading1"/>
        <w:keepNext/>
        <w:keepLines/>
        <w:pageBreakBefore/>
      </w:pPr>
      <w:r>
        <w:t>Knowledge Check</w:t>
      </w:r>
    </w:p>
    <w:p>
      <w:pPr>
        <w:spacing w:after="100"/>
      </w:pPr>
      <w:r>
        <w:t>Complete all 10 original CTA practice questions before reviewing the answer key. Record your answer and confidence level. The set follows the CTA progression from recall to application, scenario analysis, and integrated challenge reasoning.</w:t>
      </w:r>
    </w:p>
    <w:tbl>
      <w:tblPr>
        <w:tblW w:type="auto" w:w="0"/>
        <w:jc w:val="center"/>
        <w:tblLayout w:type="fixed"/>
        <w:tblLook w:firstColumn="1" w:firstRow="1" w:lastColumn="0" w:lastRow="0" w:noHBand="0" w:noVBand="1" w:val="04A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520"/>
        <w:gridCol w:w="2520"/>
        <w:gridCol w:w="2520"/>
        <w:gridCol w:w="2520"/>
      </w:tblGrid>
      <w:tr>
        <w:trPr>
          <w:cantSplit/>
          <w:tblHeader w:val="true"/>
        </w:trPr>
        <w:tc>
          <w:tcPr>
            <w:tcW w:type="dxa" w:w="1008"/>
            <w:shd w:fill="17365D"/>
            <w:tcMar>
              <w:top w:w="55" w:type="dxa"/>
              <w:start w:w="65" w:type="dxa"/>
              <w:bottom w:w="55" w:type="dxa"/>
              <w:end w:w="65" w:type="dxa"/>
            </w:tcMar>
          </w:tcPr>
          <w:p>
            <w:r>
              <w:rPr>
                <w:b/>
                <w:color w:val="FFFFFF"/>
                <w:sz w:val="16"/>
              </w:rPr>
              <w:t>Question</w:t>
            </w:r>
          </w:p>
        </w:tc>
        <w:tc>
          <w:tcPr>
            <w:tcW w:type="dxa" w:w="2304"/>
            <w:shd w:fill="17365D"/>
            <w:tcMar>
              <w:top w:w="55" w:type="dxa"/>
              <w:start w:w="65" w:type="dxa"/>
              <w:bottom w:w="55" w:type="dxa"/>
              <w:end w:w="65" w:type="dxa"/>
            </w:tcMar>
          </w:tcPr>
          <w:p>
            <w:r>
              <w:rPr>
                <w:b/>
                <w:color w:val="FFFFFF"/>
                <w:sz w:val="16"/>
              </w:rPr>
              <w:t>Your Answer</w:t>
            </w:r>
          </w:p>
        </w:tc>
        <w:tc>
          <w:tcPr>
            <w:tcW w:type="dxa" w:w="2880"/>
            <w:shd w:fill="17365D"/>
            <w:tcMar>
              <w:top w:w="55" w:type="dxa"/>
              <w:start w:w="65" w:type="dxa"/>
              <w:bottom w:w="55" w:type="dxa"/>
              <w:end w:w="65" w:type="dxa"/>
            </w:tcMar>
          </w:tcPr>
          <w:p>
            <w:r>
              <w:rPr>
                <w:b/>
                <w:color w:val="FFFFFF"/>
                <w:sz w:val="16"/>
              </w:rPr>
              <w:t>Confidence (1-3)</w:t>
            </w:r>
          </w:p>
        </w:tc>
        <w:tc>
          <w:tcPr>
            <w:tcW w:type="dxa" w:w="3744"/>
            <w:shd w:fill="17365D"/>
            <w:tcMar>
              <w:top w:w="55" w:type="dxa"/>
              <w:start w:w="65" w:type="dxa"/>
              <w:bottom w:w="55" w:type="dxa"/>
              <w:end w:w="65" w:type="dxa"/>
            </w:tcMar>
          </w:tcPr>
          <w:p>
            <w:r>
              <w:rPr>
                <w:b/>
                <w:color w:val="FFFFFF"/>
                <w:sz w:val="16"/>
              </w:rPr>
              <w:t>Review?</w:t>
            </w:r>
          </w:p>
        </w:tc>
      </w:tr>
      <w:tr>
        <w:trPr>
          <w:cantSplit/>
        </w:trPr>
        <w:tc>
          <w:tcPr>
            <w:tcW w:type="dxa" w:w="1008"/>
            <w:tcMar>
              <w:top w:w="45" w:type="dxa"/>
              <w:start w:w="60" w:type="dxa"/>
              <w:bottom w:w="45" w:type="dxa"/>
              <w:end w:w="60" w:type="dxa"/>
            </w:tcMar>
          </w:tcPr>
          <w:p>
            <w:r>
              <w:rPr>
                <w:sz w:val="16"/>
              </w:rPr>
              <w:t>1</w:t>
            </w:r>
          </w:p>
        </w:tc>
        <w:tc>
          <w:tcPr>
            <w:tcW w:type="dxa" w:w="2304"/>
            <w:tcMar>
              <w:top w:w="45" w:type="dxa"/>
              <w:start w:w="60" w:type="dxa"/>
              <w:bottom w:w="45" w:type="dxa"/>
              <w:end w:w="60" w:type="dxa"/>
            </w:tcMar>
          </w:tcPr>
          <w:p>
            <w:r>
              <w:rPr>
                <w:sz w:val="16"/>
              </w:rPr>
            </w:r>
          </w:p>
        </w:tc>
        <w:tc>
          <w:tcPr>
            <w:tcW w:type="dxa" w:w="2880"/>
            <w:tcMar>
              <w:top w:w="45" w:type="dxa"/>
              <w:start w:w="60" w:type="dxa"/>
              <w:bottom w:w="45" w:type="dxa"/>
              <w:end w:w="60" w:type="dxa"/>
            </w:tcMar>
          </w:tcPr>
          <w:p>
            <w:r>
              <w:rPr>
                <w:sz w:val="16"/>
              </w:rPr>
            </w:r>
          </w:p>
        </w:tc>
        <w:tc>
          <w:tcPr>
            <w:tcW w:type="dxa" w:w="3744"/>
            <w:tcMar>
              <w:top w:w="45" w:type="dxa"/>
              <w:start w:w="60" w:type="dxa"/>
              <w:bottom w:w="45" w:type="dxa"/>
              <w:end w:w="60" w:type="dxa"/>
            </w:tcMar>
          </w:tcPr>
          <w:p>
            <w:r>
              <w:rPr>
                <w:sz w:val="16"/>
              </w:rPr>
            </w:r>
          </w:p>
        </w:tc>
      </w:tr>
      <w:tr>
        <w:trPr>
          <w:cantSplit/>
        </w:trPr>
        <w:tc>
          <w:tcPr>
            <w:tcW w:type="dxa" w:w="1008"/>
            <w:tcMar>
              <w:top w:w="45" w:type="dxa"/>
              <w:start w:w="60" w:type="dxa"/>
              <w:bottom w:w="45" w:type="dxa"/>
              <w:end w:w="60" w:type="dxa"/>
            </w:tcMar>
            <w:shd w:fill="F2F2F2"/>
          </w:tcPr>
          <w:p>
            <w:r>
              <w:rPr>
                <w:sz w:val="16"/>
              </w:rPr>
              <w:t>2</w:t>
            </w:r>
          </w:p>
        </w:tc>
        <w:tc>
          <w:tcPr>
            <w:tcW w:type="dxa" w:w="2304"/>
            <w:tcMar>
              <w:top w:w="45" w:type="dxa"/>
              <w:start w:w="60" w:type="dxa"/>
              <w:bottom w:w="45" w:type="dxa"/>
              <w:end w:w="60" w:type="dxa"/>
            </w:tcMar>
            <w:shd w:fill="F2F2F2"/>
          </w:tcPr>
          <w:p>
            <w:r>
              <w:rPr>
                <w:sz w:val="16"/>
              </w:rPr>
            </w:r>
          </w:p>
        </w:tc>
        <w:tc>
          <w:tcPr>
            <w:tcW w:type="dxa" w:w="2880"/>
            <w:tcMar>
              <w:top w:w="45" w:type="dxa"/>
              <w:start w:w="60" w:type="dxa"/>
              <w:bottom w:w="45" w:type="dxa"/>
              <w:end w:w="60" w:type="dxa"/>
            </w:tcMar>
            <w:shd w:fill="F2F2F2"/>
          </w:tcPr>
          <w:p>
            <w:r>
              <w:rPr>
                <w:sz w:val="16"/>
              </w:rPr>
            </w:r>
          </w:p>
        </w:tc>
        <w:tc>
          <w:tcPr>
            <w:tcW w:type="dxa" w:w="3744"/>
            <w:tcMar>
              <w:top w:w="45" w:type="dxa"/>
              <w:start w:w="60" w:type="dxa"/>
              <w:bottom w:w="45" w:type="dxa"/>
              <w:end w:w="60" w:type="dxa"/>
            </w:tcMar>
            <w:shd w:fill="F2F2F2"/>
          </w:tcPr>
          <w:p>
            <w:r>
              <w:rPr>
                <w:sz w:val="16"/>
              </w:rPr>
            </w:r>
          </w:p>
        </w:tc>
      </w:tr>
      <w:tr>
        <w:trPr>
          <w:cantSplit/>
        </w:trPr>
        <w:tc>
          <w:tcPr>
            <w:tcW w:type="dxa" w:w="1008"/>
            <w:tcMar>
              <w:top w:w="45" w:type="dxa"/>
              <w:start w:w="60" w:type="dxa"/>
              <w:bottom w:w="45" w:type="dxa"/>
              <w:end w:w="60" w:type="dxa"/>
            </w:tcMar>
          </w:tcPr>
          <w:p>
            <w:r>
              <w:rPr>
                <w:sz w:val="16"/>
              </w:rPr>
              <w:t>3</w:t>
            </w:r>
          </w:p>
        </w:tc>
        <w:tc>
          <w:tcPr>
            <w:tcW w:type="dxa" w:w="2304"/>
            <w:tcMar>
              <w:top w:w="45" w:type="dxa"/>
              <w:start w:w="60" w:type="dxa"/>
              <w:bottom w:w="45" w:type="dxa"/>
              <w:end w:w="60" w:type="dxa"/>
            </w:tcMar>
          </w:tcPr>
          <w:p>
            <w:r>
              <w:rPr>
                <w:sz w:val="16"/>
              </w:rPr>
            </w:r>
          </w:p>
        </w:tc>
        <w:tc>
          <w:tcPr>
            <w:tcW w:type="dxa" w:w="2880"/>
            <w:tcMar>
              <w:top w:w="45" w:type="dxa"/>
              <w:start w:w="60" w:type="dxa"/>
              <w:bottom w:w="45" w:type="dxa"/>
              <w:end w:w="60" w:type="dxa"/>
            </w:tcMar>
          </w:tcPr>
          <w:p>
            <w:r>
              <w:rPr>
                <w:sz w:val="16"/>
              </w:rPr>
            </w:r>
          </w:p>
        </w:tc>
        <w:tc>
          <w:tcPr>
            <w:tcW w:type="dxa" w:w="3744"/>
            <w:tcMar>
              <w:top w:w="45" w:type="dxa"/>
              <w:start w:w="60" w:type="dxa"/>
              <w:bottom w:w="45" w:type="dxa"/>
              <w:end w:w="60" w:type="dxa"/>
            </w:tcMar>
          </w:tcPr>
          <w:p>
            <w:r>
              <w:rPr>
                <w:sz w:val="16"/>
              </w:rPr>
            </w:r>
          </w:p>
        </w:tc>
      </w:tr>
      <w:tr>
        <w:trPr>
          <w:cantSplit/>
        </w:trPr>
        <w:tc>
          <w:tcPr>
            <w:tcW w:type="dxa" w:w="1008"/>
            <w:tcMar>
              <w:top w:w="45" w:type="dxa"/>
              <w:start w:w="60" w:type="dxa"/>
              <w:bottom w:w="45" w:type="dxa"/>
              <w:end w:w="60" w:type="dxa"/>
            </w:tcMar>
            <w:shd w:fill="F2F2F2"/>
          </w:tcPr>
          <w:p>
            <w:r>
              <w:rPr>
                <w:sz w:val="16"/>
              </w:rPr>
              <w:t>4</w:t>
            </w:r>
          </w:p>
        </w:tc>
        <w:tc>
          <w:tcPr>
            <w:tcW w:type="dxa" w:w="2304"/>
            <w:tcMar>
              <w:top w:w="45" w:type="dxa"/>
              <w:start w:w="60" w:type="dxa"/>
              <w:bottom w:w="45" w:type="dxa"/>
              <w:end w:w="60" w:type="dxa"/>
            </w:tcMar>
            <w:shd w:fill="F2F2F2"/>
          </w:tcPr>
          <w:p>
            <w:r>
              <w:rPr>
                <w:sz w:val="16"/>
              </w:rPr>
            </w:r>
          </w:p>
        </w:tc>
        <w:tc>
          <w:tcPr>
            <w:tcW w:type="dxa" w:w="2880"/>
            <w:tcMar>
              <w:top w:w="45" w:type="dxa"/>
              <w:start w:w="60" w:type="dxa"/>
              <w:bottom w:w="45" w:type="dxa"/>
              <w:end w:w="60" w:type="dxa"/>
            </w:tcMar>
            <w:shd w:fill="F2F2F2"/>
          </w:tcPr>
          <w:p>
            <w:r>
              <w:rPr>
                <w:sz w:val="16"/>
              </w:rPr>
            </w:r>
          </w:p>
        </w:tc>
        <w:tc>
          <w:tcPr>
            <w:tcW w:type="dxa" w:w="3744"/>
            <w:tcMar>
              <w:top w:w="45" w:type="dxa"/>
              <w:start w:w="60" w:type="dxa"/>
              <w:bottom w:w="45" w:type="dxa"/>
              <w:end w:w="60" w:type="dxa"/>
            </w:tcMar>
            <w:shd w:fill="F2F2F2"/>
          </w:tcPr>
          <w:p>
            <w:r>
              <w:rPr>
                <w:sz w:val="16"/>
              </w:rPr>
            </w:r>
          </w:p>
        </w:tc>
      </w:tr>
      <w:tr>
        <w:trPr>
          <w:cantSplit/>
        </w:trPr>
        <w:tc>
          <w:tcPr>
            <w:tcW w:type="dxa" w:w="1008"/>
            <w:tcMar>
              <w:top w:w="45" w:type="dxa"/>
              <w:start w:w="60" w:type="dxa"/>
              <w:bottom w:w="45" w:type="dxa"/>
              <w:end w:w="60" w:type="dxa"/>
            </w:tcMar>
          </w:tcPr>
          <w:p>
            <w:r>
              <w:rPr>
                <w:sz w:val="16"/>
              </w:rPr>
              <w:t>5</w:t>
            </w:r>
          </w:p>
        </w:tc>
        <w:tc>
          <w:tcPr>
            <w:tcW w:type="dxa" w:w="2304"/>
            <w:tcMar>
              <w:top w:w="45" w:type="dxa"/>
              <w:start w:w="60" w:type="dxa"/>
              <w:bottom w:w="45" w:type="dxa"/>
              <w:end w:w="60" w:type="dxa"/>
            </w:tcMar>
          </w:tcPr>
          <w:p>
            <w:r>
              <w:rPr>
                <w:sz w:val="16"/>
              </w:rPr>
            </w:r>
          </w:p>
        </w:tc>
        <w:tc>
          <w:tcPr>
            <w:tcW w:type="dxa" w:w="2880"/>
            <w:tcMar>
              <w:top w:w="45" w:type="dxa"/>
              <w:start w:w="60" w:type="dxa"/>
              <w:bottom w:w="45" w:type="dxa"/>
              <w:end w:w="60" w:type="dxa"/>
            </w:tcMar>
          </w:tcPr>
          <w:p>
            <w:r>
              <w:rPr>
                <w:sz w:val="16"/>
              </w:rPr>
            </w:r>
          </w:p>
        </w:tc>
        <w:tc>
          <w:tcPr>
            <w:tcW w:type="dxa" w:w="3744"/>
            <w:tcMar>
              <w:top w:w="45" w:type="dxa"/>
              <w:start w:w="60" w:type="dxa"/>
              <w:bottom w:w="45" w:type="dxa"/>
              <w:end w:w="60" w:type="dxa"/>
            </w:tcMar>
          </w:tcPr>
          <w:p>
            <w:r>
              <w:rPr>
                <w:sz w:val="16"/>
              </w:rPr>
            </w:r>
          </w:p>
        </w:tc>
      </w:tr>
      <w:tr>
        <w:trPr>
          <w:cantSplit/>
        </w:trPr>
        <w:tc>
          <w:tcPr>
            <w:tcW w:type="dxa" w:w="1008"/>
            <w:tcMar>
              <w:top w:w="45" w:type="dxa"/>
              <w:start w:w="60" w:type="dxa"/>
              <w:bottom w:w="45" w:type="dxa"/>
              <w:end w:w="60" w:type="dxa"/>
            </w:tcMar>
            <w:shd w:fill="F2F2F2"/>
          </w:tcPr>
          <w:p>
            <w:r>
              <w:rPr>
                <w:sz w:val="16"/>
              </w:rPr>
              <w:t>6</w:t>
            </w:r>
          </w:p>
        </w:tc>
        <w:tc>
          <w:tcPr>
            <w:tcW w:type="dxa" w:w="2304"/>
            <w:tcMar>
              <w:top w:w="45" w:type="dxa"/>
              <w:start w:w="60" w:type="dxa"/>
              <w:bottom w:w="45" w:type="dxa"/>
              <w:end w:w="60" w:type="dxa"/>
            </w:tcMar>
            <w:shd w:fill="F2F2F2"/>
          </w:tcPr>
          <w:p>
            <w:r>
              <w:rPr>
                <w:sz w:val="16"/>
              </w:rPr>
            </w:r>
          </w:p>
        </w:tc>
        <w:tc>
          <w:tcPr>
            <w:tcW w:type="dxa" w:w="2880"/>
            <w:tcMar>
              <w:top w:w="45" w:type="dxa"/>
              <w:start w:w="60" w:type="dxa"/>
              <w:bottom w:w="45" w:type="dxa"/>
              <w:end w:w="60" w:type="dxa"/>
            </w:tcMar>
            <w:shd w:fill="F2F2F2"/>
          </w:tcPr>
          <w:p>
            <w:r>
              <w:rPr>
                <w:sz w:val="16"/>
              </w:rPr>
            </w:r>
          </w:p>
        </w:tc>
        <w:tc>
          <w:tcPr>
            <w:tcW w:type="dxa" w:w="3744"/>
            <w:tcMar>
              <w:top w:w="45" w:type="dxa"/>
              <w:start w:w="60" w:type="dxa"/>
              <w:bottom w:w="45" w:type="dxa"/>
              <w:end w:w="60" w:type="dxa"/>
            </w:tcMar>
            <w:shd w:fill="F2F2F2"/>
          </w:tcPr>
          <w:p>
            <w:r>
              <w:rPr>
                <w:sz w:val="16"/>
              </w:rPr>
            </w:r>
          </w:p>
        </w:tc>
      </w:tr>
      <w:tr>
        <w:trPr>
          <w:cantSplit/>
        </w:trPr>
        <w:tc>
          <w:tcPr>
            <w:tcW w:type="dxa" w:w="1008"/>
            <w:tcMar>
              <w:top w:w="45" w:type="dxa"/>
              <w:start w:w="60" w:type="dxa"/>
              <w:bottom w:w="45" w:type="dxa"/>
              <w:end w:w="60" w:type="dxa"/>
            </w:tcMar>
          </w:tcPr>
          <w:p>
            <w:r>
              <w:rPr>
                <w:sz w:val="16"/>
              </w:rPr>
              <w:t>7</w:t>
            </w:r>
          </w:p>
        </w:tc>
        <w:tc>
          <w:tcPr>
            <w:tcW w:type="dxa" w:w="2304"/>
            <w:tcMar>
              <w:top w:w="45" w:type="dxa"/>
              <w:start w:w="60" w:type="dxa"/>
              <w:bottom w:w="45" w:type="dxa"/>
              <w:end w:w="60" w:type="dxa"/>
            </w:tcMar>
          </w:tcPr>
          <w:p>
            <w:r>
              <w:rPr>
                <w:sz w:val="16"/>
              </w:rPr>
            </w:r>
          </w:p>
        </w:tc>
        <w:tc>
          <w:tcPr>
            <w:tcW w:type="dxa" w:w="2880"/>
            <w:tcMar>
              <w:top w:w="45" w:type="dxa"/>
              <w:start w:w="60" w:type="dxa"/>
              <w:bottom w:w="45" w:type="dxa"/>
              <w:end w:w="60" w:type="dxa"/>
            </w:tcMar>
          </w:tcPr>
          <w:p>
            <w:r>
              <w:rPr>
                <w:sz w:val="16"/>
              </w:rPr>
            </w:r>
          </w:p>
        </w:tc>
        <w:tc>
          <w:tcPr>
            <w:tcW w:type="dxa" w:w="3744"/>
            <w:tcMar>
              <w:top w:w="45" w:type="dxa"/>
              <w:start w:w="60" w:type="dxa"/>
              <w:bottom w:w="45" w:type="dxa"/>
              <w:end w:w="60" w:type="dxa"/>
            </w:tcMar>
          </w:tcPr>
          <w:p>
            <w:r>
              <w:rPr>
                <w:sz w:val="16"/>
              </w:rPr>
            </w:r>
          </w:p>
        </w:tc>
      </w:tr>
      <w:tr>
        <w:trPr>
          <w:cantSplit/>
        </w:trPr>
        <w:tc>
          <w:tcPr>
            <w:tcW w:type="dxa" w:w="1008"/>
            <w:tcMar>
              <w:top w:w="45" w:type="dxa"/>
              <w:start w:w="60" w:type="dxa"/>
              <w:bottom w:w="45" w:type="dxa"/>
              <w:end w:w="60" w:type="dxa"/>
            </w:tcMar>
            <w:shd w:fill="F2F2F2"/>
          </w:tcPr>
          <w:p>
            <w:r>
              <w:rPr>
                <w:sz w:val="16"/>
              </w:rPr>
              <w:t>8</w:t>
            </w:r>
          </w:p>
        </w:tc>
        <w:tc>
          <w:tcPr>
            <w:tcW w:type="dxa" w:w="2304"/>
            <w:tcMar>
              <w:top w:w="45" w:type="dxa"/>
              <w:start w:w="60" w:type="dxa"/>
              <w:bottom w:w="45" w:type="dxa"/>
              <w:end w:w="60" w:type="dxa"/>
            </w:tcMar>
            <w:shd w:fill="F2F2F2"/>
          </w:tcPr>
          <w:p>
            <w:r>
              <w:rPr>
                <w:sz w:val="16"/>
              </w:rPr>
            </w:r>
          </w:p>
        </w:tc>
        <w:tc>
          <w:tcPr>
            <w:tcW w:type="dxa" w:w="2880"/>
            <w:tcMar>
              <w:top w:w="45" w:type="dxa"/>
              <w:start w:w="60" w:type="dxa"/>
              <w:bottom w:w="45" w:type="dxa"/>
              <w:end w:w="60" w:type="dxa"/>
            </w:tcMar>
            <w:shd w:fill="F2F2F2"/>
          </w:tcPr>
          <w:p>
            <w:r>
              <w:rPr>
                <w:sz w:val="16"/>
              </w:rPr>
            </w:r>
          </w:p>
        </w:tc>
        <w:tc>
          <w:tcPr>
            <w:tcW w:type="dxa" w:w="3744"/>
            <w:tcMar>
              <w:top w:w="45" w:type="dxa"/>
              <w:start w:w="60" w:type="dxa"/>
              <w:bottom w:w="45" w:type="dxa"/>
              <w:end w:w="60" w:type="dxa"/>
            </w:tcMar>
            <w:shd w:fill="F2F2F2"/>
          </w:tcPr>
          <w:p>
            <w:r>
              <w:rPr>
                <w:sz w:val="16"/>
              </w:rPr>
            </w:r>
          </w:p>
        </w:tc>
      </w:tr>
      <w:tr>
        <w:trPr>
          <w:cantSplit/>
        </w:trPr>
        <w:tc>
          <w:tcPr>
            <w:tcW w:type="dxa" w:w="1008"/>
            <w:tcMar>
              <w:top w:w="45" w:type="dxa"/>
              <w:start w:w="60" w:type="dxa"/>
              <w:bottom w:w="45" w:type="dxa"/>
              <w:end w:w="60" w:type="dxa"/>
            </w:tcMar>
          </w:tcPr>
          <w:p>
            <w:r>
              <w:rPr>
                <w:sz w:val="16"/>
              </w:rPr>
              <w:t>9</w:t>
            </w:r>
          </w:p>
        </w:tc>
        <w:tc>
          <w:tcPr>
            <w:tcW w:type="dxa" w:w="2304"/>
            <w:tcMar>
              <w:top w:w="45" w:type="dxa"/>
              <w:start w:w="60" w:type="dxa"/>
              <w:bottom w:w="45" w:type="dxa"/>
              <w:end w:w="60" w:type="dxa"/>
            </w:tcMar>
          </w:tcPr>
          <w:p>
            <w:r>
              <w:rPr>
                <w:sz w:val="16"/>
              </w:rPr>
            </w:r>
          </w:p>
        </w:tc>
        <w:tc>
          <w:tcPr>
            <w:tcW w:type="dxa" w:w="2880"/>
            <w:tcMar>
              <w:top w:w="45" w:type="dxa"/>
              <w:start w:w="60" w:type="dxa"/>
              <w:bottom w:w="45" w:type="dxa"/>
              <w:end w:w="60" w:type="dxa"/>
            </w:tcMar>
          </w:tcPr>
          <w:p>
            <w:r>
              <w:rPr>
                <w:sz w:val="16"/>
              </w:rPr>
            </w:r>
          </w:p>
        </w:tc>
        <w:tc>
          <w:tcPr>
            <w:tcW w:type="dxa" w:w="3744"/>
            <w:tcMar>
              <w:top w:w="45" w:type="dxa"/>
              <w:start w:w="60" w:type="dxa"/>
              <w:bottom w:w="45" w:type="dxa"/>
              <w:end w:w="60" w:type="dxa"/>
            </w:tcMar>
          </w:tcPr>
          <w:p>
            <w:r>
              <w:rPr>
                <w:sz w:val="16"/>
              </w:rPr>
            </w:r>
          </w:p>
        </w:tc>
      </w:tr>
      <w:tr>
        <w:trPr>
          <w:cantSplit/>
        </w:trPr>
        <w:tc>
          <w:tcPr>
            <w:tcW w:type="dxa" w:w="1008"/>
            <w:tcMar>
              <w:top w:w="45" w:type="dxa"/>
              <w:start w:w="60" w:type="dxa"/>
              <w:bottom w:w="45" w:type="dxa"/>
              <w:end w:w="60" w:type="dxa"/>
            </w:tcMar>
            <w:shd w:fill="F2F2F2"/>
          </w:tcPr>
          <w:p>
            <w:r>
              <w:rPr>
                <w:sz w:val="16"/>
              </w:rPr>
              <w:t>10</w:t>
            </w:r>
          </w:p>
        </w:tc>
        <w:tc>
          <w:tcPr>
            <w:tcW w:type="dxa" w:w="2304"/>
            <w:tcMar>
              <w:top w:w="45" w:type="dxa"/>
              <w:start w:w="60" w:type="dxa"/>
              <w:bottom w:w="45" w:type="dxa"/>
              <w:end w:w="60" w:type="dxa"/>
            </w:tcMar>
            <w:shd w:fill="F2F2F2"/>
          </w:tcPr>
          <w:p>
            <w:r>
              <w:rPr>
                <w:sz w:val="16"/>
              </w:rPr>
            </w:r>
          </w:p>
        </w:tc>
        <w:tc>
          <w:tcPr>
            <w:tcW w:type="dxa" w:w="2880"/>
            <w:tcMar>
              <w:top w:w="45" w:type="dxa"/>
              <w:start w:w="60" w:type="dxa"/>
              <w:bottom w:w="45" w:type="dxa"/>
              <w:end w:w="60" w:type="dxa"/>
            </w:tcMar>
            <w:shd w:fill="F2F2F2"/>
          </w:tcPr>
          <w:p>
            <w:r>
              <w:rPr>
                <w:sz w:val="16"/>
              </w:rPr>
            </w:r>
          </w:p>
        </w:tc>
        <w:tc>
          <w:tcPr>
            <w:tcW w:type="dxa" w:w="3744"/>
            <w:tcMar>
              <w:top w:w="45" w:type="dxa"/>
              <w:start w:w="60" w:type="dxa"/>
              <w:bottom w:w="45" w:type="dxa"/>
              <w:end w:w="60" w:type="dxa"/>
            </w:tcMar>
            <w:shd w:fill="F2F2F2"/>
          </w:tcPr>
          <w:p>
            <w:r>
              <w:rPr>
                <w:sz w:val="16"/>
              </w:rPr>
            </w:r>
          </w:p>
        </w:tc>
      </w:tr>
    </w:tbl>
    <w:p>
      <w:pPr>
        <w:spacing w:after="0" w:before="0" w:line="240" w:lineRule="auto"/>
      </w:pPr>
      <w:r>
        <w:rPr>
          <w:sz w:val="12"/>
        </w:rPr>
      </w:r>
    </w:p>
    <w:p>
      <w:pPr>
        <w:keepNext/>
        <w:spacing w:before="160" w:after="80"/>
        <w:shd w:fill="0E7490" w:val="clear"/>
      </w:pPr>
      <w:r>
        <w:rPr>
          <w:rFonts w:ascii="Aptos" w:hAnsi="Aptos"/>
          <w:b/>
          <w:color w:val="FFFFFF"/>
          <w:sz w:val="17"/>
        </w:rPr>
        <w:t>LMFT-WB02-Q001 | Recall | Easy | Primary concept: Clinical validation</w:t>
      </w:r>
    </w:p>
    <w:p>
      <w:pPr>
        <w:keepNext/>
        <w:keepLines/>
        <w:pageBreakBefore w:val="0"/>
        <w:spacing w:before="100" w:after="40"/>
      </w:pPr>
      <w:r>
        <w:rPr>
          <w:b/>
          <w:sz w:val="18"/>
        </w:rPr>
        <w:t>1. Which statement BEST describes clinical validation?</w:t>
      </w:r>
    </w:p>
    <w:p>
      <w:pPr>
        <w:keepNext/>
        <w:keepLines/>
        <w:pageBreakBefore w:val="0"/>
        <w:spacing w:after="20"/>
        <w:ind w:left="259"/>
      </w:pPr>
      <w:r>
        <w:t>A. Recognizing the understandable emotional response while continuing assessment and maintaining boundaries</w:t>
      </w:r>
    </w:p>
    <w:p>
      <w:pPr>
        <w:keepNext/>
        <w:keepLines/>
        <w:pageBreakBefore w:val="0"/>
        <w:spacing w:after="20"/>
        <w:ind w:left="259"/>
      </w:pPr>
      <w:r>
        <w:t>B. Agreeing with the client’s interpretation of every event</w:t>
      </w:r>
    </w:p>
    <w:p>
      <w:pPr>
        <w:keepNext/>
        <w:keepLines/>
        <w:pageBreakBefore w:val="0"/>
        <w:spacing w:after="20"/>
        <w:ind w:left="259"/>
      </w:pPr>
      <w:r>
        <w:t>C. Reassuring the client that the problem will resolve</w:t>
      </w:r>
    </w:p>
    <w:p>
      <w:pPr>
        <w:keepNext/>
        <w:keepLines/>
        <w:pageBreakBefore w:val="0"/>
        <w:spacing w:after="20"/>
        <w:ind w:left="259"/>
      </w:pPr>
      <w:r>
        <w:t>D. Avoiding difficult questions to preserve rapport</w:t>
      </w:r>
    </w:p>
    <w:p>
      <w:pPr>
        <w:keepLines/>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LMFT-WB02-Q002 | Recall | Easy | Primary concept: Unit of treatment</w:t>
      </w:r>
    </w:p>
    <w:p>
      <w:pPr>
        <w:keepNext/>
        <w:keepLines/>
        <w:pageBreakBefore w:val="0"/>
        <w:spacing w:before="100" w:after="40"/>
      </w:pPr>
      <w:r>
        <w:rPr>
          <w:b/>
          <w:sz w:val="18"/>
        </w:rPr>
        <w:t>2. In an initial LMFT assessment, the unit of treatment refers to:</w:t>
      </w:r>
    </w:p>
    <w:p>
      <w:pPr>
        <w:keepNext/>
        <w:keepLines/>
        <w:pageBreakBefore w:val="0"/>
        <w:spacing w:after="20"/>
        <w:ind w:left="259"/>
      </w:pPr>
      <w:r>
        <w:t>A. Every person who attends the first appointment</w:t>
      </w:r>
    </w:p>
    <w:p>
      <w:pPr>
        <w:keepNext/>
        <w:keepLines/>
        <w:pageBreakBefore w:val="0"/>
        <w:spacing w:after="20"/>
        <w:ind w:left="259"/>
      </w:pPr>
      <w:r>
        <w:t>B. The individual, couple, family, or relational system that is the clinical focus</w:t>
      </w:r>
    </w:p>
    <w:p>
      <w:pPr>
        <w:keepNext/>
        <w:keepLines/>
        <w:pageBreakBefore w:val="0"/>
        <w:spacing w:after="20"/>
        <w:ind w:left="259"/>
      </w:pPr>
      <w:r>
        <w:t>C. The person whose symptoms are most visible</w:t>
      </w:r>
    </w:p>
    <w:p>
      <w:pPr>
        <w:keepNext/>
        <w:keepLines/>
        <w:pageBreakBefore w:val="0"/>
        <w:spacing w:after="20"/>
        <w:ind w:left="259"/>
      </w:pPr>
      <w:r>
        <w:t>D. The person who pays for therapy</w:t>
      </w:r>
    </w:p>
    <w:p>
      <w:pPr>
        <w:keepLines/>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LMFT-WB02-Q003 | Recall | Easy | Primary concept: Mental-status thought process</w:t>
      </w:r>
    </w:p>
    <w:p>
      <w:pPr>
        <w:keepNext/>
        <w:keepLines/>
        <w:pageBreakBefore w:val="0"/>
        <w:spacing w:before="100" w:after="40"/>
      </w:pPr>
      <w:r>
        <w:rPr>
          <w:b/>
          <w:sz w:val="18"/>
        </w:rPr>
        <w:t>3. Which finding belongs primarily to the thought-process portion of the mental status examination?</w:t>
      </w:r>
    </w:p>
    <w:p>
      <w:pPr>
        <w:keepNext/>
        <w:keepLines/>
        <w:pageBreakBefore w:val="0"/>
        <w:spacing w:after="20"/>
        <w:ind w:left="259"/>
      </w:pPr>
      <w:r>
        <w:t>A. The client reports feeling sad</w:t>
      </w:r>
    </w:p>
    <w:p>
      <w:pPr>
        <w:keepNext/>
        <w:keepLines/>
        <w:pageBreakBefore w:val="0"/>
        <w:spacing w:after="20"/>
        <w:ind w:left="259"/>
      </w:pPr>
      <w:r>
        <w:t>B. The client is wearing soiled clothing</w:t>
      </w:r>
    </w:p>
    <w:p>
      <w:pPr>
        <w:keepNext/>
        <w:keepLines/>
        <w:pageBreakBefore w:val="0"/>
        <w:spacing w:after="20"/>
        <w:ind w:left="259"/>
      </w:pPr>
      <w:r>
        <w:t>C. The client reports hearing a voice</w:t>
      </w:r>
    </w:p>
    <w:p>
      <w:pPr>
        <w:keepNext/>
        <w:keepLines/>
        <w:pageBreakBefore w:val="0"/>
        <w:spacing w:after="20"/>
        <w:ind w:left="259"/>
      </w:pPr>
      <w:r>
        <w:t>D. The client moves rapidly from one loosely connected idea to another</w:t>
      </w:r>
    </w:p>
    <w:p>
      <w:pPr>
        <w:keepLines/>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LMFT-WB02-Q004 | Application | Moderate | Primary concept: Balanced systemic intake</w:t>
      </w:r>
    </w:p>
    <w:p>
      <w:pPr>
        <w:keepNext/>
        <w:keepLines/>
        <w:pageBreakBefore w:val="0"/>
        <w:spacing w:before="100" w:after="40"/>
      </w:pPr>
      <w:r>
        <w:rPr>
          <w:b/>
          <w:sz w:val="18"/>
        </w:rPr>
        <w:t>4. A couple begins the first session. One partner says the other is emotionally unavailable; the other says every conversation becomes criticism. What should the therapist do first?</w:t>
      </w:r>
    </w:p>
    <w:p>
      <w:pPr>
        <w:keepNext/>
        <w:keepLines/>
        <w:pageBreakBefore w:val="0"/>
        <w:spacing w:after="20"/>
        <w:ind w:left="259"/>
      </w:pPr>
      <w:r>
        <w:t>A. Teach communication skills</w:t>
      </w:r>
    </w:p>
    <w:p>
      <w:pPr>
        <w:keepNext/>
        <w:keepLines/>
        <w:pageBreakBefore w:val="0"/>
        <w:spacing w:after="20"/>
        <w:ind w:left="259"/>
      </w:pPr>
      <w:r>
        <w:t>B. Determine which partner’s description is more accurate</w:t>
      </w:r>
    </w:p>
    <w:p>
      <w:pPr>
        <w:keepNext/>
        <w:keepLines/>
        <w:pageBreakBefore w:val="0"/>
        <w:spacing w:after="20"/>
        <w:ind w:left="259"/>
      </w:pPr>
      <w:r>
        <w:t>C. Explore each partner’s perception, goals, interactional sequence, and any safety concerns</w:t>
      </w:r>
    </w:p>
    <w:p>
      <w:pPr>
        <w:keepNext/>
        <w:keepLines/>
        <w:pageBreakBefore w:val="0"/>
        <w:spacing w:after="20"/>
        <w:ind w:left="259"/>
      </w:pPr>
      <w:r>
        <w:t>D. Refer the first partner to individual therapy</w:t>
      </w:r>
    </w:p>
    <w:p>
      <w:pPr>
        <w:keepLines/>
        <w:spacing w:after="160"/>
      </w:pPr>
      <w:r>
        <w:rPr>
          <w:rFonts w:ascii="Aptos" w:hAnsi="Aptos"/>
          <w:i/>
          <w:color w:val="6B7280"/>
          <w:sz w:val="18"/>
        </w:rPr>
        <w:t>My answer: ______    Confidence: 1  2  3</w:t>
      </w:r>
    </w:p>
    <w:p>
      <w:r>
        <w:br w:type="page"/>
      </w:r>
    </w:p>
    <w:p>
      <w:pPr>
        <w:keepNext/>
        <w:spacing w:before="160" w:after="80"/>
        <w:shd w:fill="0E7490" w:val="clear"/>
      </w:pPr>
      <w:r>
        <w:rPr>
          <w:rFonts w:ascii="Aptos" w:hAnsi="Aptos"/>
          <w:b/>
          <w:color w:val="FFFFFF"/>
          <w:sz w:val="17"/>
        </w:rPr>
        <w:t>LMFT-WB02-Q005 | Application | Moderate | Primary concept: Prior therapy and collaboration</w:t>
      </w:r>
    </w:p>
    <w:p>
      <w:pPr>
        <w:keepNext/>
        <w:keepLines/>
        <w:pageBreakBefore w:val="0"/>
        <w:spacing w:before="100" w:after="40"/>
      </w:pPr>
      <w:r>
        <w:rPr>
          <w:b/>
          <w:sz w:val="18"/>
        </w:rPr>
        <w:t>5. A client says, “Therapy never works. The last therapist kept telling me what to do.” What should the therapist do next?</w:t>
      </w:r>
    </w:p>
    <w:p>
      <w:pPr>
        <w:keepNext/>
        <w:keepLines/>
        <w:pageBreakBefore w:val="0"/>
        <w:spacing w:after="20"/>
        <w:ind w:left="259"/>
      </w:pPr>
      <w:r>
        <w:t>A. Explore what occurred, what felt unhelpful, what the client hoped for, and what would support collaboration now</w:t>
      </w:r>
    </w:p>
    <w:p>
      <w:pPr>
        <w:keepNext/>
        <w:keepLines/>
        <w:pageBreakBefore w:val="0"/>
        <w:spacing w:after="20"/>
        <w:ind w:left="259"/>
      </w:pPr>
      <w:r>
        <w:t>B. Explain why this therapist will be different</w:t>
      </w:r>
    </w:p>
    <w:p>
      <w:pPr>
        <w:keepNext/>
        <w:keepLines/>
        <w:pageBreakBefore w:val="0"/>
        <w:spacing w:after="20"/>
        <w:ind w:left="259"/>
      </w:pPr>
      <w:r>
        <w:t>C. Challenge the client’s negative attitude</w:t>
      </w:r>
    </w:p>
    <w:p>
      <w:pPr>
        <w:keepNext/>
        <w:keepLines/>
        <w:pageBreakBefore w:val="0"/>
        <w:spacing w:after="20"/>
        <w:ind w:left="259"/>
      </w:pPr>
      <w:r>
        <w:t>D. Recommend a different provider</w:t>
      </w:r>
    </w:p>
    <w:p>
      <w:pPr>
        <w:keepLines/>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LMFT-WB02-Q006 | Application | Moderate | Primary concept: Medication and medical factors</w:t>
      </w:r>
    </w:p>
    <w:p>
      <w:pPr>
        <w:keepNext/>
        <w:keepLines/>
        <w:pageBreakBefore w:val="0"/>
        <w:spacing w:before="100" w:after="40"/>
      </w:pPr>
      <w:r>
        <w:rPr>
          <w:b/>
          <w:sz w:val="18"/>
        </w:rPr>
        <w:t>6. A partner complains that the client is “lazy and detached” since starting medication. The client reports fatigue and emotional flattening. What should the therapist do first?</w:t>
      </w:r>
    </w:p>
    <w:p>
      <w:pPr>
        <w:keepNext/>
        <w:keepLines/>
        <w:pageBreakBefore w:val="0"/>
        <w:spacing w:after="20"/>
        <w:ind w:left="259"/>
      </w:pPr>
      <w:r>
        <w:t>A. Interpret the partner’s criticism as a pursuer-distancer cycle</w:t>
      </w:r>
    </w:p>
    <w:p>
      <w:pPr>
        <w:keepNext/>
        <w:keepLines/>
        <w:pageBreakBefore w:val="0"/>
        <w:spacing w:after="20"/>
        <w:ind w:left="259"/>
      </w:pPr>
      <w:r>
        <w:t>B. Assess onset, severity, functioning, medication timing and changes, safety, and encourage prescriber consultation while exploring the relational impact</w:t>
      </w:r>
    </w:p>
    <w:p>
      <w:pPr>
        <w:keepNext/>
        <w:keepLines/>
        <w:pageBreakBefore w:val="0"/>
        <w:spacing w:after="20"/>
        <w:ind w:left="259"/>
      </w:pPr>
      <w:r>
        <w:t>C. Tell the client to skip the medication on therapy days</w:t>
      </w:r>
    </w:p>
    <w:p>
      <w:pPr>
        <w:keepNext/>
        <w:keepLines/>
        <w:pageBreakBefore w:val="0"/>
        <w:spacing w:after="20"/>
        <w:ind w:left="259"/>
      </w:pPr>
      <w:r>
        <w:t>D. Begin communication training without further assessment</w:t>
      </w:r>
    </w:p>
    <w:p>
      <w:pPr>
        <w:keepLines/>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LMFT-WB02-Q007 | Scenario | Moderate | Primary concept: Reluctant adolescent engagement</w:t>
      </w:r>
    </w:p>
    <w:p>
      <w:pPr>
        <w:keepNext/>
        <w:keepLines/>
        <w:pageBreakBefore w:val="0"/>
        <w:spacing w:before="100" w:after="40"/>
      </w:pPr>
      <w:r>
        <w:rPr>
          <w:b/>
          <w:sz w:val="18"/>
        </w:rPr>
        <w:t>7. Parents bring a 15-year-old to therapy for “defiance.” The adolescent says, “I am only here because they forced me.” What should the therapist do first?</w:t>
      </w:r>
    </w:p>
    <w:p>
      <w:pPr>
        <w:keepNext/>
        <w:keepLines/>
        <w:pageBreakBefore w:val="0"/>
        <w:spacing w:after="20"/>
        <w:ind w:left="259"/>
      </w:pPr>
      <w:r>
        <w:t>A. Explain that the adolescent must cooperate</w:t>
      </w:r>
    </w:p>
    <w:p>
      <w:pPr>
        <w:keepNext/>
        <w:keepLines/>
        <w:pageBreakBefore w:val="0"/>
        <w:spacing w:after="20"/>
        <w:ind w:left="259"/>
      </w:pPr>
      <w:r>
        <w:t>B. Ask the parents to provide consequences for refusal</w:t>
      </w:r>
    </w:p>
    <w:p>
      <w:pPr>
        <w:keepNext/>
        <w:keepLines/>
        <w:pageBreakBefore w:val="0"/>
        <w:spacing w:after="20"/>
        <w:ind w:left="259"/>
      </w:pPr>
      <w:r>
        <w:t>C. Diagnose oppositional defiant disorder</w:t>
      </w:r>
    </w:p>
    <w:p>
      <w:pPr>
        <w:keepNext/>
        <w:keepLines/>
        <w:pageBreakBefore w:val="0"/>
        <w:spacing w:after="20"/>
        <w:ind w:left="259"/>
      </w:pPr>
      <w:r>
        <w:t>D. Clarify the therapist’s role, invite the adolescent’s perspective and goals, assess safety, and explore the family’s concerns and expectations</w:t>
      </w:r>
    </w:p>
    <w:p>
      <w:pPr>
        <w:keepLines/>
        <w:spacing w:after="160"/>
      </w:pPr>
      <w:r>
        <w:rPr>
          <w:rFonts w:ascii="Aptos" w:hAnsi="Aptos"/>
          <w:i/>
          <w:color w:val="6B7280"/>
          <w:sz w:val="18"/>
        </w:rPr>
        <w:t>My answer: ______    Confidence: 1  2  3</w:t>
      </w:r>
    </w:p>
    <w:p>
      <w:r>
        <w:br w:type="page"/>
      </w:r>
    </w:p>
    <w:p>
      <w:pPr>
        <w:keepNext/>
        <w:spacing w:before="160" w:after="80"/>
        <w:shd w:fill="0E7490" w:val="clear"/>
      </w:pPr>
      <w:r>
        <w:rPr>
          <w:rFonts w:ascii="Aptos" w:hAnsi="Aptos"/>
          <w:b/>
          <w:color w:val="FFFFFF"/>
          <w:sz w:val="17"/>
        </w:rPr>
        <w:t>LMFT-WB02-Q008 | Scenario | Moderate | Primary concept: Intoxication and immediate safety</w:t>
      </w:r>
    </w:p>
    <w:p>
      <w:pPr>
        <w:keepNext/>
        <w:keepLines/>
        <w:pageBreakBefore w:val="0"/>
        <w:spacing w:before="100" w:after="40"/>
      </w:pPr>
      <w:r>
        <w:rPr>
          <w:b/>
          <w:sz w:val="18"/>
        </w:rPr>
        <w:t>8. A parent arrives for family therapy with slurred speech, an unsteady gait, and the smell of alcohol. The parent plans to drive two children home. What should the therapist do first?</w:t>
      </w:r>
    </w:p>
    <w:p>
      <w:pPr>
        <w:keepNext/>
        <w:keepLines/>
        <w:pageBreakBefore w:val="0"/>
        <w:spacing w:after="20"/>
        <w:ind w:left="259"/>
      </w:pPr>
      <w:r>
        <w:t>A. Proceed with family therapy to avoid shaming the parent</w:t>
      </w:r>
    </w:p>
    <w:p>
      <w:pPr>
        <w:keepNext/>
        <w:keepLines/>
        <w:pageBreakBefore w:val="0"/>
        <w:spacing w:after="20"/>
        <w:ind w:left="259"/>
      </w:pPr>
      <w:r>
        <w:t>B. Ask the children how the parent’s drinking affects them</w:t>
      </w:r>
    </w:p>
    <w:p>
      <w:pPr>
        <w:keepNext/>
        <w:keepLines/>
        <w:pageBreakBefore w:val="0"/>
        <w:spacing w:after="20"/>
        <w:ind w:left="259"/>
      </w:pPr>
      <w:r>
        <w:t>C. Assess immediate safety and intoxication, prevent unsafe departure with the children, and arrange appropriate transportation or emergency assistance</w:t>
      </w:r>
    </w:p>
    <w:p>
      <w:pPr>
        <w:keepNext/>
        <w:keepLines/>
        <w:pageBreakBefore w:val="0"/>
        <w:spacing w:after="20"/>
        <w:ind w:left="259"/>
      </w:pPr>
      <w:r>
        <w:t>D. Schedule an addiction assessment for next week</w:t>
      </w:r>
    </w:p>
    <w:p>
      <w:pPr>
        <w:keepLines/>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LMFT-WB02-Q009 | Scenario | Moderate | Primary concept: Substance-medication differential assessment</w:t>
      </w:r>
    </w:p>
    <w:p>
      <w:pPr>
        <w:keepNext/>
        <w:keepLines/>
        <w:pageBreakBefore w:val="0"/>
        <w:spacing w:before="100" w:after="40"/>
      </w:pPr>
      <w:r>
        <w:rPr>
          <w:b/>
          <w:sz w:val="18"/>
        </w:rPr>
        <w:t>9. A client reports panic, insomnia, and irritability. The client drinks heavily on weekends and recently stopped a prescribed sedative. What should the therapist do next?</w:t>
      </w:r>
    </w:p>
    <w:p>
      <w:pPr>
        <w:keepNext/>
        <w:keepLines/>
        <w:pageBreakBefore w:val="0"/>
        <w:spacing w:after="20"/>
        <w:ind w:left="259"/>
      </w:pPr>
      <w:r>
        <w:t>A. Assess timing, amount and pattern of use, medication discontinuation, withdrawal and medical risk, prior symptoms during abstinence, and coordinate medical evaluation as indicated</w:t>
      </w:r>
    </w:p>
    <w:p>
      <w:pPr>
        <w:keepNext/>
        <w:keepLines/>
        <w:pageBreakBefore w:val="0"/>
        <w:spacing w:after="20"/>
        <w:ind w:left="259"/>
      </w:pPr>
      <w:r>
        <w:t>B. Diagnose panic disorder and begin exposure therapy</w:t>
      </w:r>
    </w:p>
    <w:p>
      <w:pPr>
        <w:keepNext/>
        <w:keepLines/>
        <w:pageBreakBefore w:val="0"/>
        <w:spacing w:after="20"/>
        <w:ind w:left="259"/>
      </w:pPr>
      <w:r>
        <w:t>C. Assume the symptoms are alcohol withdrawal</w:t>
      </w:r>
    </w:p>
    <w:p>
      <w:pPr>
        <w:keepNext/>
        <w:keepLines/>
        <w:pageBreakBefore w:val="0"/>
        <w:spacing w:after="20"/>
        <w:ind w:left="259"/>
      </w:pPr>
      <w:r>
        <w:t>D. Ask the partner to control access to alcohol and medication</w:t>
      </w:r>
    </w:p>
    <w:p>
      <w:pPr>
        <w:keepLines/>
        <w:spacing w:after="160"/>
      </w:pPr>
      <w:r>
        <w:rPr>
          <w:rFonts w:ascii="Aptos" w:hAnsi="Aptos"/>
          <w:i/>
          <w:color w:val="6B7280"/>
          <w:sz w:val="18"/>
        </w:rPr>
        <w:t>My answer: ______    Confidence: 1  2  3</w:t>
      </w:r>
    </w:p>
    <w:p>
      <w:pPr>
        <w:keepNext/>
        <w:spacing w:before="160" w:after="80"/>
        <w:shd w:fill="0E7490" w:val="clear"/>
      </w:pPr>
      <w:r>
        <w:rPr>
          <w:rFonts w:ascii="Aptos" w:hAnsi="Aptos"/>
          <w:b/>
          <w:color w:val="FFFFFF"/>
          <w:sz w:val="17"/>
        </w:rPr>
        <w:t>LMFT-WB02-Q010 | Integrated | Challenge | Primary concept: Cognitive change, safety, and family-system assessment</w:t>
      </w:r>
    </w:p>
    <w:p>
      <w:pPr>
        <w:keepNext/>
        <w:keepLines/>
        <w:pageBreakBefore w:val="0"/>
        <w:spacing w:before="100" w:after="40"/>
      </w:pPr>
      <w:r>
        <w:rPr>
          <w:b/>
          <w:sz w:val="18"/>
        </w:rPr>
        <w:t>10. An older adult and adult child attend therapy because of escalating conflict. The adult child reports recent forgetfulness, missed medications, falls, and accusations that neighbors are stealing. The client says the child is trying to take control. What should the therapist do first?</w:t>
      </w:r>
    </w:p>
    <w:p>
      <w:pPr>
        <w:keepNext/>
        <w:keepLines/>
        <w:pageBreakBefore w:val="0"/>
        <w:spacing w:after="20"/>
        <w:ind w:left="259"/>
      </w:pPr>
      <w:r>
        <w:t>A. Interpret the conflict as an autonomy-versus-control struggle</w:t>
      </w:r>
    </w:p>
    <w:p>
      <w:pPr>
        <w:keepNext/>
        <w:keepLines/>
        <w:pageBreakBefore w:val="0"/>
        <w:spacing w:after="20"/>
        <w:ind w:left="259"/>
      </w:pPr>
      <w:r>
        <w:t>B. Assess current cognition and safety, onset and course, medications, medical conditions, falls, daily functioning, possible exploitation, and each person’s perspective; arrange medical evaluation as indicated</w:t>
      </w:r>
    </w:p>
    <w:p>
      <w:pPr>
        <w:keepNext/>
        <w:keepLines/>
        <w:pageBreakBefore w:val="0"/>
        <w:spacing w:after="20"/>
        <w:ind w:left="259"/>
      </w:pPr>
      <w:r>
        <w:t>C. Begin a family boundary intervention</w:t>
      </w:r>
    </w:p>
    <w:p>
      <w:pPr>
        <w:keepNext/>
        <w:keepLines/>
        <w:pageBreakBefore w:val="0"/>
        <w:spacing w:after="20"/>
        <w:ind w:left="259"/>
      </w:pPr>
      <w:r>
        <w:t>D. Support the client in cutting off contact with the adult child</w:t>
      </w:r>
    </w:p>
    <w:p>
      <w:pPr>
        <w:keepLines/>
        <w:spacing w:after="160"/>
      </w:pPr>
      <w:r>
        <w:rPr>
          <w:rFonts w:ascii="Aptos" w:hAnsi="Aptos"/>
          <w:i/>
          <w:color w:val="6B7280"/>
          <w:sz w:val="18"/>
        </w:rPr>
        <w:t>My answer: ______    Confidence: 1  2  3</w:t>
      </w:r>
    </w:p>
    <w:p>
      <w:r>
        <w:br w:type="page"/>
      </w:r>
    </w:p>
    <w:p>
      <w:pPr>
        <w:pStyle w:val="Heading1"/>
        <w:keepNext/>
        <w:keepLines/>
        <w:pageBreakBefore w:val="0"/>
      </w:pPr>
      <w:r>
        <w:t>Answer Key and Detailed Rationales</w:t>
      </w:r>
    </w:p>
    <w:p>
      <w:pPr>
        <w:pStyle w:val="Heading2"/>
        <w:keepNext/>
        <w:keepLines/>
        <w:pageBreakBefore w:val="0"/>
      </w:pPr>
      <w:r>
        <w:t>Question 1 (LMFT-WB02-Q001)</w:t>
      </w:r>
    </w:p>
    <w:p>
      <w:pPr>
        <w:spacing w:after="60"/>
      </w:pPr>
      <w:r>
        <w:t>Correct Answer: A</w:t>
      </w:r>
    </w:p>
    <w:p>
      <w:pPr>
        <w:spacing w:after="40"/>
      </w:pPr>
      <w:r>
        <w:t>A. Validation acknowledges the emotional or lived experience without abandoning assessment, safety, or boundaries.</w:t>
      </w:r>
    </w:p>
    <w:p>
      <w:pPr>
        <w:spacing w:after="40"/>
      </w:pPr>
      <w:r>
        <w:t>B. Validation does not require agreement with an interpretation or conclusion.</w:t>
      </w:r>
    </w:p>
    <w:p>
      <w:pPr>
        <w:spacing w:after="40"/>
      </w:pPr>
      <w:r>
        <w:t>C. Reassurance may minimize the concern and does not establish understanding.</w:t>
      </w:r>
    </w:p>
    <w:p>
      <w:pPr>
        <w:spacing w:after="40"/>
      </w:pPr>
      <w:r>
        <w:t>D. Rapport does not require avoiding clinically relevant inquiry.</w:t>
      </w:r>
    </w:p>
    <w:tbl>
      <w:tblPr>
        <w:tblW w:type="auto" w:w="0"/>
        <w:jc w:val="center"/>
        <w:tblLayout w:type="fixed"/>
        <w:tblLook w:firstColumn="1" w:firstRow="1" w:lastColumn="0" w:lastRow="0" w:noHBand="0" w:noVBand="1" w:val="04A0"/>
      </w:tblPr>
      <w:tblGrid>
        <w:gridCol w:w="9936"/>
      </w:tblGrid>
      <w:tr>
        <w:trPr>
          <w:cantSplit/>
        </w:trPr>
        <w:tc>
          <w:tcPr>
            <w:tcW w:type="dxa" w:w="10080"/>
            <w:shd w:fill="EAF4F8"/>
            <w:tcMar>
              <w:top w:w="100" w:type="dxa"/>
              <w:start w:w="120" w:type="dxa"/>
              <w:bottom w:w="100" w:type="dxa"/>
              <w:end w:w="120" w:type="dxa"/>
            </w:tcMar>
          </w:tcPr>
          <w:p>
            <w:pPr>
              <w:spacing w:after="40"/>
            </w:pPr>
            <w:r>
              <w:rPr>
                <w:b/>
                <w:color w:val="1F4E78"/>
                <w:sz w:val="17"/>
              </w:rPr>
              <w:t>EXAM STRATEGY</w:t>
            </w:r>
          </w:p>
          <w:p>
            <w:pPr>
              <w:spacing w:after="0"/>
            </w:pPr>
            <w:r>
              <w:rPr>
                <w:sz w:val="18"/>
              </w:rPr>
              <w:t>Separate emotional validation from factual agreement. A strong answer can acknowledge the experience and still continue assessment.</w:t>
            </w:r>
          </w:p>
        </w:tc>
      </w:tr>
    </w:tbl>
    <w:p>
      <w:pPr>
        <w:spacing w:after="0" w:before="0" w:line="240" w:lineRule="auto"/>
      </w:pPr>
      <w:r>
        <w:rPr>
          <w:sz w:val="6"/>
        </w:rPr>
      </w:r>
    </w:p>
    <w:p>
      <w:pPr>
        <w:pStyle w:val="Heading2"/>
        <w:keepNext/>
        <w:keepLines/>
        <w:pageBreakBefore w:val="0"/>
      </w:pPr>
      <w:r>
        <w:t>Question 2 (LMFT-WB02-Q002)</w:t>
      </w:r>
    </w:p>
    <w:p>
      <w:pPr>
        <w:spacing w:after="60"/>
      </w:pPr>
      <w:r>
        <w:t>Correct Answer: B</w:t>
      </w:r>
    </w:p>
    <w:p>
      <w:pPr>
        <w:spacing w:after="40"/>
      </w:pPr>
      <w:r>
        <w:t>A. Attendance does not automatically define the client or clinical focus.</w:t>
      </w:r>
    </w:p>
    <w:p>
      <w:pPr>
        <w:spacing w:after="40"/>
      </w:pPr>
      <w:r>
        <w:t>B. The unit of treatment is the person or relational system receiving the clinical focus and may be refined as assessment continues.</w:t>
      </w:r>
    </w:p>
    <w:p>
      <w:pPr>
        <w:spacing w:after="40"/>
      </w:pPr>
      <w:r>
        <w:t>C. The identified patient is not automatically the proper unit.</w:t>
      </w:r>
    </w:p>
    <w:p>
      <w:pPr>
        <w:spacing w:after="40"/>
      </w:pPr>
      <w:r>
        <w:t>D. Payment does not determine the clinical client.</w:t>
      </w:r>
    </w:p>
    <w:tbl>
      <w:tblPr>
        <w:tblW w:type="auto" w:w="0"/>
        <w:jc w:val="center"/>
        <w:tblLayout w:type="fixed"/>
        <w:tblLook w:firstColumn="1" w:firstRow="1" w:lastColumn="0" w:lastRow="0" w:noHBand="0" w:noVBand="1" w:val="04A0"/>
      </w:tblPr>
      <w:tblGrid>
        <w:gridCol w:w="9936"/>
      </w:tblGrid>
      <w:tr>
        <w:trPr>
          <w:cantSplit/>
        </w:trPr>
        <w:tc>
          <w:tcPr>
            <w:tcW w:type="dxa" w:w="10080"/>
            <w:shd w:fill="EAF4F8"/>
            <w:tcMar>
              <w:top w:w="100" w:type="dxa"/>
              <w:start w:w="120" w:type="dxa"/>
              <w:bottom w:w="100" w:type="dxa"/>
              <w:end w:w="120" w:type="dxa"/>
            </w:tcMar>
          </w:tcPr>
          <w:p>
            <w:pPr>
              <w:spacing w:after="40"/>
            </w:pPr>
            <w:r>
              <w:rPr>
                <w:b/>
                <w:color w:val="1F4E78"/>
                <w:sz w:val="17"/>
              </w:rPr>
              <w:t>EXAM STRATEGY</w:t>
            </w:r>
          </w:p>
          <w:p>
            <w:pPr>
              <w:spacing w:after="0"/>
            </w:pPr>
            <w:r>
              <w:rPr>
                <w:sz w:val="18"/>
              </w:rPr>
              <w:t>Do not confuse who is present, who is symptomatic, or who pays with the clinically defined unit of treatment.</w:t>
            </w:r>
          </w:p>
        </w:tc>
      </w:tr>
    </w:tbl>
    <w:p>
      <w:pPr>
        <w:spacing w:after="0" w:before="0" w:line="240" w:lineRule="auto"/>
      </w:pPr>
      <w:r>
        <w:rPr>
          <w:sz w:val="6"/>
        </w:rPr>
      </w:r>
    </w:p>
    <w:p>
      <w:pPr>
        <w:pStyle w:val="Heading2"/>
        <w:keepNext/>
        <w:keepLines/>
        <w:pageBreakBefore w:val="0"/>
      </w:pPr>
      <w:r>
        <w:t>Question 3 (LMFT-WB02-Q003)</w:t>
      </w:r>
    </w:p>
    <w:p>
      <w:pPr>
        <w:spacing w:after="60"/>
      </w:pPr>
      <w:r>
        <w:t>Correct Answer: D</w:t>
      </w:r>
    </w:p>
    <w:p>
      <w:pPr>
        <w:spacing w:after="40"/>
      </w:pPr>
      <w:r>
        <w:t>A. This is mood, the client’s reported emotional state.</w:t>
      </w:r>
    </w:p>
    <w:p>
      <w:pPr>
        <w:spacing w:after="40"/>
      </w:pPr>
      <w:r>
        <w:t>B. This belongs to appearance and behavior.</w:t>
      </w:r>
    </w:p>
    <w:p>
      <w:pPr>
        <w:spacing w:after="40"/>
      </w:pPr>
      <w:r>
        <w:t>C. This is a perceptual experience.</w:t>
      </w:r>
    </w:p>
    <w:p>
      <w:pPr>
        <w:spacing w:after="40"/>
      </w:pPr>
      <w:r>
        <w:t>D. The organization and connection of ideas are part of thought process.</w:t>
      </w:r>
    </w:p>
    <w:tbl>
      <w:tblPr>
        <w:tblW w:type="auto" w:w="0"/>
        <w:jc w:val="center"/>
        <w:tblLayout w:type="fixed"/>
        <w:tblLook w:firstColumn="1" w:firstRow="1" w:lastColumn="0" w:lastRow="0" w:noHBand="0" w:noVBand="1" w:val="04A0"/>
      </w:tblPr>
      <w:tblGrid>
        <w:gridCol w:w="9936"/>
      </w:tblGrid>
      <w:tr>
        <w:trPr>
          <w:cantSplit/>
        </w:trPr>
        <w:tc>
          <w:tcPr>
            <w:tcW w:type="dxa" w:w="10080"/>
            <w:shd w:fill="EAF4F8"/>
            <w:tcMar>
              <w:top w:w="100" w:type="dxa"/>
              <w:start w:w="120" w:type="dxa"/>
              <w:bottom w:w="100" w:type="dxa"/>
              <w:end w:w="120" w:type="dxa"/>
            </w:tcMar>
          </w:tcPr>
          <w:p>
            <w:pPr>
              <w:spacing w:after="40"/>
            </w:pPr>
            <w:r>
              <w:rPr>
                <w:b/>
                <w:color w:val="1F4E78"/>
                <w:sz w:val="17"/>
              </w:rPr>
              <w:t>EXAM STRATEGY</w:t>
            </w:r>
          </w:p>
          <w:p>
            <w:pPr>
              <w:spacing w:after="0"/>
            </w:pPr>
            <w:r>
              <w:rPr>
                <w:sz w:val="18"/>
              </w:rPr>
              <w:t>Name the domain before interpreting the meaning. Thought process describes how ideas are organized, not what the client believes.</w:t>
            </w:r>
          </w:p>
        </w:tc>
      </w:tr>
    </w:tbl>
    <w:p>
      <w:pPr>
        <w:spacing w:after="0" w:before="0" w:line="240" w:lineRule="auto"/>
      </w:pPr>
      <w:r>
        <w:rPr>
          <w:sz w:val="6"/>
        </w:rPr>
      </w:r>
    </w:p>
    <w:p>
      <w:r>
        <w:br w:type="page"/>
      </w:r>
    </w:p>
    <w:p>
      <w:pPr>
        <w:pStyle w:val="Heading2"/>
        <w:keepNext/>
        <w:keepLines/>
        <w:pageBreakBefore w:val="0"/>
      </w:pPr>
      <w:r>
        <w:t>Question 4 (LMFT-WB02-Q004)</w:t>
      </w:r>
    </w:p>
    <w:p>
      <w:pPr>
        <w:spacing w:after="60"/>
      </w:pPr>
      <w:r>
        <w:t>Correct Answer: C</w:t>
      </w:r>
    </w:p>
    <w:p>
      <w:pPr>
        <w:spacing w:after="40"/>
      </w:pPr>
      <w:r>
        <w:t>A. Communication work may be helpful later but is premature before assessment.</w:t>
      </w:r>
    </w:p>
    <w:p>
      <w:pPr>
        <w:spacing w:after="40"/>
      </w:pPr>
      <w:r>
        <w:t>B. The different descriptions are data; the therapist need not choose a winner.</w:t>
      </w:r>
    </w:p>
    <w:p>
      <w:pPr>
        <w:spacing w:after="40"/>
      </w:pPr>
      <w:r>
        <w:t>C. This gathers the systemic and safety information needed to formulate the problem.</w:t>
      </w:r>
    </w:p>
    <w:p>
      <w:pPr>
        <w:spacing w:after="40"/>
      </w:pPr>
      <w:r>
        <w:t>D. The information does not establish that individual referral is the best first step.</w:t>
      </w:r>
    </w:p>
    <w:tbl>
      <w:tblPr>
        <w:tblW w:type="auto" w:w="0"/>
        <w:jc w:val="center"/>
        <w:tblLayout w:type="fixed"/>
        <w:tblLook w:firstColumn="1" w:firstRow="1" w:lastColumn="0" w:lastRow="0" w:noHBand="0" w:noVBand="1" w:val="04A0"/>
      </w:tblPr>
      <w:tblGrid>
        <w:gridCol w:w="9936"/>
      </w:tblGrid>
      <w:tr>
        <w:trPr>
          <w:cantSplit/>
        </w:trPr>
        <w:tc>
          <w:tcPr>
            <w:tcW w:type="dxa" w:w="10080"/>
            <w:shd w:fill="EAF4F8"/>
            <w:tcMar>
              <w:top w:w="100" w:type="dxa"/>
              <w:start w:w="120" w:type="dxa"/>
              <w:bottom w:w="100" w:type="dxa"/>
              <w:end w:w="120" w:type="dxa"/>
            </w:tcMar>
          </w:tcPr>
          <w:p>
            <w:pPr>
              <w:spacing w:after="40"/>
            </w:pPr>
            <w:r>
              <w:rPr>
                <w:b/>
                <w:color w:val="1F4E78"/>
                <w:sz w:val="17"/>
              </w:rPr>
              <w:t>EXAM STRATEGY</w:t>
            </w:r>
          </w:p>
          <w:p>
            <w:pPr>
              <w:spacing w:after="0"/>
            </w:pPr>
            <w:r>
              <w:rPr>
                <w:sz w:val="18"/>
              </w:rPr>
              <w:t>When perspectives conflict, gather each person’s meaning and observe the sequence before selecting an intervention.</w:t>
            </w:r>
          </w:p>
        </w:tc>
      </w:tr>
    </w:tbl>
    <w:p>
      <w:pPr>
        <w:spacing w:after="0" w:before="0" w:line="240" w:lineRule="auto"/>
      </w:pPr>
      <w:r>
        <w:rPr>
          <w:sz w:val="6"/>
        </w:rPr>
      </w:r>
    </w:p>
    <w:p>
      <w:pPr>
        <w:pStyle w:val="Heading2"/>
        <w:keepNext/>
        <w:keepLines/>
        <w:pageBreakBefore w:val="0"/>
      </w:pPr>
      <w:r>
        <w:t>Question 5 (LMFT-WB02-Q005)</w:t>
      </w:r>
    </w:p>
    <w:p>
      <w:pPr>
        <w:spacing w:after="60"/>
      </w:pPr>
      <w:r>
        <w:t>Correct Answer: A</w:t>
      </w:r>
    </w:p>
    <w:p>
      <w:pPr>
        <w:spacing w:after="40"/>
      </w:pPr>
      <w:r>
        <w:t>A. Prior experience affects trust and expectations and should be assessed collaboratively.</w:t>
      </w:r>
    </w:p>
    <w:p>
      <w:pPr>
        <w:spacing w:after="40"/>
      </w:pPr>
      <w:r>
        <w:t>B. Promises and reassurance do not replace exploration.</w:t>
      </w:r>
    </w:p>
    <w:p>
      <w:pPr>
        <w:spacing w:after="40"/>
      </w:pPr>
      <w:r>
        <w:t>C. Confrontation is premature and likely to increase defensiveness.</w:t>
      </w:r>
    </w:p>
    <w:p>
      <w:pPr>
        <w:spacing w:after="40"/>
      </w:pPr>
      <w:r>
        <w:t>D. Referral is not indicated solely because the client had a poor prior experience.</w:t>
      </w:r>
    </w:p>
    <w:tbl>
      <w:tblPr>
        <w:tblW w:type="auto" w:w="0"/>
        <w:jc w:val="center"/>
        <w:tblLayout w:type="fixed"/>
        <w:tblLook w:firstColumn="1" w:firstRow="1" w:lastColumn="0" w:lastRow="0" w:noHBand="0" w:noVBand="1" w:val="04A0"/>
      </w:tblPr>
      <w:tblGrid>
        <w:gridCol w:w="9936"/>
      </w:tblGrid>
      <w:tr>
        <w:trPr>
          <w:cantSplit/>
        </w:trPr>
        <w:tc>
          <w:tcPr>
            <w:tcW w:type="dxa" w:w="10080"/>
            <w:shd w:fill="EAF4F8"/>
            <w:tcMar>
              <w:top w:w="100" w:type="dxa"/>
              <w:start w:w="120" w:type="dxa"/>
              <w:bottom w:w="100" w:type="dxa"/>
              <w:end w:w="120" w:type="dxa"/>
            </w:tcMar>
          </w:tcPr>
          <w:p>
            <w:pPr>
              <w:spacing w:after="40"/>
            </w:pPr>
            <w:r>
              <w:rPr>
                <w:b/>
                <w:color w:val="1F4E78"/>
                <w:sz w:val="17"/>
              </w:rPr>
              <w:t>EXAM STRATEGY</w:t>
            </w:r>
          </w:p>
          <w:p>
            <w:pPr>
              <w:spacing w:after="0"/>
            </w:pPr>
            <w:r>
              <w:rPr>
                <w:sz w:val="18"/>
              </w:rPr>
              <w:t>Previous treatment is assessment data. Explore the experience before defending therapy or making a referral.</w:t>
            </w:r>
          </w:p>
        </w:tc>
      </w:tr>
    </w:tbl>
    <w:p>
      <w:pPr>
        <w:spacing w:after="0" w:before="0" w:line="240" w:lineRule="auto"/>
      </w:pPr>
      <w:r>
        <w:rPr>
          <w:sz w:val="6"/>
        </w:rPr>
      </w:r>
    </w:p>
    <w:p>
      <w:pPr>
        <w:pStyle w:val="Heading2"/>
        <w:keepNext/>
        <w:keepLines/>
        <w:pageBreakBefore w:val="0"/>
      </w:pPr>
      <w:r>
        <w:t>Question 6 (LMFT-WB02-Q006)</w:t>
      </w:r>
    </w:p>
    <w:p>
      <w:pPr>
        <w:spacing w:after="60"/>
      </w:pPr>
      <w:r>
        <w:t>Correct Answer: B</w:t>
      </w:r>
    </w:p>
    <w:p>
      <w:pPr>
        <w:spacing w:after="40"/>
      </w:pPr>
      <w:r>
        <w:t>A. A relational cycle may be relevant, but a medication-related change requires assessment first.</w:t>
      </w:r>
    </w:p>
    <w:p>
      <w:pPr>
        <w:spacing w:after="40"/>
      </w:pPr>
      <w:r>
        <w:t>B. This addresses health, scope, safety, and the couple impact.</w:t>
      </w:r>
    </w:p>
    <w:p>
      <w:pPr>
        <w:spacing w:after="40"/>
      </w:pPr>
      <w:r>
        <w:t>C. The therapist should not direct medication use.</w:t>
      </w:r>
    </w:p>
    <w:p>
      <w:pPr>
        <w:spacing w:after="40"/>
      </w:pPr>
      <w:r>
        <w:t>D. Communication work may follow but does not address the possible medication issue.</w:t>
      </w:r>
    </w:p>
    <w:tbl>
      <w:tblPr>
        <w:tblW w:type="auto" w:w="0"/>
        <w:jc w:val="center"/>
        <w:tblLayout w:type="fixed"/>
        <w:tblLook w:firstColumn="1" w:firstRow="1" w:lastColumn="0" w:lastRow="0" w:noHBand="0" w:noVBand="1" w:val="04A0"/>
      </w:tblPr>
      <w:tblGrid>
        <w:gridCol w:w="9936"/>
      </w:tblGrid>
      <w:tr>
        <w:trPr>
          <w:cantSplit/>
        </w:trPr>
        <w:tc>
          <w:tcPr>
            <w:tcW w:type="dxa" w:w="10080"/>
            <w:shd w:fill="EAF4F8"/>
            <w:tcMar>
              <w:top w:w="100" w:type="dxa"/>
              <w:start w:w="120" w:type="dxa"/>
              <w:bottom w:w="100" w:type="dxa"/>
              <w:end w:w="120" w:type="dxa"/>
            </w:tcMar>
          </w:tcPr>
          <w:p>
            <w:pPr>
              <w:spacing w:after="40"/>
            </w:pPr>
            <w:r>
              <w:rPr>
                <w:b/>
                <w:color w:val="1F4E78"/>
                <w:sz w:val="17"/>
              </w:rPr>
              <w:t>EXAM STRATEGY</w:t>
            </w:r>
          </w:p>
          <w:p>
            <w:pPr>
              <w:spacing w:after="0"/>
            </w:pPr>
            <w:r>
              <w:rPr>
                <w:sz w:val="18"/>
              </w:rPr>
              <w:t>Rule out health and medication factors before treating a new behavioral change as only a relationship pattern.</w:t>
            </w:r>
          </w:p>
        </w:tc>
      </w:tr>
    </w:tbl>
    <w:p>
      <w:pPr>
        <w:spacing w:after="0" w:before="0" w:line="240" w:lineRule="auto"/>
      </w:pPr>
      <w:r>
        <w:rPr>
          <w:sz w:val="6"/>
        </w:rPr>
      </w:r>
    </w:p>
    <w:p>
      <w:r>
        <w:br w:type="page"/>
      </w:r>
    </w:p>
    <w:p>
      <w:pPr>
        <w:pStyle w:val="Heading2"/>
        <w:keepNext/>
        <w:keepLines/>
        <w:pageBreakBefore w:val="0"/>
      </w:pPr>
      <w:r>
        <w:t>Question 7 (LMFT-WB02-Q007)</w:t>
      </w:r>
    </w:p>
    <w:p>
      <w:pPr>
        <w:spacing w:after="60"/>
      </w:pPr>
      <w:r>
        <w:t>Correct Answer: D</w:t>
      </w:r>
    </w:p>
    <w:p>
      <w:pPr>
        <w:spacing w:after="40"/>
      </w:pPr>
      <w:r>
        <w:t>A. Coercion is unlikely to improve alliance and ignores the adolescent’s perspective.</w:t>
      </w:r>
    </w:p>
    <w:p>
      <w:pPr>
        <w:spacing w:after="40"/>
      </w:pPr>
      <w:r>
        <w:t>B. The therapist should not prescribe consequences before assessment.</w:t>
      </w:r>
    </w:p>
    <w:p>
      <w:pPr>
        <w:spacing w:after="40"/>
      </w:pPr>
      <w:r>
        <w:t>C. A diagnosis cannot be made from the referral label and one statement.</w:t>
      </w:r>
    </w:p>
    <w:p>
      <w:pPr>
        <w:spacing w:after="40"/>
      </w:pPr>
      <w:r>
        <w:t>D. This engages the reluctant client and gathers the information needed to determine the unit and next step.</w:t>
      </w:r>
    </w:p>
    <w:tbl>
      <w:tblPr>
        <w:tblW w:type="auto" w:w="0"/>
        <w:jc w:val="center"/>
        <w:tblLayout w:type="fixed"/>
        <w:tblLook w:firstColumn="1" w:firstRow="1" w:lastColumn="0" w:lastRow="0" w:noHBand="0" w:noVBand="1" w:val="04A0"/>
      </w:tblPr>
      <w:tblGrid>
        <w:gridCol w:w="9936"/>
      </w:tblGrid>
      <w:tr>
        <w:trPr>
          <w:cantSplit/>
        </w:trPr>
        <w:tc>
          <w:tcPr>
            <w:tcW w:type="dxa" w:w="10080"/>
            <w:shd w:fill="EAF4F8"/>
            <w:tcMar>
              <w:top w:w="100" w:type="dxa"/>
              <w:start w:w="120" w:type="dxa"/>
              <w:bottom w:w="100" w:type="dxa"/>
              <w:end w:w="120" w:type="dxa"/>
            </w:tcMar>
          </w:tcPr>
          <w:p>
            <w:pPr>
              <w:spacing w:after="40"/>
            </w:pPr>
            <w:r>
              <w:rPr>
                <w:b/>
                <w:color w:val="1F4E78"/>
                <w:sz w:val="17"/>
              </w:rPr>
              <w:t>EXAM STRATEGY</w:t>
            </w:r>
          </w:p>
          <w:p>
            <w:pPr>
              <w:spacing w:after="0"/>
            </w:pPr>
            <w:r>
              <w:rPr>
                <w:sz w:val="18"/>
              </w:rPr>
              <w:t>Treat reluctance as information about the referral context. Clarify role, perspective, safety, and goals before labeling or confronting.</w:t>
            </w:r>
          </w:p>
        </w:tc>
      </w:tr>
    </w:tbl>
    <w:p>
      <w:pPr>
        <w:spacing w:after="0" w:before="0" w:line="240" w:lineRule="auto"/>
      </w:pPr>
      <w:r>
        <w:rPr>
          <w:sz w:val="6"/>
        </w:rPr>
      </w:r>
    </w:p>
    <w:p>
      <w:pPr>
        <w:pStyle w:val="Heading2"/>
        <w:keepNext/>
        <w:keepLines/>
        <w:pageBreakBefore w:val="0"/>
      </w:pPr>
      <w:r>
        <w:t>Question 8 (LMFT-WB02-Q008)</w:t>
      </w:r>
    </w:p>
    <w:p>
      <w:pPr>
        <w:spacing w:after="60"/>
      </w:pPr>
      <w:r>
        <w:t>Correct Answer: C</w:t>
      </w:r>
    </w:p>
    <w:p>
      <w:pPr>
        <w:spacing w:after="40"/>
      </w:pPr>
      <w:r>
        <w:t>A. Routine therapy is inappropriate while immediate safety is unresolved.</w:t>
      </w:r>
    </w:p>
    <w:p>
      <w:pPr>
        <w:spacing w:after="40"/>
      </w:pPr>
      <w:r>
        <w:t>B. The children’s experience is important but not the first priority.</w:t>
      </w:r>
    </w:p>
    <w:p>
      <w:pPr>
        <w:spacing w:after="40"/>
      </w:pPr>
      <w:r>
        <w:t>C. This addresses potential intoxication and danger to the children and public.</w:t>
      </w:r>
    </w:p>
    <w:p>
      <w:pPr>
        <w:spacing w:after="40"/>
      </w:pPr>
      <w:r>
        <w:t>D. Later assessment does not address current risk.</w:t>
      </w:r>
    </w:p>
    <w:tbl>
      <w:tblPr>
        <w:tblW w:type="auto" w:w="0"/>
        <w:jc w:val="center"/>
        <w:tblLayout w:type="fixed"/>
        <w:tblLook w:firstColumn="1" w:firstRow="1" w:lastColumn="0" w:lastRow="0" w:noHBand="0" w:noVBand="1" w:val="04A0"/>
      </w:tblPr>
      <w:tblGrid>
        <w:gridCol w:w="9936"/>
      </w:tblGrid>
      <w:tr>
        <w:trPr>
          <w:cantSplit/>
        </w:trPr>
        <w:tc>
          <w:tcPr>
            <w:tcW w:type="dxa" w:w="10080"/>
            <w:shd w:fill="EAF4F8"/>
            <w:tcMar>
              <w:top w:w="100" w:type="dxa"/>
              <w:start w:w="120" w:type="dxa"/>
              <w:bottom w:w="100" w:type="dxa"/>
              <w:end w:w="120" w:type="dxa"/>
            </w:tcMar>
          </w:tcPr>
          <w:p>
            <w:pPr>
              <w:spacing w:after="40"/>
            </w:pPr>
            <w:r>
              <w:rPr>
                <w:b/>
                <w:color w:val="1F4E78"/>
                <w:sz w:val="17"/>
              </w:rPr>
              <w:t>EXAM STRATEGY</w:t>
            </w:r>
          </w:p>
          <w:p>
            <w:pPr>
              <w:spacing w:after="0"/>
            </w:pPr>
            <w:r>
              <w:rPr>
                <w:sz w:val="18"/>
              </w:rPr>
              <w:t>Acute safety outranks routine assessment and treatment. Address the dangerous situation before exploring patterns or planning follow-up.</w:t>
            </w:r>
          </w:p>
        </w:tc>
      </w:tr>
    </w:tbl>
    <w:p>
      <w:pPr>
        <w:spacing w:after="0" w:before="0" w:line="240" w:lineRule="auto"/>
      </w:pPr>
      <w:r>
        <w:rPr>
          <w:sz w:val="6"/>
        </w:rPr>
      </w:r>
    </w:p>
    <w:p>
      <w:pPr>
        <w:pStyle w:val="Heading2"/>
        <w:keepNext/>
        <w:keepLines/>
        <w:pageBreakBefore w:val="0"/>
      </w:pPr>
      <w:r>
        <w:t>Question 9 (LMFT-WB02-Q009)</w:t>
      </w:r>
    </w:p>
    <w:p>
      <w:pPr>
        <w:spacing w:after="60"/>
      </w:pPr>
      <w:r>
        <w:t>Correct Answer: A</w:t>
      </w:r>
    </w:p>
    <w:p>
      <w:pPr>
        <w:spacing w:after="40"/>
      </w:pPr>
      <w:r>
        <w:t>A. This clarifies chronology, risk, and differential factors.</w:t>
      </w:r>
    </w:p>
    <w:p>
      <w:pPr>
        <w:spacing w:after="40"/>
      </w:pPr>
      <w:r>
        <w:t>B. The symptom picture is incomplete and may be substance or medication related.</w:t>
      </w:r>
    </w:p>
    <w:p>
      <w:pPr>
        <w:spacing w:after="40"/>
      </w:pPr>
      <w:r>
        <w:t>C. Withdrawal is possible but not yet established.</w:t>
      </w:r>
    </w:p>
    <w:p>
      <w:pPr>
        <w:spacing w:after="40"/>
      </w:pPr>
      <w:r>
        <w:t>D. This imposes control without adequate assessment or consent.</w:t>
      </w:r>
    </w:p>
    <w:tbl>
      <w:tblPr>
        <w:tblW w:type="auto" w:w="0"/>
        <w:jc w:val="center"/>
        <w:tblLayout w:type="fixed"/>
        <w:tblLook w:firstColumn="1" w:firstRow="1" w:lastColumn="0" w:lastRow="0" w:noHBand="0" w:noVBand="1" w:val="04A0"/>
      </w:tblPr>
      <w:tblGrid>
        <w:gridCol w:w="9936"/>
      </w:tblGrid>
      <w:tr>
        <w:trPr>
          <w:cantSplit/>
        </w:trPr>
        <w:tc>
          <w:tcPr>
            <w:tcW w:type="dxa" w:w="10080"/>
            <w:shd w:fill="EAF4F8"/>
            <w:tcMar>
              <w:top w:w="100" w:type="dxa"/>
              <w:start w:w="120" w:type="dxa"/>
              <w:bottom w:w="100" w:type="dxa"/>
              <w:end w:w="120" w:type="dxa"/>
            </w:tcMar>
          </w:tcPr>
          <w:p>
            <w:pPr>
              <w:spacing w:after="40"/>
            </w:pPr>
            <w:r>
              <w:rPr>
                <w:b/>
                <w:color w:val="1F4E78"/>
                <w:sz w:val="17"/>
              </w:rPr>
              <w:t>EXAM STRATEGY</w:t>
            </w:r>
          </w:p>
          <w:p>
            <w:pPr>
              <w:spacing w:after="0"/>
            </w:pPr>
            <w:r>
              <w:rPr>
                <w:sz w:val="18"/>
              </w:rPr>
              <w:t>When symptoms overlap with medication or substance changes, clarify chronology and medical risk before selecting a psychiatric diagnosis or intervention.</w:t>
            </w:r>
          </w:p>
        </w:tc>
      </w:tr>
    </w:tbl>
    <w:p>
      <w:pPr>
        <w:spacing w:after="0" w:before="0" w:line="240" w:lineRule="auto"/>
      </w:pPr>
      <w:r>
        <w:rPr>
          <w:sz w:val="6"/>
        </w:rPr>
      </w:r>
    </w:p>
    <w:p>
      <w:r>
        <w:br w:type="page"/>
      </w:r>
    </w:p>
    <w:p>
      <w:pPr>
        <w:pStyle w:val="Heading2"/>
        <w:keepNext/>
        <w:keepLines/>
        <w:pageBreakBefore w:val="0"/>
      </w:pPr>
      <w:r>
        <w:t>Question 10 (LMFT-WB02-Q010)</w:t>
      </w:r>
    </w:p>
    <w:p>
      <w:pPr>
        <w:spacing w:after="60"/>
      </w:pPr>
      <w:r>
        <w:t>Correct Answer: B</w:t>
      </w:r>
    </w:p>
    <w:p>
      <w:pPr>
        <w:spacing w:after="40"/>
      </w:pPr>
      <w:r>
        <w:t>A. The relational theme may be real, but recent cognitive and functional changes require broader assessment.</w:t>
      </w:r>
    </w:p>
    <w:p>
      <w:pPr>
        <w:spacing w:after="40"/>
      </w:pPr>
      <w:r>
        <w:t>B. This integrates MSE, medical factors, safety, functioning, exploitation risk, and systemic perspectives.</w:t>
      </w:r>
    </w:p>
    <w:p>
      <w:pPr>
        <w:spacing w:after="40"/>
      </w:pPr>
      <w:r>
        <w:t>C. Boundary work is premature while possible medical or cognitive decline is unresolved.</w:t>
      </w:r>
    </w:p>
    <w:p>
      <w:pPr>
        <w:spacing w:after="40"/>
      </w:pPr>
      <w:r>
        <w:t>D. Cutoff could increase risk and is unsupported.</w:t>
      </w:r>
    </w:p>
    <w:tbl>
      <w:tblPr>
        <w:tblW w:type="auto" w:w="0"/>
        <w:jc w:val="center"/>
        <w:tblLayout w:type="fixed"/>
        <w:tblLook w:firstColumn="1" w:firstRow="1" w:lastColumn="0" w:lastRow="0" w:noHBand="0" w:noVBand="1" w:val="04A0"/>
      </w:tblPr>
      <w:tblGrid>
        <w:gridCol w:w="9936"/>
      </w:tblGrid>
      <w:tr>
        <w:trPr>
          <w:cantSplit/>
        </w:trPr>
        <w:tc>
          <w:tcPr>
            <w:tcW w:type="dxa" w:w="10080"/>
            <w:shd w:fill="EAF4F8"/>
            <w:tcMar>
              <w:top w:w="100" w:type="dxa"/>
              <w:start w:w="120" w:type="dxa"/>
              <w:bottom w:w="100" w:type="dxa"/>
              <w:end w:w="120" w:type="dxa"/>
            </w:tcMar>
          </w:tcPr>
          <w:p>
            <w:pPr>
              <w:spacing w:after="40"/>
            </w:pPr>
            <w:r>
              <w:rPr>
                <w:b/>
                <w:color w:val="1F4E78"/>
                <w:sz w:val="17"/>
              </w:rPr>
              <w:t>EXAM STRATEGY</w:t>
            </w:r>
          </w:p>
          <w:p>
            <w:pPr>
              <w:spacing w:after="0"/>
            </w:pPr>
            <w:r>
              <w:rPr>
                <w:sz w:val="18"/>
              </w:rPr>
              <w:t>In an integrated challenge item, preserve both lenses: assess urgent health and safety factors while keeping the relational conflict and each person’s perspective in view.</w:t>
            </w:r>
          </w:p>
        </w:tc>
      </w:tr>
    </w:tbl>
    <w:p>
      <w:pPr>
        <w:spacing w:after="0" w:before="0" w:line="240" w:lineRule="auto"/>
      </w:pPr>
      <w:r>
        <w:rPr>
          <w:sz w:val="6"/>
        </w:rPr>
      </w:r>
    </w:p>
    <w:p>
      <w:pPr>
        <w:pStyle w:val="Heading1"/>
        <w:keepNext/>
        <w:keepLines/>
        <w:pageBreakBefore w:val="0"/>
      </w:pPr>
      <w:r>
        <w:t>Score and Study Plan</w:t>
      </w:r>
    </w:p>
    <w:p>
      <w:pPr/>
      <w:r>
        <w:t>Score: ______ / 10</w:t>
      </w:r>
    </w:p>
    <w:p>
      <w:pPr/>
      <w:r>
        <w:t>Questions I missed or guessed: ________________________________________________</w:t>
      </w:r>
    </w:p>
    <w:p>
      <w:pPr/>
      <w:r>
        <w:t>My three priority review topics:</w:t>
      </w:r>
    </w:p>
    <w:p>
      <w:pPr/>
      <w:r>
        <w:t>1. ___________________________________________________________________________</w:t>
      </w:r>
    </w:p>
    <w:p>
      <w:pPr/>
      <w:r>
        <w:t>2. ___________________________________________________________________________</w:t>
      </w:r>
    </w:p>
    <w:p>
      <w:pPr/>
      <w:r>
        <w:t>3. ___________________________________________________________________________</w:t>
      </w:r>
    </w:p>
    <w:p>
      <w:pPr/>
      <w:r>
        <w:t>One reasoning rule I will apply on my next practice set:</w:t>
      </w:r>
    </w:p>
    <w:p>
      <w:pPr/>
      <w:r>
        <w:t>______________________________________________________________________________</w:t>
      </w:r>
    </w:p>
    <w:p>
      <w:pPr>
        <w:pStyle w:val="Heading1"/>
        <w:keepNext/>
        <w:keepLines/>
        <w:pageBreakBefore w:val="0"/>
      </w:pPr>
      <w:r>
        <w:t>Sources and Currency Note</w:t>
      </w:r>
    </w:p>
    <w:p>
      <w:pPr>
        <w:pStyle w:val="ListBullet"/>
      </w:pPr>
      <w:r>
        <w:t>California Board of Behavioral Sciences. LMFT Clinical Examination Outline, effective January 1, 2021.</w:t>
      </w:r>
    </w:p>
    <w:p>
      <w:pPr>
        <w:pStyle w:val="ListBullet"/>
      </w:pPr>
      <w:r>
        <w:t>Pearson VUE. California Board of Behavioral Sciences examination candidate handbook, current edition reviewed July 23, 2026.</w:t>
      </w:r>
    </w:p>
    <w:p>
      <w:pPr>
        <w:pStyle w:val="ListBullet"/>
      </w:pPr>
      <w:r>
        <w:t>Official examination requirements and California professional standards should be verified through current BBS and Pearson VUE sources before testing.</w:t>
      </w:r>
    </w:p>
    <w:p>
      <w:pPr/>
      <w:r>
        <w:t>All practice questions are original CTA items. Examination specifications and professional requirements may change; consult current official sources before testing or practice.</w:t>
      </w:r>
    </w:p>
    <w:sectPr>
      <w:headerReference w:type="first" r:id="rId10"/>
      <w:footerReference w:type="first" r:id="rId11"/>
      <w:headerReference w:type="default" r:id="rId12"/>
      <w:footerReference w:type="default" r:id="rId13"/>
      <w:pgSz w:w="12240" w:h="15840"/>
      <w:pgMar w:top="936" w:right="1080" w:bottom="936" w:left="1080" w:header="360"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5040"/>
      <w:gridCol w:w="5040"/>
    </w:tblGrid>
    <w:tr>
      <w:tc>
        <w:tcPr>
          <w:tcW w:type="dxa" w:w="5040"/>
        </w:tcPr>
        <w:p>
          <w:r>
            <w:t>Clinical Training Academy • Student Workbook</w:t>
          </w:r>
        </w:p>
      </w:tc>
      <w:tc>
        <w:tcPr>
          <w:tcW w:type="dxa" w:w="5040"/>
        </w:tcPr>
        <w:p>
          <w:pPr>
            <w:jc w:val="right"/>
          </w:pPr>
          <w:r>
            <w:rPr>
              <w:rFonts w:ascii="Aptos" w:hAnsi="Aptos"/>
              <w:color w:val="6B7280"/>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 xml:space="preserve">   CTA LMFT Workbook 2 - Clinical Engagement, Intake, and Mental Status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E749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Caps">
    <w:name w:val="CTA Small Caps"/>
    <w:pPr>
      <w:spacing w:after="40"/>
    </w:pPr>
    <w:rPr>
      <w:rFonts w:ascii="Aptos" w:hAnsi="Aptos"/>
      <w:b/>
      <w:color w:val="0E749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Workbook 2: Clinical Engagement, Intake, and Mental Status Assessment</dc:title>
  <dc:subject>CTA exam preparation student workbook</dc:subject>
  <dc:creator/>
  <cp:keywords>CTA, exam preparation, student workbook</cp:keywords>
  <dc:description/>
  <cp:lastModifiedBy/>
  <cp:revision>1</cp:revision>
  <dcterms:created xsi:type="dcterms:W3CDTF">2013-12-23T23:15:00Z</dcterms:created>
  <dcterms:modified xsi:type="dcterms:W3CDTF">2013-12-23T23:15:00Z</dcterms:modified>
  <cp:category/>
</cp:coreProperties>
</file>