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CALIFORNIA CLINICAL EXAM PREPARATION PROGRAM</w:t>
      </w:r>
    </w:p>
    <w:p>
      <w:pPr>
        <w:spacing w:after="240"/>
        <w:jc w:val="center"/>
      </w:pPr>
      <w:r>
        <w:rPr>
          <w:b/>
          <w:i w:val="0"/>
          <w:color w:val="C17C00"/>
          <w:sz w:val="30"/>
        </w:rPr>
        <w:t>Student Workbook</w:t>
      </w:r>
    </w:p>
    <w:p>
      <w:pPr>
        <w:pStyle w:val="Title"/>
        <w:spacing w:after="160"/>
        <w:jc w:val="center"/>
      </w:pPr>
      <w:r>
        <w:t>CTA LMFT Workbook 4: Relational, Family-System, Trauma, and Strengths Assessment</w:t>
      </w:r>
    </w:p>
    <w:p>
      <w:pPr>
        <w:spacing w:after="240"/>
        <w:jc w:val="center"/>
      </w:pPr>
      <w:r>
        <w:rPr>
          <w:b w:val="0"/>
          <w:i/>
          <w:color w:val="5B6573"/>
          <w:sz w:val="24"/>
        </w:rPr>
        <w:t>Assess patterns, safety, resilience, and the need for consultation before selecting a clinical direction</w:t>
      </w:r>
    </w:p>
    <w:p>
      <w:pPr>
        <w:spacing w:after="360"/>
        <w:jc w:val="center"/>
      </w:pPr>
      <w:r>
        <w:rPr>
          <w:b w:val="0"/>
          <w:i w:val="0"/>
          <w:color w:val="667085"/>
          <w:sz w:val="21"/>
        </w:rPr>
        <w:t>Version 1.0 - July 2026</w:t>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Pr>
        <w:spacing w:before="240"/>
        <w:jc w:val="center"/>
      </w:pPr>
      <w:r>
        <w:rPr>
          <w:b/>
          <w:i w:val="0"/>
          <w:color w:val="17365D"/>
          <w:sz w:val="22"/>
        </w:rPr>
        <w:t>Clinical Training Academy</w:t>
      </w:r>
    </w:p>
    <w:p>
      <w:r>
        <w:br w:type="page"/>
      </w:r>
    </w:p>
    <w:p>
      <w:pPr>
        <w:pStyle w:val="Heading1"/>
      </w:pPr>
      <w:r>
        <w:t>How to Use This Workbook</w:t>
      </w:r>
    </w:p>
    <w:p>
      <w:r>
        <w:rPr>
          <w:i w:val="0"/>
        </w:rPr>
        <w:t>This workbook focuses on Clinical Evaluation Tasks T21-T35: social and interpersonal relationships, intimacy and sexuality, family or primary-support dynamics, trauma, loss, aggression, strengths, standardized instruments, consultation, and referral. Work through the instruction first, complete the worksheet, answer all 10 questions without the key, and then study every rationale.</w:t>
      </w:r>
    </w:p>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50" w:type="dxa"/>
              <w:start w:w="180" w:type="dxa"/>
              <w:bottom w:w="150" w:type="dxa"/>
              <w:end w:w="180" w:type="dxa"/>
            </w:tcMar>
          </w:tcPr>
          <w:p>
            <w:pPr>
              <w:spacing w:after="80"/>
            </w:pPr>
            <w:r>
              <w:rPr>
                <w:b/>
                <w:i w:val="0"/>
                <w:color w:val="1F4E78"/>
              </w:rPr>
              <w:t>Core Exam Rule</w:t>
            </w:r>
          </w:p>
          <w:p>
            <w:pPr>
              <w:spacing w:after="0"/>
            </w:pPr>
            <w:r>
              <w:t>Assessment comes before interpretation or treatment. The best answer usually gathers the missing information, clarifies current safety, maps the relationship pattern, or obtains the specific consultation needed to answer an unresolved clinical question.</w:t>
            </w:r>
          </w:p>
        </w:tc>
      </w:tr>
    </w:tbl>
    <w:p>
      <w:pPr>
        <w:spacing w:after="0"/>
      </w:pPr>
    </w:p>
    <w:p>
      <w:pPr>
        <w:pStyle w:val="Heading1"/>
      </w:pPr>
      <w:r>
        <w:t>Learning Objectives</w:t>
      </w:r>
    </w:p>
    <w:p>
      <w:pPr>
        <w:pStyle w:val="ListBullet"/>
      </w:pPr>
      <w:r>
        <w:t>Assess social connection, intimacy, family organization, and recurring interactional patterns without relying on assumptions or taking sides.</w:t>
      </w:r>
    </w:p>
    <w:p>
      <w:pPr>
        <w:pStyle w:val="ListBullet"/>
      </w:pPr>
      <w:r>
        <w:t>Use neutral, inclusive, trauma-informed inquiry to evaluate trauma, loss, aggression, coercion, regulation, and present safety.</w:t>
      </w:r>
    </w:p>
    <w:p>
      <w:pPr>
        <w:pStyle w:val="ListBullet"/>
      </w:pPr>
      <w:r>
        <w:t>Identify demonstrated coping, resilience, resources, and protective relationships and connect them to the next clinical decision.</w:t>
      </w:r>
    </w:p>
    <w:p>
      <w:pPr>
        <w:pStyle w:val="ListBullet"/>
      </w:pPr>
      <w:r>
        <w:t>Distinguish screening, assessment, diagnosis, and specialized testing and select consultation or referral that answers the unresolved question.</w:t>
      </w:r>
    </w:p>
    <w:p>
      <w:pPr>
        <w:pStyle w:val="ListBullet"/>
      </w:pPr>
      <w:r>
        <w:t>Apply the RELATE sequence to select the best FIRST or NEXT assessment action in LMFT examination vignettes.</w:t>
      </w:r>
    </w:p>
    <w:p>
      <w:pPr>
        <w:pStyle w:val="Heading1"/>
      </w:pPr>
      <w:r>
        <w:t>Why This Topic Matters</w:t>
      </w:r>
    </w:p>
    <w:p>
      <w:r>
        <w:rPr>
          <w:i w:val="0"/>
        </w:rPr>
        <w:t>Relational symptoms rarely make sense in isolation. A partner’s withdrawal, a child’s acting out, a parent’s control, or a client’s social isolation may be a response within a larger cycle. The examination rewards candidates who assess the system, the individual, the context, and current safety before choosing a theory, diagnosis, or intervention.</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Memory Aid: RELATE</w:t>
            </w:r>
          </w:p>
          <w:p>
            <w:pPr>
              <w:spacing w:after="0"/>
            </w:pPr>
            <w:r>
              <w:t>R — Relationships and social connection. E — Emotional injuries, trauma, and loss. L — Life-support system and family dynamics. A — Aggression, impulsivity, and regulation. T — Tools, testing, consultation, and referral. E — Existing strengths, coping, resilience, and protective factors.</w:t>
            </w:r>
          </w:p>
        </w:tc>
      </w:tr>
    </w:tbl>
    <w:p>
      <w:pPr>
        <w:spacing w:after="0"/>
      </w:pPr>
    </w:p>
    <w:p>
      <w:pPr>
        <w:pStyle w:val="Heading1"/>
      </w:pPr>
      <w:r>
        <w:t>1. Social Connection and Interpersonal Functioning</w:t>
      </w:r>
    </w:p>
    <w:p>
      <w:r>
        <w:rPr>
          <w:i w:val="0"/>
        </w:rPr>
        <w:t>Assess both the structure and quality of the client’s social world. Ask who is available, how support is requested and received, whether relationships are reciprocal, where conflict occurs, and whether isolation is chosen, imposed, protective, or distressing. A small network is not automatically deficient, and a large network is not automatically supportive.</w:t>
      </w:r>
    </w:p>
    <w:tbl>
      <w:tblPr>
        <w:tblStyle w:val="TableGrid"/>
        <w:tblW w:type="auto" w:w="0"/>
        <w:jc w:val="center"/>
        <w:tblLayout w:type="fixed"/>
        <w:tblLook w:firstColumn="1" w:firstRow="1" w:lastColumn="0" w:lastRow="0" w:noHBand="0" w:noVBand="1" w:val="04A0"/>
      </w:tblPr>
      <w:tblGrid>
        <w:gridCol w:w="2304"/>
        <w:gridCol w:w="4320"/>
        <w:gridCol w:w="3312"/>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Assessment Dimension</w:t>
            </w:r>
          </w:p>
        </w:tc>
        <w:tc>
          <w:tcPr>
            <w:tcW w:type="dxa" w:w="3360"/>
            <w:shd w:fill="17365D"/>
            <w:tcMar>
              <w:top w:w="100" w:type="dxa"/>
              <w:start w:w="120" w:type="dxa"/>
              <w:bottom w:w="100" w:type="dxa"/>
              <w:end w:w="120" w:type="dxa"/>
            </w:tcMar>
          </w:tcPr>
          <w:p>
            <w:pPr>
              <w:spacing w:after="0"/>
            </w:pPr>
            <w:r>
              <w:rPr>
                <w:b/>
                <w:color w:val="FFFFFF"/>
                <w:sz w:val="17"/>
              </w:rPr>
              <w:t>Useful Questions</w:t>
            </w:r>
          </w:p>
        </w:tc>
        <w:tc>
          <w:tcPr>
            <w:tcW w:type="dxa" w:w="3360"/>
            <w:shd w:fill="17365D"/>
            <w:tcMar>
              <w:top w:w="100" w:type="dxa"/>
              <w:start w:w="120" w:type="dxa"/>
              <w:bottom w:w="100" w:type="dxa"/>
              <w:end w:w="120" w:type="dxa"/>
            </w:tcMar>
          </w:tcPr>
          <w:p>
            <w:pPr>
              <w:spacing w:after="0"/>
            </w:pPr>
            <w:r>
              <w:rPr>
                <w:b/>
                <w:color w:val="FFFFFF"/>
                <w:sz w:val="17"/>
              </w:rPr>
              <w:t>Exam Significance</w:t>
            </w:r>
          </w:p>
        </w:tc>
      </w:tr>
      <w:tr>
        <w:trPr>
          <w:cantSplit/>
        </w:trPr>
        <w:tc>
          <w:tcPr>
            <w:tcW w:type="dxa" w:w="2304"/>
            <w:tcMar>
              <w:top w:w="100" w:type="dxa"/>
              <w:start w:w="120" w:type="dxa"/>
              <w:bottom w:w="100" w:type="dxa"/>
              <w:end w:w="120" w:type="dxa"/>
            </w:tcMar>
          </w:tcPr>
          <w:p>
            <w:pPr>
              <w:spacing w:after="0"/>
            </w:pPr>
            <w:r>
              <w:rPr>
                <w:sz w:val="17"/>
              </w:rPr>
              <w:t>Connection and belonging</w:t>
            </w:r>
          </w:p>
        </w:tc>
        <w:tc>
          <w:tcPr>
            <w:tcW w:type="dxa" w:w="4320"/>
            <w:tcMar>
              <w:top w:w="100" w:type="dxa"/>
              <w:start w:w="120" w:type="dxa"/>
              <w:bottom w:w="100" w:type="dxa"/>
              <w:end w:w="120" w:type="dxa"/>
            </w:tcMar>
          </w:tcPr>
          <w:p>
            <w:pPr>
              <w:spacing w:after="0"/>
            </w:pPr>
            <w:r>
              <w:rPr>
                <w:sz w:val="17"/>
              </w:rPr>
              <w:t>Who feels safe or dependable? Where does the client feel included or excluded?</w:t>
            </w:r>
          </w:p>
        </w:tc>
        <w:tc>
          <w:tcPr>
            <w:tcW w:type="dxa" w:w="3312"/>
            <w:tcMar>
              <w:top w:w="100" w:type="dxa"/>
              <w:start w:w="120" w:type="dxa"/>
              <w:bottom w:w="100" w:type="dxa"/>
              <w:end w:w="120" w:type="dxa"/>
            </w:tcMar>
          </w:tcPr>
          <w:p>
            <w:pPr>
              <w:spacing w:after="0"/>
            </w:pPr>
            <w:r>
              <w:rPr>
                <w:sz w:val="17"/>
              </w:rPr>
              <w:t>Clarifies support, isolation, minority stress, and protective factors.</w:t>
            </w:r>
          </w:p>
        </w:tc>
      </w:tr>
      <w:tr>
        <w:trPr>
          <w:cantSplit/>
        </w:trPr>
        <w:tc>
          <w:tcPr>
            <w:tcW w:type="dxa" w:w="2304"/>
            <w:tcMar>
              <w:top w:w="100" w:type="dxa"/>
              <w:start w:w="120" w:type="dxa"/>
              <w:bottom w:w="100" w:type="dxa"/>
              <w:end w:w="120" w:type="dxa"/>
            </w:tcMar>
            <w:shd w:fill="F7F8FA"/>
          </w:tcPr>
          <w:p>
            <w:pPr>
              <w:spacing w:after="0"/>
            </w:pPr>
            <w:r>
              <w:rPr>
                <w:sz w:val="17"/>
              </w:rPr>
              <w:t>Reciprocity and boundaries</w:t>
            </w:r>
          </w:p>
        </w:tc>
        <w:tc>
          <w:tcPr>
            <w:tcW w:type="dxa" w:w="4320"/>
            <w:tcMar>
              <w:top w:w="100" w:type="dxa"/>
              <w:start w:w="120" w:type="dxa"/>
              <w:bottom w:w="100" w:type="dxa"/>
              <w:end w:w="120" w:type="dxa"/>
            </w:tcMar>
            <w:shd w:fill="F7F8FA"/>
          </w:tcPr>
          <w:p>
            <w:pPr>
              <w:spacing w:after="0"/>
            </w:pPr>
            <w:r>
              <w:rPr>
                <w:sz w:val="17"/>
              </w:rPr>
              <w:t>How are help, privacy, limits, and responsibility negotiated?</w:t>
            </w:r>
          </w:p>
        </w:tc>
        <w:tc>
          <w:tcPr>
            <w:tcW w:type="dxa" w:w="3312"/>
            <w:tcMar>
              <w:top w:w="100" w:type="dxa"/>
              <w:start w:w="120" w:type="dxa"/>
              <w:bottom w:w="100" w:type="dxa"/>
              <w:end w:w="120" w:type="dxa"/>
            </w:tcMar>
            <w:shd w:fill="F7F8FA"/>
          </w:tcPr>
          <w:p>
            <w:pPr>
              <w:spacing w:after="0"/>
            </w:pPr>
            <w:r>
              <w:rPr>
                <w:sz w:val="17"/>
              </w:rPr>
              <w:t>Reveals overfunctioning, underfunctioning, enmeshment, distance, or exploitation.</w:t>
            </w:r>
          </w:p>
        </w:tc>
      </w:tr>
      <w:tr>
        <w:trPr>
          <w:cantSplit/>
        </w:trPr>
        <w:tc>
          <w:tcPr>
            <w:tcW w:type="dxa" w:w="2304"/>
            <w:tcMar>
              <w:top w:w="100" w:type="dxa"/>
              <w:start w:w="120" w:type="dxa"/>
              <w:bottom w:w="100" w:type="dxa"/>
              <w:end w:w="120" w:type="dxa"/>
            </w:tcMar>
          </w:tcPr>
          <w:p>
            <w:pPr>
              <w:spacing w:after="0"/>
            </w:pPr>
            <w:r>
              <w:rPr>
                <w:sz w:val="17"/>
              </w:rPr>
              <w:t>Conflict sequence</w:t>
            </w:r>
          </w:p>
        </w:tc>
        <w:tc>
          <w:tcPr>
            <w:tcW w:type="dxa" w:w="4320"/>
            <w:tcMar>
              <w:top w:w="100" w:type="dxa"/>
              <w:start w:w="120" w:type="dxa"/>
              <w:bottom w:w="100" w:type="dxa"/>
              <w:end w:w="120" w:type="dxa"/>
            </w:tcMar>
          </w:tcPr>
          <w:p>
            <w:pPr>
              <w:spacing w:after="0"/>
            </w:pPr>
            <w:r>
              <w:rPr>
                <w:sz w:val="17"/>
              </w:rPr>
              <w:t>What happens immediately before, during, and after the conflict?</w:t>
            </w:r>
          </w:p>
        </w:tc>
        <w:tc>
          <w:tcPr>
            <w:tcW w:type="dxa" w:w="3312"/>
            <w:tcMar>
              <w:top w:w="100" w:type="dxa"/>
              <w:start w:w="120" w:type="dxa"/>
              <w:bottom w:w="100" w:type="dxa"/>
              <w:end w:w="120" w:type="dxa"/>
            </w:tcMar>
          </w:tcPr>
          <w:p>
            <w:pPr>
              <w:spacing w:after="0"/>
            </w:pPr>
            <w:r>
              <w:rPr>
                <w:sz w:val="17"/>
              </w:rPr>
              <w:t>Identifies the interactional cycle rather than a single blamed person.</w:t>
            </w:r>
          </w:p>
        </w:tc>
      </w:tr>
      <w:tr>
        <w:trPr>
          <w:cantSplit/>
        </w:trPr>
        <w:tc>
          <w:tcPr>
            <w:tcW w:type="dxa" w:w="2304"/>
            <w:tcMar>
              <w:top w:w="100" w:type="dxa"/>
              <w:start w:w="120" w:type="dxa"/>
              <w:bottom w:w="100" w:type="dxa"/>
              <w:end w:w="120" w:type="dxa"/>
            </w:tcMar>
            <w:shd w:fill="F7F8FA"/>
          </w:tcPr>
          <w:p>
            <w:pPr>
              <w:spacing w:after="0"/>
            </w:pPr>
            <w:r>
              <w:rPr>
                <w:sz w:val="17"/>
              </w:rPr>
              <w:t>Past and present patterns</w:t>
            </w:r>
          </w:p>
        </w:tc>
        <w:tc>
          <w:tcPr>
            <w:tcW w:type="dxa" w:w="4320"/>
            <w:tcMar>
              <w:top w:w="100" w:type="dxa"/>
              <w:start w:w="120" w:type="dxa"/>
              <w:bottom w:w="100" w:type="dxa"/>
              <w:end w:w="120" w:type="dxa"/>
            </w:tcMar>
            <w:shd w:fill="F7F8FA"/>
          </w:tcPr>
          <w:p>
            <w:pPr>
              <w:spacing w:after="0"/>
            </w:pPr>
            <w:r>
              <w:rPr>
                <w:sz w:val="17"/>
              </w:rPr>
              <w:t>Where else has this pattern occurred, and what is different now?</w:t>
            </w:r>
          </w:p>
        </w:tc>
        <w:tc>
          <w:tcPr>
            <w:tcW w:type="dxa" w:w="3312"/>
            <w:tcMar>
              <w:top w:w="100" w:type="dxa"/>
              <w:start w:w="120" w:type="dxa"/>
              <w:bottom w:w="100" w:type="dxa"/>
              <w:end w:w="120" w:type="dxa"/>
            </w:tcMar>
            <w:shd w:fill="F7F8FA"/>
          </w:tcPr>
          <w:p>
            <w:pPr>
              <w:spacing w:after="0"/>
            </w:pPr>
            <w:r>
              <w:rPr>
                <w:sz w:val="17"/>
              </w:rPr>
              <w:t>Distinguishes enduring patterns from context-specific reactions.</w:t>
            </w:r>
          </w:p>
        </w:tc>
      </w:tr>
    </w:tbl>
    <w:p>
      <w:pPr>
        <w:spacing w:after="0"/>
      </w:pPr>
    </w:p>
    <w:p>
      <w:pPr>
        <w:pStyle w:val="Heading1"/>
      </w:pPr>
      <w:r>
        <w:t>2. Intimacy and Sexuality Assessment</w:t>
      </w:r>
    </w:p>
    <w:p>
      <w:r>
        <w:rPr>
          <w:i w:val="0"/>
        </w:rPr>
        <w:t>Ask about intimacy and sexual functioning only when clinically relevant and with clear permission. Use inclusive language and avoid assumptions about identity, relationship structure, sexual practices, reproductive goals, disability, or cultural meaning. Consider consent, desire, arousal, pain, satisfaction, avoidance, conflict, trauma history, medical conditions, medication effects, and changes across the relationship or life cycle.</w:t>
      </w: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50" w:type="dxa"/>
              <w:start w:w="180" w:type="dxa"/>
              <w:bottom w:w="150" w:type="dxa"/>
              <w:end w:w="180" w:type="dxa"/>
            </w:tcMar>
          </w:tcPr>
          <w:p>
            <w:pPr>
              <w:spacing w:after="80"/>
            </w:pPr>
            <w:r>
              <w:rPr>
                <w:b/>
                <w:i w:val="0"/>
                <w:color w:val="C17C00"/>
              </w:rPr>
              <w:t>Trauma-Informed Pacing</w:t>
            </w:r>
          </w:p>
          <w:p>
            <w:pPr>
              <w:spacing w:after="0"/>
            </w:pPr>
            <w:r>
              <w:t>Do not press for detailed disclosure to satisfy curiosity. Explain why the question matters, offer choice, ask only what is needed for the current decision, observe distress, and return to stabilization when necessary.</w:t>
            </w:r>
          </w:p>
        </w:tc>
      </w:tr>
    </w:tbl>
    <w:p>
      <w:pPr>
        <w:spacing w:after="0"/>
      </w:pPr>
    </w:p>
    <w:p>
      <w:pPr>
        <w:pStyle w:val="Heading1"/>
      </w:pPr>
      <w:r>
        <w:t>3. Family and Primary-Support System Assessment</w:t>
      </w:r>
    </w:p>
    <w:p>
      <w:r>
        <w:rPr>
          <w:i w:val="0"/>
        </w:rPr>
        <w:t>A systemic assessment asks how the family or primary support group is organized and how the pattern is maintained. Examine roles, hierarchy, boundaries, alliances, coalitions, triangles, caregiving responsibilities, loyalties, communication rules, developmental transitions, migration or separation, cultural expectations, and patterns across generations. A genogram can organize history, but the clinical task is to understand the living pattern, not merely draw a diagram.</w:t>
      </w:r>
    </w:p>
    <w:tbl>
      <w:tblPr>
        <w:tblStyle w:val="TableGrid"/>
        <w:tblW w:type="auto" w:w="0"/>
        <w:jc w:val="center"/>
        <w:tblLayout w:type="fixed"/>
        <w:tblLook w:firstColumn="1" w:firstRow="1" w:lastColumn="0" w:lastRow="0" w:noHBand="0" w:noVBand="1" w:val="04A0"/>
      </w:tblPr>
      <w:tblGrid>
        <w:gridCol w:w="1944"/>
        <w:gridCol w:w="4608"/>
        <w:gridCol w:w="3384"/>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System Feature</w:t>
            </w:r>
          </w:p>
        </w:tc>
        <w:tc>
          <w:tcPr>
            <w:tcW w:type="dxa" w:w="3360"/>
            <w:shd w:fill="17365D"/>
            <w:tcMar>
              <w:top w:w="100" w:type="dxa"/>
              <w:start w:w="120" w:type="dxa"/>
              <w:bottom w:w="100" w:type="dxa"/>
              <w:end w:w="120" w:type="dxa"/>
            </w:tcMar>
          </w:tcPr>
          <w:p>
            <w:pPr>
              <w:spacing w:after="0"/>
            </w:pPr>
            <w:r>
              <w:rPr>
                <w:b/>
                <w:color w:val="FFFFFF"/>
                <w:sz w:val="17"/>
              </w:rPr>
              <w:t>What to Assess</w:t>
            </w:r>
          </w:p>
        </w:tc>
        <w:tc>
          <w:tcPr>
            <w:tcW w:type="dxa" w:w="3360"/>
            <w:shd w:fill="17365D"/>
            <w:tcMar>
              <w:top w:w="100" w:type="dxa"/>
              <w:start w:w="120" w:type="dxa"/>
              <w:bottom w:w="100" w:type="dxa"/>
              <w:end w:w="120" w:type="dxa"/>
            </w:tcMar>
          </w:tcPr>
          <w:p>
            <w:pPr>
              <w:spacing w:after="0"/>
            </w:pPr>
            <w:r>
              <w:rPr>
                <w:b/>
                <w:color w:val="FFFFFF"/>
                <w:sz w:val="17"/>
              </w:rPr>
              <w:t>Common Trap</w:t>
            </w:r>
          </w:p>
        </w:tc>
      </w:tr>
      <w:tr>
        <w:trPr>
          <w:cantSplit/>
        </w:trPr>
        <w:tc>
          <w:tcPr>
            <w:tcW w:type="dxa" w:w="1944"/>
            <w:tcMar>
              <w:top w:w="100" w:type="dxa"/>
              <w:start w:w="120" w:type="dxa"/>
              <w:bottom w:w="100" w:type="dxa"/>
              <w:end w:w="120" w:type="dxa"/>
            </w:tcMar>
          </w:tcPr>
          <w:p>
            <w:pPr>
              <w:spacing w:after="0"/>
            </w:pPr>
            <w:r>
              <w:rPr>
                <w:sz w:val="17"/>
              </w:rPr>
              <w:t>Roles and hierarchy</w:t>
            </w:r>
          </w:p>
        </w:tc>
        <w:tc>
          <w:tcPr>
            <w:tcW w:type="dxa" w:w="4608"/>
            <w:tcMar>
              <w:top w:w="100" w:type="dxa"/>
              <w:start w:w="120" w:type="dxa"/>
              <w:bottom w:w="100" w:type="dxa"/>
              <w:end w:w="120" w:type="dxa"/>
            </w:tcMar>
          </w:tcPr>
          <w:p>
            <w:pPr>
              <w:spacing w:after="0"/>
            </w:pPr>
            <w:r>
              <w:rPr>
                <w:sz w:val="17"/>
              </w:rPr>
              <w:t>Who decides, protects, disciplines, mediates, or carries symptoms?</w:t>
            </w:r>
          </w:p>
        </w:tc>
        <w:tc>
          <w:tcPr>
            <w:tcW w:type="dxa" w:w="3384"/>
            <w:tcMar>
              <w:top w:w="100" w:type="dxa"/>
              <w:start w:w="120" w:type="dxa"/>
              <w:bottom w:w="100" w:type="dxa"/>
              <w:end w:w="120" w:type="dxa"/>
            </w:tcMar>
          </w:tcPr>
          <w:p>
            <w:pPr>
              <w:spacing w:after="0"/>
            </w:pPr>
            <w:r>
              <w:rPr>
                <w:sz w:val="17"/>
              </w:rPr>
              <w:t>Assuming the loudest person has the most power.</w:t>
            </w:r>
          </w:p>
        </w:tc>
      </w:tr>
      <w:tr>
        <w:trPr>
          <w:cantSplit/>
        </w:trPr>
        <w:tc>
          <w:tcPr>
            <w:tcW w:type="dxa" w:w="1944"/>
            <w:tcMar>
              <w:top w:w="100" w:type="dxa"/>
              <w:start w:w="120" w:type="dxa"/>
              <w:bottom w:w="100" w:type="dxa"/>
              <w:end w:w="120" w:type="dxa"/>
            </w:tcMar>
            <w:shd w:fill="F7F8FA"/>
          </w:tcPr>
          <w:p>
            <w:pPr>
              <w:spacing w:after="0"/>
            </w:pPr>
            <w:r>
              <w:rPr>
                <w:sz w:val="17"/>
              </w:rPr>
              <w:t>Boundaries</w:t>
            </w:r>
          </w:p>
        </w:tc>
        <w:tc>
          <w:tcPr>
            <w:tcW w:type="dxa" w:w="4608"/>
            <w:tcMar>
              <w:top w:w="100" w:type="dxa"/>
              <w:start w:w="120" w:type="dxa"/>
              <w:bottom w:w="100" w:type="dxa"/>
              <w:end w:w="120" w:type="dxa"/>
            </w:tcMar>
            <w:shd w:fill="F7F8FA"/>
          </w:tcPr>
          <w:p>
            <w:pPr>
              <w:spacing w:after="0"/>
            </w:pPr>
            <w:r>
              <w:rPr>
                <w:sz w:val="17"/>
              </w:rPr>
              <w:t>Where are limits too diffuse, rigid, or inconsistent?</w:t>
            </w:r>
          </w:p>
        </w:tc>
        <w:tc>
          <w:tcPr>
            <w:tcW w:type="dxa" w:w="3384"/>
            <w:tcMar>
              <w:top w:w="100" w:type="dxa"/>
              <w:start w:w="120" w:type="dxa"/>
              <w:bottom w:w="100" w:type="dxa"/>
              <w:end w:w="120" w:type="dxa"/>
            </w:tcMar>
            <w:shd w:fill="F7F8FA"/>
          </w:tcPr>
          <w:p>
            <w:pPr>
              <w:spacing w:after="0"/>
            </w:pPr>
            <w:r>
              <w:rPr>
                <w:sz w:val="17"/>
              </w:rPr>
              <w:t>Calling cultural closeness enmeshment without context.</w:t>
            </w:r>
          </w:p>
        </w:tc>
      </w:tr>
      <w:tr>
        <w:trPr>
          <w:cantSplit/>
        </w:trPr>
        <w:tc>
          <w:tcPr>
            <w:tcW w:type="dxa" w:w="1944"/>
            <w:tcMar>
              <w:top w:w="100" w:type="dxa"/>
              <w:start w:w="120" w:type="dxa"/>
              <w:bottom w:w="100" w:type="dxa"/>
              <w:end w:w="120" w:type="dxa"/>
            </w:tcMar>
          </w:tcPr>
          <w:p>
            <w:pPr>
              <w:spacing w:after="0"/>
            </w:pPr>
            <w:r>
              <w:rPr>
                <w:sz w:val="17"/>
              </w:rPr>
              <w:t>Alliances and triangles</w:t>
            </w:r>
          </w:p>
        </w:tc>
        <w:tc>
          <w:tcPr>
            <w:tcW w:type="dxa" w:w="4608"/>
            <w:tcMar>
              <w:top w:w="100" w:type="dxa"/>
              <w:start w:w="120" w:type="dxa"/>
              <w:bottom w:w="100" w:type="dxa"/>
              <w:end w:w="120" w:type="dxa"/>
            </w:tcMar>
          </w:tcPr>
          <w:p>
            <w:pPr>
              <w:spacing w:after="0"/>
            </w:pPr>
            <w:r>
              <w:rPr>
                <w:sz w:val="17"/>
              </w:rPr>
              <w:t>Who joins with whom under stress, and who is left out?</w:t>
            </w:r>
          </w:p>
        </w:tc>
        <w:tc>
          <w:tcPr>
            <w:tcW w:type="dxa" w:w="3384"/>
            <w:tcMar>
              <w:top w:w="100" w:type="dxa"/>
              <w:start w:w="120" w:type="dxa"/>
              <w:bottom w:w="100" w:type="dxa"/>
              <w:end w:w="120" w:type="dxa"/>
            </w:tcMar>
          </w:tcPr>
          <w:p>
            <w:pPr>
              <w:spacing w:after="0"/>
            </w:pPr>
            <w:r>
              <w:rPr>
                <w:sz w:val="17"/>
              </w:rPr>
              <w:t>Treating an alliance as proof that one person caused the problem.</w:t>
            </w:r>
          </w:p>
        </w:tc>
      </w:tr>
      <w:tr>
        <w:trPr>
          <w:cantSplit/>
        </w:trPr>
        <w:tc>
          <w:tcPr>
            <w:tcW w:type="dxa" w:w="1944"/>
            <w:tcMar>
              <w:top w:w="100" w:type="dxa"/>
              <w:start w:w="120" w:type="dxa"/>
              <w:bottom w:w="100" w:type="dxa"/>
              <w:end w:w="120" w:type="dxa"/>
            </w:tcMar>
            <w:shd w:fill="F7F8FA"/>
          </w:tcPr>
          <w:p>
            <w:pPr>
              <w:spacing w:after="0"/>
            </w:pPr>
            <w:r>
              <w:rPr>
                <w:sz w:val="17"/>
              </w:rPr>
              <w:t>Life-cycle transition</w:t>
            </w:r>
          </w:p>
        </w:tc>
        <w:tc>
          <w:tcPr>
            <w:tcW w:type="dxa" w:w="4608"/>
            <w:tcMar>
              <w:top w:w="100" w:type="dxa"/>
              <w:start w:w="120" w:type="dxa"/>
              <w:bottom w:w="100" w:type="dxa"/>
              <w:end w:w="120" w:type="dxa"/>
            </w:tcMar>
            <w:shd w:fill="F7F8FA"/>
          </w:tcPr>
          <w:p>
            <w:pPr>
              <w:spacing w:after="0"/>
            </w:pPr>
            <w:r>
              <w:rPr>
                <w:sz w:val="17"/>
              </w:rPr>
              <w:t>What change is the system trying to absorb?</w:t>
            </w:r>
          </w:p>
        </w:tc>
        <w:tc>
          <w:tcPr>
            <w:tcW w:type="dxa" w:w="3384"/>
            <w:tcMar>
              <w:top w:w="100" w:type="dxa"/>
              <w:start w:w="120" w:type="dxa"/>
              <w:bottom w:w="100" w:type="dxa"/>
              <w:end w:w="120" w:type="dxa"/>
            </w:tcMar>
            <w:shd w:fill="F7F8FA"/>
          </w:tcPr>
          <w:p>
            <w:pPr>
              <w:spacing w:after="0"/>
            </w:pPr>
            <w:r>
              <w:rPr>
                <w:sz w:val="17"/>
              </w:rPr>
              <w:t>Focusing only on symptoms and missing the transition.</w:t>
            </w:r>
          </w:p>
        </w:tc>
      </w:tr>
      <w:tr>
        <w:trPr>
          <w:cantSplit/>
        </w:trPr>
        <w:tc>
          <w:tcPr>
            <w:tcW w:type="dxa" w:w="1944"/>
            <w:tcMar>
              <w:top w:w="100" w:type="dxa"/>
              <w:start w:w="120" w:type="dxa"/>
              <w:bottom w:w="100" w:type="dxa"/>
              <w:end w:w="120" w:type="dxa"/>
            </w:tcMar>
          </w:tcPr>
          <w:p>
            <w:pPr>
              <w:spacing w:after="0"/>
            </w:pPr>
            <w:r>
              <w:rPr>
                <w:sz w:val="17"/>
              </w:rPr>
              <w:t>Meaning and culture</w:t>
            </w:r>
          </w:p>
        </w:tc>
        <w:tc>
          <w:tcPr>
            <w:tcW w:type="dxa" w:w="4608"/>
            <w:tcMar>
              <w:top w:w="100" w:type="dxa"/>
              <w:start w:w="120" w:type="dxa"/>
              <w:bottom w:w="100" w:type="dxa"/>
              <w:end w:w="120" w:type="dxa"/>
            </w:tcMar>
          </w:tcPr>
          <w:p>
            <w:pPr>
              <w:spacing w:after="0"/>
            </w:pPr>
            <w:r>
              <w:rPr>
                <w:sz w:val="17"/>
              </w:rPr>
              <w:t>What does the pattern mean within the family’s identities and context?</w:t>
            </w:r>
          </w:p>
        </w:tc>
        <w:tc>
          <w:tcPr>
            <w:tcW w:type="dxa" w:w="3384"/>
            <w:tcMar>
              <w:top w:w="100" w:type="dxa"/>
              <w:start w:w="120" w:type="dxa"/>
              <w:bottom w:w="100" w:type="dxa"/>
              <w:end w:w="120" w:type="dxa"/>
            </w:tcMar>
          </w:tcPr>
          <w:p>
            <w:pPr>
              <w:spacing w:after="0"/>
            </w:pPr>
            <w:r>
              <w:rPr>
                <w:sz w:val="17"/>
              </w:rPr>
              <w:t>Using one family norm as the universal standard.</w:t>
            </w:r>
          </w:p>
        </w:tc>
      </w:tr>
    </w:tbl>
    <w:p>
      <w:pPr>
        <w:spacing w:after="0"/>
      </w:pPr>
    </w:p>
    <w:p>
      <w:pPr>
        <w:pStyle w:val="Heading1"/>
      </w:pPr>
      <w:r>
        <w:t>4. Trauma, Abuse, Loss, and Grief</w:t>
      </w:r>
    </w:p>
    <w:p>
      <w:r>
        <w:rPr>
          <w:i w:val="0"/>
        </w:rPr>
        <w:t>Assessment should establish present safety, the relationship between past experiences and current functioning, trauma reminders, avoidance, arousal, dissociation, relational effects, supports, and coping. With loss, assess the timing and meaning of the loss, cultural and spiritual practices, functioning, support, guilt, trauma exposure, and safety. Do not automatically pathologize grief or assume that disclosure requires immediate detailed processing.</w:t>
      </w:r>
    </w:p>
    <w:tbl>
      <w:tblPr>
        <w:tblStyle w:val="TableGrid"/>
        <w:tblW w:type="auto" w:w="0"/>
        <w:jc w:val="center"/>
        <w:tblLayout w:type="fixed"/>
        <w:tblLook w:firstColumn="1" w:firstRow="1" w:lastColumn="0" w:lastRow="0" w:noHBand="0" w:noVBand="1" w:val="04A0"/>
      </w:tblPr>
      <w:tblGrid>
        <w:gridCol w:w="2880"/>
        <w:gridCol w:w="4464"/>
        <w:gridCol w:w="2592"/>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First Determine</w:t>
            </w:r>
          </w:p>
        </w:tc>
        <w:tc>
          <w:tcPr>
            <w:tcW w:type="dxa" w:w="3360"/>
            <w:shd w:fill="17365D"/>
            <w:tcMar>
              <w:top w:w="100" w:type="dxa"/>
              <w:start w:w="120" w:type="dxa"/>
              <w:bottom w:w="100" w:type="dxa"/>
              <w:end w:w="120" w:type="dxa"/>
            </w:tcMar>
          </w:tcPr>
          <w:p>
            <w:pPr>
              <w:spacing w:after="0"/>
            </w:pPr>
            <w:r>
              <w:rPr>
                <w:b/>
                <w:color w:val="FFFFFF"/>
                <w:sz w:val="17"/>
              </w:rPr>
              <w:t>Then Explore</w:t>
            </w:r>
          </w:p>
        </w:tc>
        <w:tc>
          <w:tcPr>
            <w:tcW w:type="dxa" w:w="3360"/>
            <w:shd w:fill="17365D"/>
            <w:tcMar>
              <w:top w:w="100" w:type="dxa"/>
              <w:start w:w="120" w:type="dxa"/>
              <w:bottom w:w="100" w:type="dxa"/>
              <w:end w:w="120" w:type="dxa"/>
            </w:tcMar>
          </w:tcPr>
          <w:p>
            <w:pPr>
              <w:spacing w:after="0"/>
            </w:pPr>
            <w:r>
              <w:rPr>
                <w:b/>
                <w:color w:val="FFFFFF"/>
                <w:sz w:val="17"/>
              </w:rPr>
              <w:t>Avoid</w:t>
            </w:r>
          </w:p>
        </w:tc>
      </w:tr>
      <w:tr>
        <w:trPr>
          <w:cantSplit/>
        </w:trPr>
        <w:tc>
          <w:tcPr>
            <w:tcW w:type="dxa" w:w="2880"/>
            <w:tcMar>
              <w:top w:w="100" w:type="dxa"/>
              <w:start w:w="120" w:type="dxa"/>
              <w:bottom w:w="100" w:type="dxa"/>
              <w:end w:w="120" w:type="dxa"/>
            </w:tcMar>
          </w:tcPr>
          <w:p>
            <w:pPr>
              <w:spacing w:after="0"/>
            </w:pPr>
            <w:r>
              <w:rPr>
                <w:sz w:val="17"/>
              </w:rPr>
              <w:t>Current safety and urgent needs</w:t>
            </w:r>
          </w:p>
        </w:tc>
        <w:tc>
          <w:tcPr>
            <w:tcW w:type="dxa" w:w="4464"/>
            <w:tcMar>
              <w:top w:w="100" w:type="dxa"/>
              <w:start w:w="120" w:type="dxa"/>
              <w:bottom w:w="100" w:type="dxa"/>
              <w:end w:w="120" w:type="dxa"/>
            </w:tcMar>
          </w:tcPr>
          <w:p>
            <w:pPr>
              <w:spacing w:after="0"/>
            </w:pPr>
            <w:r>
              <w:rPr>
                <w:sz w:val="17"/>
              </w:rPr>
              <w:t>Impact on sleep, emotion, relationships, body, functioning, and meaning</w:t>
            </w:r>
          </w:p>
        </w:tc>
        <w:tc>
          <w:tcPr>
            <w:tcW w:type="dxa" w:w="2592"/>
            <w:tcMar>
              <w:top w:w="100" w:type="dxa"/>
              <w:start w:w="120" w:type="dxa"/>
              <w:bottom w:w="100" w:type="dxa"/>
              <w:end w:w="120" w:type="dxa"/>
            </w:tcMar>
          </w:tcPr>
          <w:p>
            <w:pPr>
              <w:spacing w:after="0"/>
            </w:pPr>
            <w:r>
              <w:rPr>
                <w:sz w:val="17"/>
              </w:rPr>
              <w:t>Seeking a complete trauma narrative before stabilization</w:t>
            </w:r>
          </w:p>
        </w:tc>
      </w:tr>
      <w:tr>
        <w:trPr>
          <w:cantSplit/>
        </w:trPr>
        <w:tc>
          <w:tcPr>
            <w:tcW w:type="dxa" w:w="2880"/>
            <w:tcMar>
              <w:top w:w="100" w:type="dxa"/>
              <w:start w:w="120" w:type="dxa"/>
              <w:bottom w:w="100" w:type="dxa"/>
              <w:end w:w="120" w:type="dxa"/>
            </w:tcMar>
            <w:shd w:fill="F7F8FA"/>
          </w:tcPr>
          <w:p>
            <w:pPr>
              <w:spacing w:after="0"/>
            </w:pPr>
            <w:r>
              <w:rPr>
                <w:sz w:val="17"/>
              </w:rPr>
              <w:t>Whether abuse or coercion is current</w:t>
            </w:r>
          </w:p>
        </w:tc>
        <w:tc>
          <w:tcPr>
            <w:tcW w:type="dxa" w:w="4464"/>
            <w:tcMar>
              <w:top w:w="100" w:type="dxa"/>
              <w:start w:w="120" w:type="dxa"/>
              <w:bottom w:w="100" w:type="dxa"/>
              <w:end w:w="120" w:type="dxa"/>
            </w:tcMar>
            <w:shd w:fill="F7F8FA"/>
          </w:tcPr>
          <w:p>
            <w:pPr>
              <w:spacing w:after="0"/>
            </w:pPr>
            <w:r>
              <w:rPr>
                <w:sz w:val="17"/>
              </w:rPr>
              <w:t>Control, secrecy, threats, dependence, and support</w:t>
            </w:r>
          </w:p>
        </w:tc>
        <w:tc>
          <w:tcPr>
            <w:tcW w:type="dxa" w:w="2592"/>
            <w:tcMar>
              <w:top w:w="100" w:type="dxa"/>
              <w:start w:w="120" w:type="dxa"/>
              <w:bottom w:w="100" w:type="dxa"/>
              <w:end w:w="120" w:type="dxa"/>
            </w:tcMar>
            <w:shd w:fill="F7F8FA"/>
          </w:tcPr>
          <w:p>
            <w:pPr>
              <w:spacing w:after="0"/>
            </w:pPr>
            <w:r>
              <w:rPr>
                <w:sz w:val="17"/>
              </w:rPr>
              <w:t>Defaulting to conjoint disclosure when it may increase danger</w:t>
            </w:r>
          </w:p>
        </w:tc>
      </w:tr>
      <w:tr>
        <w:trPr>
          <w:cantSplit/>
        </w:trPr>
        <w:tc>
          <w:tcPr>
            <w:tcW w:type="dxa" w:w="2880"/>
            <w:tcMar>
              <w:top w:w="100" w:type="dxa"/>
              <w:start w:w="120" w:type="dxa"/>
              <w:bottom w:w="100" w:type="dxa"/>
              <w:end w:w="120" w:type="dxa"/>
            </w:tcMar>
          </w:tcPr>
          <w:p>
            <w:pPr>
              <w:spacing w:after="0"/>
            </w:pPr>
            <w:r>
              <w:rPr>
                <w:sz w:val="17"/>
              </w:rPr>
              <w:t>Nature and timing of loss</w:t>
            </w:r>
          </w:p>
        </w:tc>
        <w:tc>
          <w:tcPr>
            <w:tcW w:type="dxa" w:w="4464"/>
            <w:tcMar>
              <w:top w:w="100" w:type="dxa"/>
              <w:start w:w="120" w:type="dxa"/>
              <w:bottom w:w="100" w:type="dxa"/>
              <w:end w:w="120" w:type="dxa"/>
            </w:tcMar>
          </w:tcPr>
          <w:p>
            <w:pPr>
              <w:spacing w:after="0"/>
            </w:pPr>
            <w:r>
              <w:rPr>
                <w:sz w:val="17"/>
              </w:rPr>
              <w:t>Grief response, role changes, rituals, support, and impairment</w:t>
            </w:r>
          </w:p>
        </w:tc>
        <w:tc>
          <w:tcPr>
            <w:tcW w:type="dxa" w:w="2592"/>
            <w:tcMar>
              <w:top w:w="100" w:type="dxa"/>
              <w:start w:w="120" w:type="dxa"/>
              <w:bottom w:w="100" w:type="dxa"/>
              <w:end w:w="120" w:type="dxa"/>
            </w:tcMar>
          </w:tcPr>
          <w:p>
            <w:pPr>
              <w:spacing w:after="0"/>
            </w:pPr>
            <w:r>
              <w:rPr>
                <w:sz w:val="17"/>
              </w:rPr>
              <w:t>Equating intense grief with a disorder without context</w:t>
            </w:r>
          </w:p>
        </w:tc>
      </w:tr>
    </w:tbl>
    <w:p>
      <w:pPr>
        <w:spacing w:after="0"/>
      </w:pPr>
    </w:p>
    <w:p>
      <w:pPr>
        <w:pStyle w:val="Heading1"/>
      </w:pPr>
      <w:r>
        <w:t>5. Aggression, Impulsivity, Violence, and Regulation</w:t>
      </w:r>
    </w:p>
    <w:p>
      <w:r>
        <w:rPr>
          <w:i w:val="0"/>
        </w:rPr>
        <w:t>Anger is not the same as violence, and conflict is not the same as coercive control. Assess behavior, pattern, intent, triggers, escalation, access to means, substance involvement, past incidents, injuries, legal involvement, remorse, accountability, protective factors, and the safety of each participant. When risk or coercion is present, safety assessment takes priority over communication training or conjoint confrontation.</w:t>
      </w:r>
    </w:p>
    <w:tbl>
      <w:tblPr>
        <w:tblW w:type="auto" w:w="0"/>
        <w:jc w:val="center"/>
        <w:tblLayout w:type="fixed"/>
        <w:tblLook w:firstColumn="1" w:firstRow="1" w:lastColumn="0" w:lastRow="0" w:noHBand="0" w:noVBand="1" w:val="04A0"/>
      </w:tblPr>
      <w:tblGrid>
        <w:gridCol w:w="9936"/>
      </w:tblGrid>
      <w:tr>
        <w:trPr>
          <w:cantSplit/>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Do not assume that a calm presentation rules out risk, that a history of aggression proves current intent, or that a couple should discuss violence together before individual safety and suitability are assessed.</w:t>
            </w:r>
          </w:p>
        </w:tc>
      </w:tr>
    </w:tbl>
    <w:p>
      <w:pPr>
        <w:spacing w:after="0"/>
      </w:pPr>
    </w:p>
    <w:p>
      <w:pPr>
        <w:pStyle w:val="Heading1"/>
      </w:pPr>
      <w:r>
        <w:t>6. Strengths, Coping, Resilience, and Protective Factors</w:t>
      </w:r>
    </w:p>
    <w:p>
      <w:r>
        <w:rPr>
          <w:i w:val="0"/>
        </w:rPr>
        <w:t>Strengths assessment is not generic encouragement. Identify what the client or system has actually done, which relationships or values support coping, where exceptions occur, what resources are available, and what has helped during prior stress. Protective factors can reduce risk but do not erase it. Connect strengths to the next clinical task.</w:t>
      </w:r>
    </w:p>
    <w:tbl>
      <w:tblPr>
        <w:tblStyle w:val="TableGrid"/>
        <w:tblW w:type="auto" w:w="0"/>
        <w:jc w:val="center"/>
        <w:tblLayout w:type="fixed"/>
        <w:tblLook w:firstColumn="1" w:firstRow="1" w:lastColumn="0" w:lastRow="0" w:noHBand="0" w:noVBand="1" w:val="04A0"/>
      </w:tblPr>
      <w:tblGrid>
        <w:gridCol w:w="2232"/>
        <w:gridCol w:w="3888"/>
        <w:gridCol w:w="3888"/>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Strength Domain</w:t>
            </w:r>
          </w:p>
        </w:tc>
        <w:tc>
          <w:tcPr>
            <w:tcW w:type="dxa" w:w="3360"/>
            <w:shd w:fill="17365D"/>
            <w:tcMar>
              <w:top w:w="100" w:type="dxa"/>
              <w:start w:w="120" w:type="dxa"/>
              <w:bottom w:w="100" w:type="dxa"/>
              <w:end w:w="120" w:type="dxa"/>
            </w:tcMar>
          </w:tcPr>
          <w:p>
            <w:pPr>
              <w:spacing w:after="0"/>
            </w:pPr>
            <w:r>
              <w:rPr>
                <w:b/>
                <w:color w:val="FFFFFF"/>
                <w:sz w:val="17"/>
              </w:rPr>
              <w:t>Examples</w:t>
            </w:r>
          </w:p>
        </w:tc>
        <w:tc>
          <w:tcPr>
            <w:tcW w:type="dxa" w:w="3360"/>
            <w:shd w:fill="17365D"/>
            <w:tcMar>
              <w:top w:w="100" w:type="dxa"/>
              <w:start w:w="120" w:type="dxa"/>
              <w:bottom w:w="100" w:type="dxa"/>
              <w:end w:w="120" w:type="dxa"/>
            </w:tcMar>
          </w:tcPr>
          <w:p>
            <w:pPr>
              <w:spacing w:after="0"/>
            </w:pPr>
            <w:r>
              <w:rPr>
                <w:b/>
                <w:color w:val="FFFFFF"/>
                <w:sz w:val="17"/>
              </w:rPr>
              <w:t>How It Informs Care</w:t>
            </w:r>
          </w:p>
        </w:tc>
      </w:tr>
      <w:tr>
        <w:trPr>
          <w:cantSplit/>
        </w:trPr>
        <w:tc>
          <w:tcPr>
            <w:tcW w:type="dxa" w:w="2232"/>
            <w:tcMar>
              <w:top w:w="100" w:type="dxa"/>
              <w:start w:w="120" w:type="dxa"/>
              <w:bottom w:w="100" w:type="dxa"/>
              <w:end w:w="120" w:type="dxa"/>
            </w:tcMar>
          </w:tcPr>
          <w:p>
            <w:pPr>
              <w:spacing w:after="0"/>
            </w:pPr>
            <w:r>
              <w:rPr>
                <w:sz w:val="17"/>
              </w:rPr>
              <w:t>Internal capacities</w:t>
            </w:r>
          </w:p>
        </w:tc>
        <w:tc>
          <w:tcPr>
            <w:tcW w:type="dxa" w:w="3888"/>
            <w:tcMar>
              <w:top w:w="100" w:type="dxa"/>
              <w:start w:w="120" w:type="dxa"/>
              <w:bottom w:w="100" w:type="dxa"/>
              <w:end w:w="120" w:type="dxa"/>
            </w:tcMar>
          </w:tcPr>
          <w:p>
            <w:pPr>
              <w:spacing w:after="0"/>
            </w:pPr>
            <w:r>
              <w:rPr>
                <w:sz w:val="17"/>
              </w:rPr>
              <w:t>Insight, persistence, humor, regulation, problem solving</w:t>
            </w:r>
          </w:p>
        </w:tc>
        <w:tc>
          <w:tcPr>
            <w:tcW w:type="dxa" w:w="3888"/>
            <w:tcMar>
              <w:top w:w="100" w:type="dxa"/>
              <w:start w:w="120" w:type="dxa"/>
              <w:bottom w:w="100" w:type="dxa"/>
              <w:end w:w="120" w:type="dxa"/>
            </w:tcMar>
          </w:tcPr>
          <w:p>
            <w:pPr>
              <w:spacing w:after="0"/>
            </w:pPr>
            <w:r>
              <w:rPr>
                <w:sz w:val="17"/>
              </w:rPr>
              <w:t>Supports realistic goals and skill selection.</w:t>
            </w:r>
          </w:p>
        </w:tc>
      </w:tr>
      <w:tr>
        <w:trPr>
          <w:cantSplit/>
        </w:trPr>
        <w:tc>
          <w:tcPr>
            <w:tcW w:type="dxa" w:w="2232"/>
            <w:tcMar>
              <w:top w:w="100" w:type="dxa"/>
              <w:start w:w="120" w:type="dxa"/>
              <w:bottom w:w="100" w:type="dxa"/>
              <w:end w:w="120" w:type="dxa"/>
            </w:tcMar>
            <w:shd w:fill="F7F8FA"/>
          </w:tcPr>
          <w:p>
            <w:pPr>
              <w:spacing w:after="0"/>
            </w:pPr>
            <w:r>
              <w:rPr>
                <w:sz w:val="17"/>
              </w:rPr>
              <w:t>Relational resources</w:t>
            </w:r>
          </w:p>
        </w:tc>
        <w:tc>
          <w:tcPr>
            <w:tcW w:type="dxa" w:w="3888"/>
            <w:tcMar>
              <w:top w:w="100" w:type="dxa"/>
              <w:start w:w="120" w:type="dxa"/>
              <w:bottom w:w="100" w:type="dxa"/>
              <w:end w:w="120" w:type="dxa"/>
            </w:tcMar>
            <w:shd w:fill="F7F8FA"/>
          </w:tcPr>
          <w:p>
            <w:pPr>
              <w:spacing w:after="0"/>
            </w:pPr>
            <w:r>
              <w:rPr>
                <w:sz w:val="17"/>
              </w:rPr>
              <w:t>Safe adults, partner support, peer community, spiritual community</w:t>
            </w:r>
          </w:p>
        </w:tc>
        <w:tc>
          <w:tcPr>
            <w:tcW w:type="dxa" w:w="3888"/>
            <w:tcMar>
              <w:top w:w="100" w:type="dxa"/>
              <w:start w:w="120" w:type="dxa"/>
              <w:bottom w:w="100" w:type="dxa"/>
              <w:end w:w="120" w:type="dxa"/>
            </w:tcMar>
            <w:shd w:fill="F7F8FA"/>
          </w:tcPr>
          <w:p>
            <w:pPr>
              <w:spacing w:after="0"/>
            </w:pPr>
            <w:r>
              <w:rPr>
                <w:sz w:val="17"/>
              </w:rPr>
              <w:t>Strengthens safety and follow-through.</w:t>
            </w:r>
          </w:p>
        </w:tc>
      </w:tr>
      <w:tr>
        <w:trPr>
          <w:cantSplit/>
        </w:trPr>
        <w:tc>
          <w:tcPr>
            <w:tcW w:type="dxa" w:w="2232"/>
            <w:tcMar>
              <w:top w:w="100" w:type="dxa"/>
              <w:start w:w="120" w:type="dxa"/>
              <w:bottom w:w="100" w:type="dxa"/>
              <w:end w:w="120" w:type="dxa"/>
            </w:tcMar>
          </w:tcPr>
          <w:p>
            <w:pPr>
              <w:spacing w:after="0"/>
            </w:pPr>
            <w:r>
              <w:rPr>
                <w:sz w:val="17"/>
              </w:rPr>
              <w:t>Prior coping</w:t>
            </w:r>
          </w:p>
        </w:tc>
        <w:tc>
          <w:tcPr>
            <w:tcW w:type="dxa" w:w="3888"/>
            <w:tcMar>
              <w:top w:w="100" w:type="dxa"/>
              <w:start w:w="120" w:type="dxa"/>
              <w:bottom w:w="100" w:type="dxa"/>
              <w:end w:w="120" w:type="dxa"/>
            </w:tcMar>
          </w:tcPr>
          <w:p>
            <w:pPr>
              <w:spacing w:after="0"/>
            </w:pPr>
            <w:r>
              <w:rPr>
                <w:sz w:val="17"/>
              </w:rPr>
              <w:t>Help-seeking, routines, recovery efforts, successful boundary setting</w:t>
            </w:r>
          </w:p>
        </w:tc>
        <w:tc>
          <w:tcPr>
            <w:tcW w:type="dxa" w:w="3888"/>
            <w:tcMar>
              <w:top w:w="100" w:type="dxa"/>
              <w:start w:w="120" w:type="dxa"/>
              <w:bottom w:w="100" w:type="dxa"/>
              <w:end w:w="120" w:type="dxa"/>
            </w:tcMar>
          </w:tcPr>
          <w:p>
            <w:pPr>
              <w:spacing w:after="0"/>
            </w:pPr>
            <w:r>
              <w:rPr>
                <w:sz w:val="17"/>
              </w:rPr>
              <w:t>Identifies usable strategies and exceptions.</w:t>
            </w:r>
          </w:p>
        </w:tc>
      </w:tr>
      <w:tr>
        <w:trPr>
          <w:cantSplit/>
        </w:trPr>
        <w:tc>
          <w:tcPr>
            <w:tcW w:type="dxa" w:w="2232"/>
            <w:tcMar>
              <w:top w:w="100" w:type="dxa"/>
              <w:start w:w="120" w:type="dxa"/>
              <w:bottom w:w="100" w:type="dxa"/>
              <w:end w:w="120" w:type="dxa"/>
            </w:tcMar>
            <w:shd w:fill="F7F8FA"/>
          </w:tcPr>
          <w:p>
            <w:pPr>
              <w:spacing w:after="0"/>
            </w:pPr>
            <w:r>
              <w:rPr>
                <w:sz w:val="17"/>
              </w:rPr>
              <w:t>Contextual resources</w:t>
            </w:r>
          </w:p>
        </w:tc>
        <w:tc>
          <w:tcPr>
            <w:tcW w:type="dxa" w:w="3888"/>
            <w:tcMar>
              <w:top w:w="100" w:type="dxa"/>
              <w:start w:w="120" w:type="dxa"/>
              <w:bottom w:w="100" w:type="dxa"/>
              <w:end w:w="120" w:type="dxa"/>
            </w:tcMar>
            <w:shd w:fill="F7F8FA"/>
          </w:tcPr>
          <w:p>
            <w:pPr>
              <w:spacing w:after="0"/>
            </w:pPr>
            <w:r>
              <w:rPr>
                <w:sz w:val="17"/>
              </w:rPr>
              <w:t>Housing, transportation, school services, health care, community programs</w:t>
            </w:r>
          </w:p>
        </w:tc>
        <w:tc>
          <w:tcPr>
            <w:tcW w:type="dxa" w:w="3888"/>
            <w:tcMar>
              <w:top w:w="100" w:type="dxa"/>
              <w:start w:w="120" w:type="dxa"/>
              <w:bottom w:w="100" w:type="dxa"/>
              <w:end w:w="120" w:type="dxa"/>
            </w:tcMar>
            <w:shd w:fill="F7F8FA"/>
          </w:tcPr>
          <w:p>
            <w:pPr>
              <w:spacing w:after="0"/>
            </w:pPr>
            <w:r>
              <w:rPr>
                <w:sz w:val="17"/>
              </w:rPr>
              <w:t>Shows what is feasible and where referral is needed.</w:t>
            </w:r>
          </w:p>
        </w:tc>
      </w:tr>
    </w:tbl>
    <w:p>
      <w:pPr>
        <w:spacing w:after="0"/>
      </w:pPr>
    </w:p>
    <w:p>
      <w:pPr>
        <w:pStyle w:val="Heading1"/>
      </w:pPr>
      <w:r>
        <w:t>7. Standardized Instruments and Clinical Judgment</w:t>
      </w:r>
    </w:p>
    <w:p>
      <w:r>
        <w:rPr>
          <w:i w:val="0"/>
        </w:rPr>
        <w:t>A screening measure estimates whether additional assessment may be needed. It does not automatically establish a diagnosis, level of care, or treatment plan. Before using an instrument, know its purpose, intended population, administration and scoring requirements, limitations, cultural and language fit, and how the result will affect a clinical decision. Integrate results with interview data, observation, collateral information, and context.</w:t>
      </w:r>
    </w:p>
    <w:tbl>
      <w:tblPr>
        <w:tblStyle w:val="TableGrid"/>
        <w:tblW w:type="auto" w:w="0"/>
        <w:jc w:val="center"/>
        <w:tblLayout w:type="fixed"/>
        <w:tblLook w:firstColumn="1" w:firstRow="1" w:lastColumn="0" w:lastRow="0" w:noHBand="0" w:noVBand="1" w:val="04A0"/>
      </w:tblPr>
      <w:tblGrid>
        <w:gridCol w:w="2880"/>
        <w:gridCol w:w="6912"/>
      </w:tblGrid>
      <w:tr>
        <w:trPr>
          <w:tblHeader w:val="true"/>
          <w:cantSplit/>
          <w:tblHeader w:val="true"/>
        </w:trPr>
        <w:tc>
          <w:tcPr>
            <w:tcW w:type="dxa" w:w="5040"/>
            <w:shd w:fill="17365D"/>
            <w:tcMar>
              <w:top w:w="100" w:type="dxa"/>
              <w:start w:w="120" w:type="dxa"/>
              <w:bottom w:w="100" w:type="dxa"/>
              <w:end w:w="120" w:type="dxa"/>
            </w:tcMar>
          </w:tcPr>
          <w:p>
            <w:pPr>
              <w:spacing w:after="0"/>
            </w:pPr>
            <w:r>
              <w:rPr>
                <w:b/>
                <w:color w:val="FFFFFF"/>
                <w:sz w:val="18"/>
              </w:rPr>
              <w:t>Question</w:t>
            </w:r>
          </w:p>
        </w:tc>
        <w:tc>
          <w:tcPr>
            <w:tcW w:type="dxa" w:w="5040"/>
            <w:shd w:fill="17365D"/>
            <w:tcMar>
              <w:top w:w="100" w:type="dxa"/>
              <w:start w:w="120" w:type="dxa"/>
              <w:bottom w:w="100" w:type="dxa"/>
              <w:end w:w="120" w:type="dxa"/>
            </w:tcMar>
          </w:tcPr>
          <w:p>
            <w:pPr>
              <w:spacing w:after="0"/>
            </w:pPr>
            <w:r>
              <w:rPr>
                <w:b/>
                <w:color w:val="FFFFFF"/>
                <w:sz w:val="18"/>
              </w:rPr>
              <w:t>Best Practice</w:t>
            </w:r>
          </w:p>
        </w:tc>
      </w:tr>
      <w:tr>
        <w:trPr>
          <w:cantSplit/>
        </w:trPr>
        <w:tc>
          <w:tcPr>
            <w:tcW w:type="dxa" w:w="2880"/>
            <w:tcMar>
              <w:top w:w="100" w:type="dxa"/>
              <w:start w:w="120" w:type="dxa"/>
              <w:bottom w:w="100" w:type="dxa"/>
              <w:end w:w="120" w:type="dxa"/>
            </w:tcMar>
          </w:tcPr>
          <w:p>
            <w:pPr>
              <w:spacing w:after="0"/>
            </w:pPr>
            <w:r>
              <w:rPr>
                <w:sz w:val="18"/>
              </w:rPr>
              <w:t>Why use this instrument?</w:t>
            </w:r>
          </w:p>
        </w:tc>
        <w:tc>
          <w:tcPr>
            <w:tcW w:type="dxa" w:w="6912"/>
            <w:tcMar>
              <w:top w:w="100" w:type="dxa"/>
              <w:start w:w="120" w:type="dxa"/>
              <w:bottom w:w="100" w:type="dxa"/>
              <w:end w:w="120" w:type="dxa"/>
            </w:tcMar>
          </w:tcPr>
          <w:p>
            <w:pPr>
              <w:spacing w:after="0"/>
            </w:pPr>
            <w:r>
              <w:rPr>
                <w:sz w:val="18"/>
              </w:rPr>
              <w:t>To answer a defined assessment question, not because the measure is available.</w:t>
            </w:r>
          </w:p>
        </w:tc>
      </w:tr>
      <w:tr>
        <w:trPr>
          <w:cantSplit/>
        </w:trPr>
        <w:tc>
          <w:tcPr>
            <w:tcW w:type="dxa" w:w="2880"/>
            <w:tcMar>
              <w:top w:w="100" w:type="dxa"/>
              <w:start w:w="120" w:type="dxa"/>
              <w:bottom w:w="100" w:type="dxa"/>
              <w:end w:w="120" w:type="dxa"/>
            </w:tcMar>
            <w:shd w:fill="F7F8FA"/>
          </w:tcPr>
          <w:p>
            <w:pPr>
              <w:spacing w:after="0"/>
            </w:pPr>
            <w:r>
              <w:rPr>
                <w:sz w:val="18"/>
              </w:rPr>
              <w:t>Is it appropriate?</w:t>
            </w:r>
          </w:p>
        </w:tc>
        <w:tc>
          <w:tcPr>
            <w:tcW w:type="dxa" w:w="6912"/>
            <w:tcMar>
              <w:top w:w="100" w:type="dxa"/>
              <w:start w:w="120" w:type="dxa"/>
              <w:bottom w:w="100" w:type="dxa"/>
              <w:end w:w="120" w:type="dxa"/>
            </w:tcMar>
            <w:shd w:fill="F7F8FA"/>
          </w:tcPr>
          <w:p>
            <w:pPr>
              <w:spacing w:after="0"/>
            </w:pPr>
            <w:r>
              <w:rPr>
                <w:sz w:val="18"/>
              </w:rPr>
              <w:t>Consider age, language, literacy, disability, culture, setting, and validation population.</w:t>
            </w:r>
          </w:p>
        </w:tc>
      </w:tr>
      <w:tr>
        <w:trPr>
          <w:cantSplit/>
        </w:trPr>
        <w:tc>
          <w:tcPr>
            <w:tcW w:type="dxa" w:w="2880"/>
            <w:tcMar>
              <w:top w:w="100" w:type="dxa"/>
              <w:start w:w="120" w:type="dxa"/>
              <w:bottom w:w="100" w:type="dxa"/>
              <w:end w:w="120" w:type="dxa"/>
            </w:tcMar>
          </w:tcPr>
          <w:p>
            <w:pPr>
              <w:spacing w:after="0"/>
            </w:pPr>
            <w:r>
              <w:rPr>
                <w:sz w:val="18"/>
              </w:rPr>
              <w:t>What does the score mean?</w:t>
            </w:r>
          </w:p>
        </w:tc>
        <w:tc>
          <w:tcPr>
            <w:tcW w:type="dxa" w:w="6912"/>
            <w:tcMar>
              <w:top w:w="100" w:type="dxa"/>
              <w:start w:w="120" w:type="dxa"/>
              <w:bottom w:w="100" w:type="dxa"/>
              <w:end w:w="120" w:type="dxa"/>
            </w:tcMar>
          </w:tcPr>
          <w:p>
            <w:pPr>
              <w:spacing w:after="0"/>
            </w:pPr>
            <w:r>
              <w:rPr>
                <w:sz w:val="18"/>
              </w:rPr>
              <w:t>Interpret within the measure’s limits and alongside other data.</w:t>
            </w:r>
          </w:p>
        </w:tc>
      </w:tr>
      <w:tr>
        <w:trPr>
          <w:cantSplit/>
        </w:trPr>
        <w:tc>
          <w:tcPr>
            <w:tcW w:type="dxa" w:w="2880"/>
            <w:tcMar>
              <w:top w:w="100" w:type="dxa"/>
              <w:start w:w="120" w:type="dxa"/>
              <w:bottom w:w="100" w:type="dxa"/>
              <w:end w:w="120" w:type="dxa"/>
            </w:tcMar>
            <w:shd w:fill="F7F8FA"/>
          </w:tcPr>
          <w:p>
            <w:pPr>
              <w:spacing w:after="0"/>
            </w:pPr>
            <w:r>
              <w:rPr>
                <w:sz w:val="18"/>
              </w:rPr>
              <w:t>What happens next?</w:t>
            </w:r>
          </w:p>
        </w:tc>
        <w:tc>
          <w:tcPr>
            <w:tcW w:type="dxa" w:w="6912"/>
            <w:tcMar>
              <w:top w:w="100" w:type="dxa"/>
              <w:start w:w="120" w:type="dxa"/>
              <w:bottom w:w="100" w:type="dxa"/>
              <w:end w:w="120" w:type="dxa"/>
            </w:tcMar>
            <w:shd w:fill="F7F8FA"/>
          </w:tcPr>
          <w:p>
            <w:pPr>
              <w:spacing w:after="0"/>
            </w:pPr>
            <w:r>
              <w:rPr>
                <w:sz w:val="18"/>
              </w:rPr>
              <w:t>Clarify whether the result changes assessment, safety planning, consultation, referral, or monitoring.</w:t>
            </w:r>
          </w:p>
        </w:tc>
      </w:tr>
    </w:tbl>
    <w:p>
      <w:pPr>
        <w:spacing w:after="0"/>
      </w:pPr>
    </w:p>
    <w:p>
      <w:pPr>
        <w:pStyle w:val="Heading1"/>
      </w:pPr>
      <w:r>
        <w:t>8. Consultation and Referral for Further Evaluation</w:t>
      </w:r>
    </w:p>
    <w:p>
      <w:r>
        <w:rPr>
          <w:i w:val="0"/>
        </w:rPr>
        <w:t>Choose the professional whose expertise answers the unresolved question. Continue appropriate LMFT assessment and support while arranging the consultation; do not use referral to avoid clinical responsibility. Explain the purpose, obtain necessary authorization, share relevant information, and follow up on the result.</w:t>
      </w:r>
    </w:p>
    <w:tbl>
      <w:tblPr>
        <w:tblStyle w:val="TableGrid"/>
        <w:tblW w:type="auto" w:w="0"/>
        <w:jc w:val="center"/>
        <w:tblLayout w:type="fixed"/>
        <w:tblLook w:firstColumn="1" w:firstRow="1" w:lastColumn="0" w:lastRow="0" w:noHBand="0" w:noVBand="1" w:val="04A0"/>
      </w:tblPr>
      <w:tblGrid>
        <w:gridCol w:w="3744"/>
        <w:gridCol w:w="3024"/>
        <w:gridCol w:w="3168"/>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7"/>
              </w:rPr>
              <w:t>Unanswered Question</w:t>
            </w:r>
          </w:p>
        </w:tc>
        <w:tc>
          <w:tcPr>
            <w:tcW w:type="dxa" w:w="3360"/>
            <w:shd w:fill="17365D"/>
            <w:tcMar>
              <w:top w:w="100" w:type="dxa"/>
              <w:start w:w="120" w:type="dxa"/>
              <w:bottom w:w="100" w:type="dxa"/>
              <w:end w:w="120" w:type="dxa"/>
            </w:tcMar>
          </w:tcPr>
          <w:p>
            <w:pPr>
              <w:spacing w:after="0"/>
            </w:pPr>
            <w:r>
              <w:rPr>
                <w:b/>
                <w:color w:val="FFFFFF"/>
                <w:sz w:val="17"/>
              </w:rPr>
              <w:t>Likely Resource</w:t>
            </w:r>
          </w:p>
        </w:tc>
        <w:tc>
          <w:tcPr>
            <w:tcW w:type="dxa" w:w="3360"/>
            <w:shd w:fill="17365D"/>
            <w:tcMar>
              <w:top w:w="100" w:type="dxa"/>
              <w:start w:w="120" w:type="dxa"/>
              <w:bottom w:w="100" w:type="dxa"/>
              <w:end w:w="120" w:type="dxa"/>
            </w:tcMar>
          </w:tcPr>
          <w:p>
            <w:pPr>
              <w:spacing w:after="0"/>
            </w:pPr>
            <w:r>
              <w:rPr>
                <w:b/>
                <w:color w:val="FFFFFF"/>
                <w:sz w:val="17"/>
              </w:rPr>
              <w:t>Examples</w:t>
            </w:r>
          </w:p>
        </w:tc>
      </w:tr>
      <w:tr>
        <w:trPr>
          <w:cantSplit/>
        </w:trPr>
        <w:tc>
          <w:tcPr>
            <w:tcW w:type="dxa" w:w="3744"/>
            <w:tcMar>
              <w:top w:w="100" w:type="dxa"/>
              <w:start w:w="120" w:type="dxa"/>
              <w:bottom w:w="100" w:type="dxa"/>
              <w:end w:w="120" w:type="dxa"/>
            </w:tcMar>
          </w:tcPr>
          <w:p>
            <w:pPr>
              <w:spacing w:after="0"/>
            </w:pPr>
            <w:r>
              <w:rPr>
                <w:sz w:val="17"/>
              </w:rPr>
              <w:t>Are symptoms psychiatric, and is medication evaluation indicated?</w:t>
            </w:r>
          </w:p>
        </w:tc>
        <w:tc>
          <w:tcPr>
            <w:tcW w:type="dxa" w:w="3024"/>
            <w:tcMar>
              <w:top w:w="100" w:type="dxa"/>
              <w:start w:w="120" w:type="dxa"/>
              <w:bottom w:w="100" w:type="dxa"/>
              <w:end w:w="120" w:type="dxa"/>
            </w:tcMar>
          </w:tcPr>
          <w:p>
            <w:pPr>
              <w:spacing w:after="0"/>
            </w:pPr>
            <w:r>
              <w:rPr>
                <w:sz w:val="17"/>
              </w:rPr>
              <w:t>Psychiatrist or qualified psychiatric prescriber</w:t>
            </w:r>
          </w:p>
        </w:tc>
        <w:tc>
          <w:tcPr>
            <w:tcW w:type="dxa" w:w="3168"/>
            <w:tcMar>
              <w:top w:w="100" w:type="dxa"/>
              <w:start w:w="120" w:type="dxa"/>
              <w:bottom w:w="100" w:type="dxa"/>
              <w:end w:w="120" w:type="dxa"/>
            </w:tcMar>
          </w:tcPr>
          <w:p>
            <w:pPr>
              <w:spacing w:after="0"/>
            </w:pPr>
            <w:r>
              <w:rPr>
                <w:sz w:val="17"/>
              </w:rPr>
              <w:t>Severe mood symptoms, psychosis, complex medication questions.</w:t>
            </w:r>
          </w:p>
        </w:tc>
      </w:tr>
      <w:tr>
        <w:trPr>
          <w:cantSplit/>
        </w:trPr>
        <w:tc>
          <w:tcPr>
            <w:tcW w:type="dxa" w:w="3744"/>
            <w:tcMar>
              <w:top w:w="100" w:type="dxa"/>
              <w:start w:w="120" w:type="dxa"/>
              <w:bottom w:w="100" w:type="dxa"/>
              <w:end w:w="120" w:type="dxa"/>
            </w:tcMar>
            <w:shd w:fill="F7F8FA"/>
          </w:tcPr>
          <w:p>
            <w:pPr>
              <w:spacing w:after="0"/>
            </w:pPr>
            <w:r>
              <w:rPr>
                <w:sz w:val="17"/>
              </w:rPr>
              <w:t>Could a medical condition explain or worsen symptoms?</w:t>
            </w:r>
          </w:p>
        </w:tc>
        <w:tc>
          <w:tcPr>
            <w:tcW w:type="dxa" w:w="3024"/>
            <w:tcMar>
              <w:top w:w="100" w:type="dxa"/>
              <w:start w:w="120" w:type="dxa"/>
              <w:bottom w:w="100" w:type="dxa"/>
              <w:end w:w="120" w:type="dxa"/>
            </w:tcMar>
            <w:shd w:fill="F7F8FA"/>
          </w:tcPr>
          <w:p>
            <w:pPr>
              <w:spacing w:after="0"/>
            </w:pPr>
            <w:r>
              <w:rPr>
                <w:sz w:val="17"/>
              </w:rPr>
              <w:t>Physician or medical specialist</w:t>
            </w:r>
          </w:p>
        </w:tc>
        <w:tc>
          <w:tcPr>
            <w:tcW w:type="dxa" w:w="3168"/>
            <w:tcMar>
              <w:top w:w="100" w:type="dxa"/>
              <w:start w:w="120" w:type="dxa"/>
              <w:bottom w:w="100" w:type="dxa"/>
              <w:end w:w="120" w:type="dxa"/>
            </w:tcMar>
            <w:shd w:fill="F7F8FA"/>
          </w:tcPr>
          <w:p>
            <w:pPr>
              <w:spacing w:after="0"/>
            </w:pPr>
            <w:r>
              <w:rPr>
                <w:sz w:val="17"/>
              </w:rPr>
              <w:t>Fainting, endocrine symptoms, neurological change, sleep or pain concerns.</w:t>
            </w:r>
          </w:p>
        </w:tc>
      </w:tr>
      <w:tr>
        <w:trPr>
          <w:cantSplit/>
        </w:trPr>
        <w:tc>
          <w:tcPr>
            <w:tcW w:type="dxa" w:w="3744"/>
            <w:tcMar>
              <w:top w:w="100" w:type="dxa"/>
              <w:start w:w="120" w:type="dxa"/>
              <w:bottom w:w="100" w:type="dxa"/>
              <w:end w:w="120" w:type="dxa"/>
            </w:tcMar>
          </w:tcPr>
          <w:p>
            <w:pPr>
              <w:spacing w:after="0"/>
            </w:pPr>
            <w:r>
              <w:rPr>
                <w:sz w:val="17"/>
              </w:rPr>
              <w:t>Is specialized psychological or neurocognitive testing needed?</w:t>
            </w:r>
          </w:p>
        </w:tc>
        <w:tc>
          <w:tcPr>
            <w:tcW w:type="dxa" w:w="3024"/>
            <w:tcMar>
              <w:top w:w="100" w:type="dxa"/>
              <w:start w:w="120" w:type="dxa"/>
              <w:bottom w:w="100" w:type="dxa"/>
              <w:end w:w="120" w:type="dxa"/>
            </w:tcMar>
          </w:tcPr>
          <w:p>
            <w:pPr>
              <w:spacing w:after="0"/>
            </w:pPr>
            <w:r>
              <w:rPr>
                <w:sz w:val="17"/>
              </w:rPr>
              <w:t>Psychologist or qualified specialist</w:t>
            </w:r>
          </w:p>
        </w:tc>
        <w:tc>
          <w:tcPr>
            <w:tcW w:type="dxa" w:w="3168"/>
            <w:tcMar>
              <w:top w:w="100" w:type="dxa"/>
              <w:start w:w="120" w:type="dxa"/>
              <w:bottom w:w="100" w:type="dxa"/>
              <w:end w:w="120" w:type="dxa"/>
            </w:tcMar>
          </w:tcPr>
          <w:p>
            <w:pPr>
              <w:spacing w:after="0"/>
            </w:pPr>
            <w:r>
              <w:rPr>
                <w:sz w:val="17"/>
              </w:rPr>
              <w:t>Cognitive profile, neuropsychological function, complex diagnostic clarification.</w:t>
            </w:r>
          </w:p>
        </w:tc>
      </w:tr>
      <w:tr>
        <w:trPr>
          <w:cantSplit/>
        </w:trPr>
        <w:tc>
          <w:tcPr>
            <w:tcW w:type="dxa" w:w="3744"/>
            <w:tcMar>
              <w:top w:w="100" w:type="dxa"/>
              <w:start w:w="120" w:type="dxa"/>
              <w:bottom w:w="100" w:type="dxa"/>
              <w:end w:w="120" w:type="dxa"/>
            </w:tcMar>
            <w:shd w:fill="F7F8FA"/>
          </w:tcPr>
          <w:p>
            <w:pPr>
              <w:spacing w:after="0"/>
            </w:pPr>
            <w:r>
              <w:rPr>
                <w:sz w:val="17"/>
              </w:rPr>
              <w:t>What educational or behavioral supports are needed?</w:t>
            </w:r>
          </w:p>
        </w:tc>
        <w:tc>
          <w:tcPr>
            <w:tcW w:type="dxa" w:w="3024"/>
            <w:tcMar>
              <w:top w:w="100" w:type="dxa"/>
              <w:start w:w="120" w:type="dxa"/>
              <w:bottom w:w="100" w:type="dxa"/>
              <w:end w:w="120" w:type="dxa"/>
            </w:tcMar>
            <w:shd w:fill="F7F8FA"/>
          </w:tcPr>
          <w:p>
            <w:pPr>
              <w:spacing w:after="0"/>
            </w:pPr>
            <w:r>
              <w:rPr>
                <w:sz w:val="17"/>
              </w:rPr>
              <w:t>School-based assessment or services</w:t>
            </w:r>
          </w:p>
        </w:tc>
        <w:tc>
          <w:tcPr>
            <w:tcW w:type="dxa" w:w="3168"/>
            <w:tcMar>
              <w:top w:w="100" w:type="dxa"/>
              <w:start w:w="120" w:type="dxa"/>
              <w:bottom w:w="100" w:type="dxa"/>
              <w:end w:w="120" w:type="dxa"/>
            </w:tcMar>
            <w:shd w:fill="F7F8FA"/>
          </w:tcPr>
          <w:p>
            <w:pPr>
              <w:spacing w:after="0"/>
            </w:pPr>
            <w:r>
              <w:rPr>
                <w:sz w:val="17"/>
              </w:rPr>
              <w:t>Learning, attention, school behavior, accommodations, IEP or related evaluation.</w:t>
            </w:r>
          </w:p>
        </w:tc>
      </w:tr>
      <w:tr>
        <w:trPr>
          <w:cantSplit/>
        </w:trPr>
        <w:tc>
          <w:tcPr>
            <w:tcW w:type="dxa" w:w="3744"/>
            <w:tcMar>
              <w:top w:w="100" w:type="dxa"/>
              <w:start w:w="120" w:type="dxa"/>
              <w:bottom w:w="100" w:type="dxa"/>
              <w:end w:w="120" w:type="dxa"/>
            </w:tcMar>
          </w:tcPr>
          <w:p>
            <w:pPr>
              <w:spacing w:after="0"/>
            </w:pPr>
            <w:r>
              <w:rPr>
                <w:sz w:val="17"/>
              </w:rPr>
              <w:t>Do multiple systems need coordinated assessment?</w:t>
            </w:r>
          </w:p>
        </w:tc>
        <w:tc>
          <w:tcPr>
            <w:tcW w:type="dxa" w:w="3024"/>
            <w:tcMar>
              <w:top w:w="100" w:type="dxa"/>
              <w:start w:w="120" w:type="dxa"/>
              <w:bottom w:w="100" w:type="dxa"/>
              <w:end w:w="120" w:type="dxa"/>
            </w:tcMar>
          </w:tcPr>
          <w:p>
            <w:pPr>
              <w:spacing w:after="0"/>
            </w:pPr>
            <w:r>
              <w:rPr>
                <w:sz w:val="17"/>
              </w:rPr>
              <w:t>Multidisciplinary team</w:t>
            </w:r>
          </w:p>
        </w:tc>
        <w:tc>
          <w:tcPr>
            <w:tcW w:type="dxa" w:w="3168"/>
            <w:tcMar>
              <w:top w:w="100" w:type="dxa"/>
              <w:start w:w="120" w:type="dxa"/>
              <w:bottom w:w="100" w:type="dxa"/>
              <w:end w:w="120" w:type="dxa"/>
            </w:tcMar>
          </w:tcPr>
          <w:p>
            <w:pPr>
              <w:spacing w:after="0"/>
            </w:pPr>
            <w:r>
              <w:rPr>
                <w:sz w:val="17"/>
              </w:rPr>
              <w:t>Combined medical, developmental, educational, psychiatric, and social needs.</w:t>
            </w:r>
          </w:p>
        </w:tc>
      </w:tr>
    </w:tbl>
    <w:p>
      <w:pPr>
        <w:spacing w:after="0"/>
      </w:pPr>
    </w:p>
    <w:p>
      <w:pPr>
        <w:pStyle w:val="Heading1"/>
      </w:pPr>
      <w:r>
        <w:t>Common Examination Traps</w:t>
      </w:r>
    </w:p>
    <w:p>
      <w:pPr>
        <w:pStyle w:val="ListBullet"/>
      </w:pPr>
      <w:r>
        <w:t>Treating one participant’s report as the complete family truth.</w:t>
      </w:r>
    </w:p>
    <w:p>
      <w:pPr>
        <w:pStyle w:val="ListBullet"/>
      </w:pPr>
      <w:r>
        <w:t>Interpreting a pattern before clarifying what happens in sequence.</w:t>
      </w:r>
    </w:p>
    <w:p>
      <w:pPr>
        <w:pStyle w:val="ListBullet"/>
      </w:pPr>
      <w:r>
        <w:t>Pressing for trauma or sexual detail before explaining relevance and assessing safety.</w:t>
      </w:r>
    </w:p>
    <w:p>
      <w:pPr>
        <w:pStyle w:val="ListBullet"/>
      </w:pPr>
      <w:r>
        <w:t>Pathologizing cultural family closeness, nontraditional relationships, disability, or a small social network.</w:t>
      </w:r>
    </w:p>
    <w:p>
      <w:pPr>
        <w:pStyle w:val="ListBullet"/>
      </w:pPr>
      <w:r>
        <w:t>Using a screening score as a diagnosis.</w:t>
      </w:r>
    </w:p>
    <w:p>
      <w:pPr>
        <w:pStyle w:val="ListBullet"/>
      </w:pPr>
      <w:r>
        <w:t>Referring immediately when the therapist can first gather basic information within competence.</w:t>
      </w:r>
    </w:p>
    <w:p>
      <w:pPr>
        <w:pStyle w:val="ListBullet"/>
      </w:pPr>
      <w:r>
        <w:t>Failing to refer when medical, psychiatric, psychological, educational, or multidisciplinary expertise is clearly needed.</w:t>
      </w:r>
    </w:p>
    <w:p>
      <w:pPr>
        <w:pStyle w:val="ListBullet"/>
      </w:pPr>
      <w:r>
        <w:t>Listing strengths without connecting them to risk reduction, engagement, or a treatment decision.</w:t>
      </w:r>
    </w:p>
    <w:p>
      <w:pPr>
        <w:pStyle w:val="Heading1"/>
      </w:pPr>
      <w:r>
        <w:t>Worked Example</w:t>
      </w:r>
    </w:p>
    <w:p>
      <w:r>
        <w:rPr>
          <w:i w:val="0"/>
        </w:rPr>
        <w:t>A 16-year-old is brought to therapy after school refusal and escalating arguments. One parent describes the adolescent as manipulative; the other privately reports fear of the first parent’s temper. The adolescent says school feels unsafe but refuses to explain in the joint meeting.</w:t>
      </w:r>
    </w:p>
    <w:p>
      <w:pPr>
        <w:spacing w:after="40"/>
        <w:ind w:left="259" w:hanging="259"/>
      </w:pPr>
      <w:r>
        <w:rPr>
          <w:b w:val="0"/>
          <w:i w:val="0"/>
        </w:rPr>
        <w:t xml:space="preserve">1. </w:t>
      </w:r>
      <w:r>
        <w:rPr>
          <w:b w:val="0"/>
          <w:i w:val="0"/>
        </w:rPr>
        <w:t>Assess immediate safety and suitability for joint discussion rather than pressing for disclosure in front of the family.</w:t>
      </w:r>
    </w:p>
    <w:p>
      <w:pPr>
        <w:spacing w:after="40"/>
        <w:ind w:left="259" w:hanging="259"/>
      </w:pPr>
      <w:r>
        <w:rPr>
          <w:b w:val="0"/>
          <w:i w:val="0"/>
        </w:rPr>
        <w:t xml:space="preserve">2. </w:t>
      </w:r>
      <w:r>
        <w:rPr>
          <w:b w:val="0"/>
          <w:i w:val="0"/>
        </w:rPr>
        <w:t>Meet with participants within the established treatment frame to clarify perspectives, coercion, aggression, school context, and the interactional sequence.</w:t>
      </w:r>
    </w:p>
    <w:p>
      <w:pPr>
        <w:spacing w:after="40"/>
        <w:ind w:left="259" w:hanging="259"/>
      </w:pPr>
      <w:r>
        <w:rPr>
          <w:b w:val="0"/>
          <w:i w:val="0"/>
        </w:rPr>
        <w:t xml:space="preserve">3. </w:t>
      </w:r>
      <w:r>
        <w:rPr>
          <w:b w:val="0"/>
          <w:i w:val="0"/>
        </w:rPr>
        <w:t>Assess trauma, loss, social connection, coping, and protective relationships with developmentally appropriate pacing.</w:t>
      </w:r>
    </w:p>
    <w:p>
      <w:pPr>
        <w:spacing w:after="40"/>
        <w:ind w:left="259" w:hanging="259"/>
      </w:pPr>
      <w:r>
        <w:rPr>
          <w:b w:val="0"/>
          <w:i w:val="0"/>
        </w:rPr>
        <w:t xml:space="preserve">4. </w:t>
      </w:r>
      <w:r>
        <w:rPr>
          <w:b w:val="0"/>
          <w:i w:val="0"/>
        </w:rPr>
        <w:t>Determine whether school-based, medical, psychiatric, or multidisciplinary consultation is needed.</w:t>
      </w:r>
    </w:p>
    <w:p>
      <w:pPr>
        <w:spacing w:after="40"/>
        <w:ind w:left="259" w:hanging="259"/>
      </w:pPr>
      <w:r>
        <w:rPr>
          <w:b w:val="0"/>
          <w:i w:val="0"/>
        </w:rPr>
        <w:t xml:space="preserve">5. </w:t>
      </w:r>
      <w:r>
        <w:rPr>
          <w:b w:val="0"/>
          <w:i w:val="0"/>
        </w:rPr>
        <w:t>Formulate the family pattern only after distinguishing current danger, individual concerns, and system-maintained responses.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Why This Sequence Wins</w:t>
            </w:r>
          </w:p>
          <w:p>
            <w:pPr>
              <w:spacing w:after="0"/>
            </w:pPr>
            <w:r>
              <w:t>It protects safety, preserves alliance, avoids taking sides, gathers relational and contextual data, and uses consultation only for the question that requires additional expertise.</w:t>
            </w:r>
          </w:p>
        </w:tc>
      </w:tr>
    </w:tbl>
    <w:p>
      <w:pPr>
        <w:spacing w:after="0"/>
      </w:pPr>
    </w:p>
    <w:p>
      <w:pPr>
        <w:pStyle w:val="Heading1"/>
      </w:pPr>
      <w:r>
        <w:t>Student Worksheet: RELATE Assessment Map</w:t>
      </w:r>
    </w:p>
    <w:tbl>
      <w:tblPr>
        <w:tblStyle w:val="TableGrid"/>
        <w:tblW w:type="auto" w:w="0"/>
        <w:jc w:val="center"/>
        <w:tblLayout w:type="fixed"/>
        <w:tblLook w:firstColumn="1" w:firstRow="1" w:lastColumn="0" w:lastRow="0" w:noHBand="0" w:noVBand="1" w:val="04A0"/>
      </w:tblPr>
      <w:tblGrid>
        <w:gridCol w:w="2592"/>
        <w:gridCol w:w="2376"/>
        <w:gridCol w:w="2376"/>
        <w:gridCol w:w="2592"/>
      </w:tblGrid>
      <w:tr>
        <w:trPr>
          <w:tblHeader w:val="true"/>
          <w:cantSplit/>
          <w:tblHeader w:val="true"/>
        </w:trPr>
        <w:tc>
          <w:tcPr>
            <w:tcW w:type="dxa" w:w="2520"/>
            <w:shd w:fill="17365D"/>
            <w:tcMar>
              <w:top w:w="100" w:type="dxa"/>
              <w:start w:w="120" w:type="dxa"/>
              <w:bottom w:w="100" w:type="dxa"/>
              <w:end w:w="120" w:type="dxa"/>
            </w:tcMar>
          </w:tcPr>
          <w:p>
            <w:pPr>
              <w:spacing w:after="0"/>
            </w:pPr>
            <w:r>
              <w:rPr>
                <w:b/>
                <w:color w:val="FFFFFF"/>
                <w:sz w:val="17"/>
              </w:rPr>
              <w:t>RELATE Domain</w:t>
            </w:r>
          </w:p>
        </w:tc>
        <w:tc>
          <w:tcPr>
            <w:tcW w:type="dxa" w:w="2520"/>
            <w:shd w:fill="17365D"/>
            <w:tcMar>
              <w:top w:w="100" w:type="dxa"/>
              <w:start w:w="120" w:type="dxa"/>
              <w:bottom w:w="100" w:type="dxa"/>
              <w:end w:w="120" w:type="dxa"/>
            </w:tcMar>
          </w:tcPr>
          <w:p>
            <w:pPr>
              <w:spacing w:after="0"/>
            </w:pPr>
            <w:r>
              <w:rPr>
                <w:b/>
                <w:color w:val="FFFFFF"/>
                <w:sz w:val="17"/>
              </w:rPr>
              <w:t>What I Know</w:t>
            </w:r>
          </w:p>
        </w:tc>
        <w:tc>
          <w:tcPr>
            <w:tcW w:type="dxa" w:w="2520"/>
            <w:shd w:fill="17365D"/>
            <w:tcMar>
              <w:top w:w="100" w:type="dxa"/>
              <w:start w:w="120" w:type="dxa"/>
              <w:bottom w:w="100" w:type="dxa"/>
              <w:end w:w="120" w:type="dxa"/>
            </w:tcMar>
          </w:tcPr>
          <w:p>
            <w:pPr>
              <w:spacing w:after="0"/>
            </w:pPr>
            <w:r>
              <w:rPr>
                <w:b/>
                <w:color w:val="FFFFFF"/>
                <w:sz w:val="17"/>
              </w:rPr>
              <w:t>What Is Missing</w:t>
            </w:r>
          </w:p>
        </w:tc>
        <w:tc>
          <w:tcPr>
            <w:tcW w:type="dxa" w:w="2520"/>
            <w:shd w:fill="17365D"/>
            <w:tcMar>
              <w:top w:w="100" w:type="dxa"/>
              <w:start w:w="120" w:type="dxa"/>
              <w:bottom w:w="100" w:type="dxa"/>
              <w:end w:w="120" w:type="dxa"/>
            </w:tcMar>
          </w:tcPr>
          <w:p>
            <w:pPr>
              <w:spacing w:after="0"/>
            </w:pPr>
            <w:r>
              <w:rPr>
                <w:b/>
                <w:color w:val="FFFFFF"/>
                <w:sz w:val="17"/>
              </w:rPr>
              <w:t>Next Assessment Step</w:t>
            </w:r>
          </w:p>
        </w:tc>
      </w:tr>
      <w:tr>
        <w:trPr>
          <w:cantSplit/>
        </w:trPr>
        <w:tc>
          <w:tcPr>
            <w:tcW w:type="dxa" w:w="2592"/>
            <w:tcMar>
              <w:top w:w="100" w:type="dxa"/>
              <w:start w:w="120" w:type="dxa"/>
              <w:bottom w:w="100" w:type="dxa"/>
              <w:end w:w="120" w:type="dxa"/>
            </w:tcMar>
          </w:tcPr>
          <w:p>
            <w:pPr>
              <w:spacing w:after="0"/>
            </w:pPr>
            <w:r>
              <w:rPr>
                <w:sz w:val="17"/>
              </w:rPr>
              <w:t>Relationships and connection</w:t>
            </w:r>
          </w:p>
        </w:tc>
        <w:tc>
          <w:tcPr>
            <w:tcW w:type="dxa" w:w="2376"/>
            <w:tcMar>
              <w:top w:w="100" w:type="dxa"/>
              <w:start w:w="120" w:type="dxa"/>
              <w:bottom w:w="100" w:type="dxa"/>
              <w:end w:w="120" w:type="dxa"/>
            </w:tcMar>
          </w:tcPr>
          <w:p>
            <w:pPr>
              <w:spacing w:after="0"/>
            </w:pPr>
            <w:r>
              <w:rPr>
                <w:sz w:val="17"/>
              </w:rPr>
            </w:r>
          </w:p>
        </w:tc>
        <w:tc>
          <w:tcPr>
            <w:tcW w:type="dxa" w:w="2376"/>
            <w:tcMar>
              <w:top w:w="100" w:type="dxa"/>
              <w:start w:w="120" w:type="dxa"/>
              <w:bottom w:w="100" w:type="dxa"/>
              <w:end w:w="120" w:type="dxa"/>
            </w:tcMar>
          </w:tcPr>
          <w:p>
            <w:pPr>
              <w:spacing w:after="0"/>
            </w:pPr>
            <w:r>
              <w:rPr>
                <w:sz w:val="17"/>
              </w:rPr>
            </w:r>
          </w:p>
        </w:tc>
        <w:tc>
          <w:tcPr>
            <w:tcW w:type="dxa" w:w="2592"/>
            <w:tcMar>
              <w:top w:w="100" w:type="dxa"/>
              <w:start w:w="120" w:type="dxa"/>
              <w:bottom w:w="100" w:type="dxa"/>
              <w:end w:w="120" w:type="dxa"/>
            </w:tcMar>
          </w:tcPr>
          <w:p>
            <w:pPr>
              <w:spacing w:after="0"/>
            </w:pPr>
            <w:r>
              <w:rPr>
                <w:sz w:val="17"/>
              </w:rPr>
            </w:r>
          </w:p>
        </w:tc>
      </w:tr>
      <w:tr>
        <w:trPr>
          <w:cantSplit/>
        </w:trPr>
        <w:tc>
          <w:tcPr>
            <w:tcW w:type="dxa" w:w="2592"/>
            <w:tcMar>
              <w:top w:w="100" w:type="dxa"/>
              <w:start w:w="120" w:type="dxa"/>
              <w:bottom w:w="100" w:type="dxa"/>
              <w:end w:w="120" w:type="dxa"/>
            </w:tcMar>
            <w:shd w:fill="F7F8FA"/>
          </w:tcPr>
          <w:p>
            <w:pPr>
              <w:spacing w:after="0"/>
            </w:pPr>
            <w:r>
              <w:rPr>
                <w:sz w:val="17"/>
              </w:rPr>
              <w:t>Emotional injuries, trauma, and loss</w:t>
            </w:r>
          </w:p>
        </w:tc>
        <w:tc>
          <w:tcPr>
            <w:tcW w:type="dxa" w:w="2376"/>
            <w:tcMar>
              <w:top w:w="100" w:type="dxa"/>
              <w:start w:w="120" w:type="dxa"/>
              <w:bottom w:w="100" w:type="dxa"/>
              <w:end w:w="120" w:type="dxa"/>
            </w:tcMar>
            <w:shd w:fill="F7F8FA"/>
          </w:tcPr>
          <w:p>
            <w:pPr>
              <w:spacing w:after="0"/>
            </w:pPr>
            <w:r>
              <w:rPr>
                <w:sz w:val="17"/>
              </w:rPr>
            </w:r>
          </w:p>
        </w:tc>
        <w:tc>
          <w:tcPr>
            <w:tcW w:type="dxa" w:w="2376"/>
            <w:tcMar>
              <w:top w:w="100" w:type="dxa"/>
              <w:start w:w="120" w:type="dxa"/>
              <w:bottom w:w="100" w:type="dxa"/>
              <w:end w:w="120" w:type="dxa"/>
            </w:tcMar>
            <w:shd w:fill="F7F8FA"/>
          </w:tcPr>
          <w:p>
            <w:pPr>
              <w:spacing w:after="0"/>
            </w:pPr>
            <w:r>
              <w:rPr>
                <w:sz w:val="17"/>
              </w:rPr>
            </w:r>
          </w:p>
        </w:tc>
        <w:tc>
          <w:tcPr>
            <w:tcW w:type="dxa" w:w="2592"/>
            <w:tcMar>
              <w:top w:w="100" w:type="dxa"/>
              <w:start w:w="120" w:type="dxa"/>
              <w:bottom w:w="100" w:type="dxa"/>
              <w:end w:w="120" w:type="dxa"/>
            </w:tcMar>
            <w:shd w:fill="F7F8FA"/>
          </w:tcPr>
          <w:p>
            <w:pPr>
              <w:spacing w:after="0"/>
            </w:pPr>
            <w:r>
              <w:rPr>
                <w:sz w:val="17"/>
              </w:rPr>
            </w:r>
          </w:p>
        </w:tc>
      </w:tr>
      <w:tr>
        <w:trPr>
          <w:cantSplit/>
        </w:trPr>
        <w:tc>
          <w:tcPr>
            <w:tcW w:type="dxa" w:w="2592"/>
            <w:tcMar>
              <w:top w:w="100" w:type="dxa"/>
              <w:start w:w="120" w:type="dxa"/>
              <w:bottom w:w="100" w:type="dxa"/>
              <w:end w:w="120" w:type="dxa"/>
            </w:tcMar>
          </w:tcPr>
          <w:p>
            <w:pPr>
              <w:spacing w:after="0"/>
            </w:pPr>
            <w:r>
              <w:rPr>
                <w:sz w:val="17"/>
              </w:rPr>
              <w:t>Life-support system and family dynamics</w:t>
            </w:r>
          </w:p>
        </w:tc>
        <w:tc>
          <w:tcPr>
            <w:tcW w:type="dxa" w:w="2376"/>
            <w:tcMar>
              <w:top w:w="100" w:type="dxa"/>
              <w:start w:w="120" w:type="dxa"/>
              <w:bottom w:w="100" w:type="dxa"/>
              <w:end w:w="120" w:type="dxa"/>
            </w:tcMar>
          </w:tcPr>
          <w:p>
            <w:pPr>
              <w:spacing w:after="0"/>
            </w:pPr>
            <w:r>
              <w:rPr>
                <w:sz w:val="17"/>
              </w:rPr>
            </w:r>
          </w:p>
        </w:tc>
        <w:tc>
          <w:tcPr>
            <w:tcW w:type="dxa" w:w="2376"/>
            <w:tcMar>
              <w:top w:w="100" w:type="dxa"/>
              <w:start w:w="120" w:type="dxa"/>
              <w:bottom w:w="100" w:type="dxa"/>
              <w:end w:w="120" w:type="dxa"/>
            </w:tcMar>
          </w:tcPr>
          <w:p>
            <w:pPr>
              <w:spacing w:after="0"/>
            </w:pPr>
            <w:r>
              <w:rPr>
                <w:sz w:val="17"/>
              </w:rPr>
            </w:r>
          </w:p>
        </w:tc>
        <w:tc>
          <w:tcPr>
            <w:tcW w:type="dxa" w:w="2592"/>
            <w:tcMar>
              <w:top w:w="100" w:type="dxa"/>
              <w:start w:w="120" w:type="dxa"/>
              <w:bottom w:w="100" w:type="dxa"/>
              <w:end w:w="120" w:type="dxa"/>
            </w:tcMar>
          </w:tcPr>
          <w:p>
            <w:pPr>
              <w:spacing w:after="0"/>
            </w:pPr>
            <w:r>
              <w:rPr>
                <w:sz w:val="17"/>
              </w:rPr>
            </w:r>
          </w:p>
        </w:tc>
      </w:tr>
      <w:tr>
        <w:trPr>
          <w:cantSplit/>
        </w:trPr>
        <w:tc>
          <w:tcPr>
            <w:tcW w:type="dxa" w:w="2592"/>
            <w:tcMar>
              <w:top w:w="100" w:type="dxa"/>
              <w:start w:w="120" w:type="dxa"/>
              <w:bottom w:w="100" w:type="dxa"/>
              <w:end w:w="120" w:type="dxa"/>
            </w:tcMar>
            <w:shd w:fill="F7F8FA"/>
          </w:tcPr>
          <w:p>
            <w:pPr>
              <w:spacing w:after="0"/>
            </w:pPr>
            <w:r>
              <w:rPr>
                <w:sz w:val="17"/>
              </w:rPr>
              <w:t>Aggression, impulsivity, and regulation</w:t>
            </w:r>
          </w:p>
        </w:tc>
        <w:tc>
          <w:tcPr>
            <w:tcW w:type="dxa" w:w="2376"/>
            <w:tcMar>
              <w:top w:w="100" w:type="dxa"/>
              <w:start w:w="120" w:type="dxa"/>
              <w:bottom w:w="100" w:type="dxa"/>
              <w:end w:w="120" w:type="dxa"/>
            </w:tcMar>
            <w:shd w:fill="F7F8FA"/>
          </w:tcPr>
          <w:p>
            <w:pPr>
              <w:spacing w:after="0"/>
            </w:pPr>
            <w:r>
              <w:rPr>
                <w:sz w:val="17"/>
              </w:rPr>
            </w:r>
          </w:p>
        </w:tc>
        <w:tc>
          <w:tcPr>
            <w:tcW w:type="dxa" w:w="2376"/>
            <w:tcMar>
              <w:top w:w="100" w:type="dxa"/>
              <w:start w:w="120" w:type="dxa"/>
              <w:bottom w:w="100" w:type="dxa"/>
              <w:end w:w="120" w:type="dxa"/>
            </w:tcMar>
            <w:shd w:fill="F7F8FA"/>
          </w:tcPr>
          <w:p>
            <w:pPr>
              <w:spacing w:after="0"/>
            </w:pPr>
            <w:r>
              <w:rPr>
                <w:sz w:val="17"/>
              </w:rPr>
            </w:r>
          </w:p>
        </w:tc>
        <w:tc>
          <w:tcPr>
            <w:tcW w:type="dxa" w:w="2592"/>
            <w:tcMar>
              <w:top w:w="100" w:type="dxa"/>
              <w:start w:w="120" w:type="dxa"/>
              <w:bottom w:w="100" w:type="dxa"/>
              <w:end w:w="120" w:type="dxa"/>
            </w:tcMar>
            <w:shd w:fill="F7F8FA"/>
          </w:tcPr>
          <w:p>
            <w:pPr>
              <w:spacing w:after="0"/>
            </w:pPr>
            <w:r>
              <w:rPr>
                <w:sz w:val="17"/>
              </w:rPr>
            </w:r>
          </w:p>
        </w:tc>
      </w:tr>
      <w:tr>
        <w:trPr>
          <w:cantSplit/>
        </w:trPr>
        <w:tc>
          <w:tcPr>
            <w:tcW w:type="dxa" w:w="2592"/>
            <w:tcMar>
              <w:top w:w="100" w:type="dxa"/>
              <w:start w:w="120" w:type="dxa"/>
              <w:bottom w:w="100" w:type="dxa"/>
              <w:end w:w="120" w:type="dxa"/>
            </w:tcMar>
          </w:tcPr>
          <w:p>
            <w:pPr>
              <w:spacing w:after="0"/>
            </w:pPr>
            <w:r>
              <w:rPr>
                <w:sz w:val="17"/>
              </w:rPr>
              <w:t>Tools, testing, consultation, and referral</w:t>
            </w:r>
          </w:p>
        </w:tc>
        <w:tc>
          <w:tcPr>
            <w:tcW w:type="dxa" w:w="2376"/>
            <w:tcMar>
              <w:top w:w="100" w:type="dxa"/>
              <w:start w:w="120" w:type="dxa"/>
              <w:bottom w:w="100" w:type="dxa"/>
              <w:end w:w="120" w:type="dxa"/>
            </w:tcMar>
          </w:tcPr>
          <w:p>
            <w:pPr>
              <w:spacing w:after="0"/>
            </w:pPr>
            <w:r>
              <w:rPr>
                <w:sz w:val="17"/>
              </w:rPr>
            </w:r>
          </w:p>
        </w:tc>
        <w:tc>
          <w:tcPr>
            <w:tcW w:type="dxa" w:w="2376"/>
            <w:tcMar>
              <w:top w:w="100" w:type="dxa"/>
              <w:start w:w="120" w:type="dxa"/>
              <w:bottom w:w="100" w:type="dxa"/>
              <w:end w:w="120" w:type="dxa"/>
            </w:tcMar>
          </w:tcPr>
          <w:p>
            <w:pPr>
              <w:spacing w:after="0"/>
            </w:pPr>
            <w:r>
              <w:rPr>
                <w:sz w:val="17"/>
              </w:rPr>
            </w:r>
          </w:p>
        </w:tc>
        <w:tc>
          <w:tcPr>
            <w:tcW w:type="dxa" w:w="2592"/>
            <w:tcMar>
              <w:top w:w="100" w:type="dxa"/>
              <w:start w:w="120" w:type="dxa"/>
              <w:bottom w:w="100" w:type="dxa"/>
              <w:end w:w="120" w:type="dxa"/>
            </w:tcMar>
          </w:tcPr>
          <w:p>
            <w:pPr>
              <w:spacing w:after="0"/>
            </w:pPr>
            <w:r>
              <w:rPr>
                <w:sz w:val="17"/>
              </w:rPr>
            </w:r>
          </w:p>
        </w:tc>
      </w:tr>
      <w:tr>
        <w:trPr>
          <w:cantSplit/>
        </w:trPr>
        <w:tc>
          <w:tcPr>
            <w:tcW w:type="dxa" w:w="2592"/>
            <w:tcMar>
              <w:top w:w="100" w:type="dxa"/>
              <w:start w:w="120" w:type="dxa"/>
              <w:bottom w:w="100" w:type="dxa"/>
              <w:end w:w="120" w:type="dxa"/>
            </w:tcMar>
            <w:shd w:fill="F7F8FA"/>
          </w:tcPr>
          <w:p>
            <w:pPr>
              <w:spacing w:after="0"/>
            </w:pPr>
            <w:r>
              <w:rPr>
                <w:sz w:val="17"/>
              </w:rPr>
              <w:t>Existing strengths and protective factors</w:t>
            </w:r>
          </w:p>
        </w:tc>
        <w:tc>
          <w:tcPr>
            <w:tcW w:type="dxa" w:w="2376"/>
            <w:tcMar>
              <w:top w:w="100" w:type="dxa"/>
              <w:start w:w="120" w:type="dxa"/>
              <w:bottom w:w="100" w:type="dxa"/>
              <w:end w:w="120" w:type="dxa"/>
            </w:tcMar>
            <w:shd w:fill="F7F8FA"/>
          </w:tcPr>
          <w:p>
            <w:pPr>
              <w:spacing w:after="0"/>
            </w:pPr>
            <w:r>
              <w:rPr>
                <w:sz w:val="17"/>
              </w:rPr>
            </w:r>
          </w:p>
        </w:tc>
        <w:tc>
          <w:tcPr>
            <w:tcW w:type="dxa" w:w="2376"/>
            <w:tcMar>
              <w:top w:w="100" w:type="dxa"/>
              <w:start w:w="120" w:type="dxa"/>
              <w:bottom w:w="100" w:type="dxa"/>
              <w:end w:w="120" w:type="dxa"/>
            </w:tcMar>
            <w:shd w:fill="F7F8FA"/>
          </w:tcPr>
          <w:p>
            <w:pPr>
              <w:spacing w:after="0"/>
            </w:pPr>
            <w:r>
              <w:rPr>
                <w:sz w:val="17"/>
              </w:rPr>
            </w:r>
          </w:p>
        </w:tc>
        <w:tc>
          <w:tcPr>
            <w:tcW w:type="dxa" w:w="2592"/>
            <w:tcMar>
              <w:top w:w="100" w:type="dxa"/>
              <w:start w:w="120" w:type="dxa"/>
              <w:bottom w:w="100" w:type="dxa"/>
              <w:end w:w="120" w:type="dxa"/>
            </w:tcMar>
            <w:shd w:fill="F7F8FA"/>
          </w:tcPr>
          <w:p>
            <w:pPr>
              <w:spacing w:after="0"/>
            </w:pPr>
            <w:r>
              <w:rPr>
                <w:sz w:val="17"/>
              </w:rPr>
            </w:r>
          </w:p>
        </w:tc>
      </w:tr>
    </w:tbl>
    <w:p>
      <w:pPr>
        <w:spacing w:after="0"/>
      </w:pPr>
    </w:p>
    <w:p>
      <w:pPr>
        <w:pStyle w:val="Heading1"/>
      </w:pPr>
      <w:r>
        <w:t>Chapter Summary</w:t>
      </w:r>
    </w:p>
    <w:p>
      <w:pPr>
        <w:pStyle w:val="ListBullet"/>
      </w:pPr>
      <w:r>
        <w:t>Relational assessment examines support, reciprocity, boundaries, roles, hierarchy, alliances, transitions, and the sequence that maintains a problem.</w:t>
      </w:r>
    </w:p>
    <w:p>
      <w:pPr>
        <w:pStyle w:val="ListBullet"/>
      </w:pPr>
      <w:r>
        <w:t>Intimacy, sexuality, trauma, loss, and aggression require clinically relevant, consent-based, inclusive, and safety-focused inquiry.</w:t>
      </w:r>
    </w:p>
    <w:p>
      <w:pPr>
        <w:pStyle w:val="ListBullet"/>
      </w:pPr>
      <w:r>
        <w:t>Protective factors are observable coping resources and relationships that inform risk assessment, engagement, and planning; they do not erase danger.</w:t>
      </w:r>
    </w:p>
    <w:p>
      <w:pPr>
        <w:pStyle w:val="ListBullet"/>
      </w:pPr>
      <w:r>
        <w:t>Screening instruments supplement clinical judgment and must be interpreted within their purpose, population, limitations, and cultural context.</w:t>
      </w:r>
    </w:p>
    <w:p>
      <w:pPr>
        <w:pStyle w:val="ListBullet"/>
      </w:pPr>
      <w:r>
        <w:t>When essential information is missing, use RELATE to assess the system, protect safety, and obtain the consultation that answers the specific unresolved question.</w:t>
      </w:r>
    </w:p>
    <w:p>
      <w:pPr>
        <w:pStyle w:val="Heading1"/>
        <w:pageBreakBefore/>
      </w:pPr>
      <w:r>
        <w:t>Knowledge Check</w:t>
      </w:r>
    </w:p>
    <w:p>
      <w:r>
        <w:rPr>
          <w:i w:val="0"/>
        </w:rPr>
        <w:t>Complete all 10 original CTA practice questions before reviewing the answer key. Record your answer and confidence level. The set emphasizes relational and family-system assessment, trauma-informed inquiry, strengths, instruments, consultation, and referral.</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blHeader w:val="true"/>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60" w:after="80"/>
        <w:shd w:fill="0E7490" w:val="clear"/>
      </w:pPr>
      <w:r>
        <w:rPr>
          <w:rFonts w:ascii="Aptos" w:hAnsi="Aptos"/>
          <w:b/>
          <w:color w:val="FFFFFF"/>
          <w:sz w:val="17"/>
        </w:rPr>
        <w:t>LMFT-WB04-Q001 | Recall | Easy | Primary concept: Social-support quality</w:t>
      </w:r>
    </w:p>
    <w:p>
      <w:pPr>
        <w:keepNext/>
        <w:keepLines/>
        <w:spacing w:before="60"/>
      </w:pPr>
      <w:r>
        <w:rPr>
          <w:b/>
          <w:i w:val="0"/>
        </w:rPr>
        <w:t>1. Which assessment question BEST evaluates the quality of a client’s social support?</w:t>
      </w:r>
    </w:p>
    <w:p>
      <w:pPr>
        <w:keepNext/>
        <w:keepLines/>
        <w:spacing w:after="20"/>
        <w:ind w:left="259"/>
      </w:pPr>
      <w:r>
        <w:t>A. Who can you rely on, and what happens when you ask that person for help?</w:t>
      </w:r>
    </w:p>
    <w:p>
      <w:pPr>
        <w:keepNext/>
        <w:keepLines/>
        <w:spacing w:after="20"/>
        <w:ind w:left="259"/>
      </w:pPr>
      <w:r>
        <w:t>B. How many contacts are stored in your phone?</w:t>
      </w:r>
    </w:p>
    <w:p>
      <w:pPr>
        <w:keepNext/>
        <w:keepLines/>
        <w:spacing w:after="20"/>
        <w:ind w:left="259"/>
      </w:pPr>
      <w:r>
        <w:t>C. Why do you prefer being alone?</w:t>
      </w:r>
    </w:p>
    <w:p>
      <w:pPr>
        <w:keepLines/>
        <w:spacing w:after="20"/>
        <w:ind w:left="259"/>
      </w:pPr>
      <w:r>
        <w:t>D. Would you agree that more friends would solve the problem?</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LMFT-WB04-Q002 | Recall | Easy | Primary concept: Screening instruments</w:t>
      </w:r>
    </w:p>
    <w:p>
      <w:pPr>
        <w:keepNext/>
        <w:keepLines/>
        <w:spacing w:before="60"/>
      </w:pPr>
      <w:r>
        <w:rPr>
          <w:b/>
          <w:i w:val="0"/>
        </w:rPr>
        <w:t>2. A standardized screening instrument is MOST appropriately used to:</w:t>
      </w:r>
    </w:p>
    <w:p>
      <w:pPr>
        <w:keepNext/>
        <w:keepLines/>
        <w:spacing w:after="20"/>
        <w:ind w:left="259"/>
      </w:pPr>
      <w:r>
        <w:t>A. replace clinical interviewing.</w:t>
      </w:r>
    </w:p>
    <w:p>
      <w:pPr>
        <w:keepNext/>
        <w:keepLines/>
        <w:spacing w:after="20"/>
        <w:ind w:left="259"/>
      </w:pPr>
      <w:r>
        <w:t>B. obtain structured information that is integrated with other assessment data.</w:t>
      </w:r>
    </w:p>
    <w:p>
      <w:pPr>
        <w:keepNext/>
        <w:keepLines/>
        <w:spacing w:after="20"/>
        <w:ind w:left="259"/>
      </w:pPr>
      <w:r>
        <w:t>C. establish a final diagnosis by itself.</w:t>
      </w:r>
    </w:p>
    <w:p>
      <w:pPr>
        <w:keepLines/>
        <w:spacing w:after="20"/>
        <w:ind w:left="259"/>
      </w:pPr>
      <w:r>
        <w:t>D. determine treatment without considering culture or context.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LMFT-WB04-Q003 | Recall | Easy | Primary concept: Protective factors</w:t>
      </w:r>
    </w:p>
    <w:p>
      <w:pPr>
        <w:keepNext/>
        <w:keepLines/>
        <w:spacing w:before="60"/>
      </w:pPr>
      <w:r>
        <w:rPr>
          <w:b/>
          <w:i w:val="0"/>
        </w:rPr>
        <w:t>3. Which finding is the BEST example of a protective factor?</w:t>
      </w:r>
    </w:p>
    <w:p>
      <w:pPr>
        <w:keepNext/>
        <w:keepLines/>
        <w:spacing w:after="20"/>
        <w:ind w:left="259"/>
      </w:pPr>
      <w:r>
        <w:t>A. The client minimizes all problems.</w:t>
      </w:r>
    </w:p>
    <w:p>
      <w:pPr>
        <w:keepNext/>
        <w:keepLines/>
        <w:spacing w:after="20"/>
        <w:ind w:left="259"/>
      </w:pPr>
      <w:r>
        <w:t>B. The family has never experienced conflict.</w:t>
      </w:r>
    </w:p>
    <w:p>
      <w:pPr>
        <w:keepNext/>
        <w:keepLines/>
        <w:spacing w:after="20"/>
        <w:ind w:left="259"/>
      </w:pPr>
      <w:r>
        <w:t>C. The adolescent consistently contacts a trusted aunt when feeling unsafe.</w:t>
      </w:r>
    </w:p>
    <w:p>
      <w:pPr>
        <w:keepLines/>
        <w:spacing w:after="20"/>
        <w:ind w:left="259"/>
      </w:pPr>
      <w:r>
        <w:t>D. The therapist believes the client is resilient.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LMFT-WB04-Q004 | Application | Moderate | Primary concept: Interactional sequence</w:t>
      </w:r>
    </w:p>
    <w:p>
      <w:pPr>
        <w:keepNext/>
        <w:keepLines/>
        <w:spacing w:before="60"/>
      </w:pPr>
      <w:r>
        <w:rPr>
          <w:b/>
          <w:i w:val="0"/>
        </w:rPr>
        <w:t>4. A couple reports that one partner repeatedly demands reassurance and the other withdraws. What should the therapist assess NEXT?</w:t>
      </w:r>
    </w:p>
    <w:p>
      <w:pPr>
        <w:keepNext/>
        <w:keepLines/>
        <w:spacing w:after="20"/>
        <w:ind w:left="259"/>
      </w:pPr>
      <w:r>
        <w:t>A. Which partner has the more accurate personality description.</w:t>
      </w:r>
    </w:p>
    <w:p>
      <w:pPr>
        <w:keepNext/>
        <w:keepLines/>
        <w:spacing w:after="20"/>
        <w:ind w:left="259"/>
      </w:pPr>
      <w:r>
        <w:t>B. Whether the couple should separate.</w:t>
      </w:r>
    </w:p>
    <w:p>
      <w:pPr>
        <w:keepNext/>
        <w:keepLines/>
        <w:spacing w:after="20"/>
        <w:ind w:left="259"/>
      </w:pPr>
      <w:r>
        <w:t>C. Which partner should apologize first.</w:t>
      </w:r>
    </w:p>
    <w:p>
      <w:pPr>
        <w:keepLines/>
        <w:spacing w:after="20"/>
        <w:ind w:left="259"/>
      </w:pPr>
      <w:r>
        <w:t>D. The sequence of triggers, responses, meanings, and consequences for both partners.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LMFT-WB04-Q005 | Application | Moderate | Primary concept: Intimacy and sexuality assessment</w:t>
      </w:r>
    </w:p>
    <w:p>
      <w:pPr>
        <w:keepNext/>
        <w:keepLines/>
        <w:spacing w:before="60"/>
      </w:pPr>
      <w:r>
        <w:rPr>
          <w:b/>
          <w:i w:val="0"/>
        </w:rPr>
        <w:t>5. A client reports a recent decrease in sexual desire after starting medication and experiencing conflict with a partner. What is the BEST assessment response?</w:t>
      </w:r>
    </w:p>
    <w:p>
      <w:pPr>
        <w:keepNext/>
        <w:keepLines/>
        <w:spacing w:after="20"/>
        <w:ind w:left="259"/>
      </w:pPr>
      <w:r>
        <w:t>A. Ask neutral questions about timing, medical and medication factors, consent, distress, relationship context, and the client’s goals.</w:t>
      </w:r>
    </w:p>
    <w:p>
      <w:pPr>
        <w:keepNext/>
        <w:keepLines/>
        <w:spacing w:after="20"/>
        <w:ind w:left="259"/>
      </w:pPr>
      <w:r>
        <w:t>B. Assume the relationship conflict is the cause.</w:t>
      </w:r>
    </w:p>
    <w:p>
      <w:pPr>
        <w:keepNext/>
        <w:keepLines/>
        <w:spacing w:after="20"/>
        <w:ind w:left="259"/>
      </w:pPr>
      <w:r>
        <w:t>C. Advise the client to stop the medication.</w:t>
      </w:r>
    </w:p>
    <w:p>
      <w:pPr>
        <w:keepLines/>
        <w:spacing w:after="20"/>
        <w:ind w:left="259"/>
      </w:pPr>
      <w:r>
        <w:t>D. Avoid the topic because sexual concerns are private.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LMFT-WB04-Q006 | Application | Moderate | Primary concept: Medical consultation</w:t>
      </w:r>
    </w:p>
    <w:p>
      <w:pPr>
        <w:keepNext/>
        <w:keepLines/>
        <w:spacing w:before="60"/>
      </w:pPr>
      <w:r>
        <w:rPr>
          <w:b/>
          <w:i w:val="0"/>
        </w:rPr>
        <w:t>6. A client develops new confusion, headaches, and abrupt personality changes. What should the LMFT do FIRST?</w:t>
      </w:r>
    </w:p>
    <w:p>
      <w:pPr>
        <w:keepNext/>
        <w:keepLines/>
        <w:spacing w:after="20"/>
        <w:ind w:left="259"/>
      </w:pPr>
      <w:r>
        <w:t>A. Interpret the changes as resistance.</w:t>
      </w:r>
    </w:p>
    <w:p>
      <w:pPr>
        <w:keepNext/>
        <w:keepLines/>
        <w:spacing w:after="20"/>
        <w:ind w:left="259"/>
      </w:pPr>
      <w:r>
        <w:t>B. Arrange prompt medical evaluation while continuing appropriate safety assessment and support.</w:t>
      </w:r>
    </w:p>
    <w:p>
      <w:pPr>
        <w:keepNext/>
        <w:keepLines/>
        <w:spacing w:after="20"/>
        <w:ind w:left="259"/>
      </w:pPr>
      <w:r>
        <w:t>C. Administer a relationship satisfaction measure only.</w:t>
      </w:r>
    </w:p>
    <w:p>
      <w:pPr>
        <w:keepLines/>
        <w:spacing w:after="20"/>
        <w:ind w:left="259"/>
      </w:pPr>
      <w:r>
        <w:t>D. Begin trauma processing to recover the cause.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LMFT-WB04-Q007 | Scenario | Moderate | Primary concept: Trauma-informed pacing</w:t>
      </w:r>
    </w:p>
    <w:p>
      <w:pPr>
        <w:keepNext/>
        <w:keepLines/>
        <w:spacing w:before="60"/>
      </w:pPr>
      <w:r>
        <w:rPr>
          <w:b/>
          <w:i w:val="0"/>
        </w:rPr>
        <w:t>7. During an intake, a client becomes visibly distressed when asked about past abuse and says, “I cannot talk about details today.” What should the therapist do NEXT?</w:t>
      </w:r>
    </w:p>
    <w:p>
      <w:pPr>
        <w:keepNext/>
        <w:keepLines/>
        <w:spacing w:after="20"/>
        <w:ind w:left="259"/>
      </w:pPr>
      <w:r>
        <w:t>A. Explain that complete disclosure is required for accurate treatment.</w:t>
      </w:r>
    </w:p>
    <w:p>
      <w:pPr>
        <w:keepNext/>
        <w:keepLines/>
        <w:spacing w:after="20"/>
        <w:ind w:left="259"/>
      </w:pPr>
      <w:r>
        <w:t>B. Stop all assessment and end the session.</w:t>
      </w:r>
    </w:p>
    <w:p>
      <w:pPr>
        <w:keepNext/>
        <w:keepLines/>
        <w:spacing w:after="20"/>
        <w:ind w:left="259"/>
      </w:pPr>
      <w:r>
        <w:t>C. Validate the limit, assess present safety and stabilization needs, explain why certain information may matter, and offer choice about pacing.</w:t>
      </w:r>
    </w:p>
    <w:p>
      <w:pPr>
        <w:keepLines/>
        <w:spacing w:after="20"/>
        <w:ind w:left="259"/>
      </w:pPr>
      <w:r>
        <w:t>D. Ask the client’s partner to provide the details.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LMFT-WB04-Q008 | Scenario | Moderate | Primary concept: Coercion and conjoint safety</w:t>
      </w:r>
    </w:p>
    <w:p>
      <w:pPr>
        <w:keepNext/>
        <w:keepLines/>
        <w:spacing w:before="60"/>
      </w:pPr>
      <w:r>
        <w:rPr>
          <w:b/>
          <w:i w:val="0"/>
        </w:rPr>
        <w:t>8. A partner privately reports that arguments include threats, blocked exits, and destruction of property. The other partner asks to discuss communication skills together. What should the therapist do FIRST?</w:t>
      </w:r>
    </w:p>
    <w:p>
      <w:pPr>
        <w:keepNext/>
        <w:keepLines/>
        <w:spacing w:after="20"/>
        <w:ind w:left="259"/>
      </w:pPr>
      <w:r>
        <w:t>A. Begin conjoint communication training.</w:t>
      </w:r>
    </w:p>
    <w:p>
      <w:pPr>
        <w:keepNext/>
        <w:keepLines/>
        <w:spacing w:after="20"/>
        <w:ind w:left="259"/>
      </w:pPr>
      <w:r>
        <w:t>B. Ask both partners to promise not to argue.</w:t>
      </w:r>
    </w:p>
    <w:p>
      <w:pPr>
        <w:keepNext/>
        <w:keepLines/>
        <w:spacing w:after="20"/>
        <w:ind w:left="259"/>
      </w:pPr>
      <w:r>
        <w:t>C. Tell the reporting partner to leave the relationship immediately.</w:t>
      </w:r>
    </w:p>
    <w:p>
      <w:pPr>
        <w:keepLines/>
        <w:spacing w:after="20"/>
        <w:ind w:left="259"/>
      </w:pPr>
      <w:r>
        <w:t>D. Assess immediate safety, coercive control, escalation, and the suitability of conjoint treatment.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LMFT-WB04-Q009 | Scenario | Moderate | Primary concept: Family-system triangles</w:t>
      </w:r>
    </w:p>
    <w:p>
      <w:pPr>
        <w:keepNext/>
        <w:keepLines/>
        <w:spacing w:before="60"/>
      </w:pPr>
      <w:r>
        <w:rPr>
          <w:b/>
          <w:i w:val="0"/>
        </w:rPr>
        <w:t>9. Parents describe their 12-year-old as the sole cause of family conflict. In session, one parent criticizes the child, the other rescues the child, and the parents avoid discussing their own disagreement. What should the therapist do NEXT?</w:t>
      </w:r>
    </w:p>
    <w:p>
      <w:pPr>
        <w:keepNext/>
        <w:keepLines/>
        <w:spacing w:after="20"/>
        <w:ind w:left="259"/>
      </w:pPr>
      <w:r>
        <w:t>A. Assess the recurring triangle, parental alliance, boundaries, and how the child’s behavior functions in the family sequence.</w:t>
      </w:r>
    </w:p>
    <w:p>
      <w:pPr>
        <w:keepNext/>
        <w:keepLines/>
        <w:spacing w:after="20"/>
        <w:ind w:left="259"/>
      </w:pPr>
      <w:r>
        <w:t>B. Confirm that the child is the identified patient and focus only on behavior management.</w:t>
      </w:r>
    </w:p>
    <w:p>
      <w:pPr>
        <w:keepNext/>
        <w:keepLines/>
        <w:spacing w:after="20"/>
        <w:ind w:left="259"/>
      </w:pPr>
      <w:r>
        <w:t>C. Tell the rescuing parent to stop interfering.</w:t>
      </w:r>
    </w:p>
    <w:p>
      <w:pPr>
        <w:keepLines/>
        <w:spacing w:after="20"/>
        <w:ind w:left="259"/>
      </w:pPr>
      <w:r>
        <w:t>D. Diagnose the child before gathering additional information.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LMFT-WB04-Q010 | Integrated | Challenge | Primary concept: Integrated RELATE assessment</w:t>
      </w:r>
    </w:p>
    <w:p>
      <w:pPr>
        <w:keepNext/>
        <w:keepLines/>
        <w:spacing w:before="60"/>
      </w:pPr>
      <w:r>
        <w:rPr>
          <w:b/>
          <w:i w:val="0"/>
        </w:rPr>
        <w:t>10. A college student reports panic, recent bereavement, social withdrawal, escalating conflict with family, and episodes of fainting. The student asks for coping skills immediately. What is the BEST next step?</w:t>
      </w:r>
    </w:p>
    <w:p>
      <w:pPr>
        <w:keepNext/>
        <w:keepLines/>
        <w:spacing w:after="20"/>
        <w:ind w:left="259"/>
      </w:pPr>
      <w:r>
        <w:t>A. Teach breathing skills and postpone all assessment.</w:t>
      </w:r>
    </w:p>
    <w:p>
      <w:pPr>
        <w:keepNext/>
        <w:keepLines/>
        <w:spacing w:after="20"/>
        <w:ind w:left="259"/>
      </w:pPr>
      <w:r>
        <w:t>B. Complete a focused safety and medical assessment, clarify grief and relational patterns, identify supports and coping, and coordinate medical evaluation before finalizing the treatment plan.</w:t>
      </w:r>
    </w:p>
    <w:p>
      <w:pPr>
        <w:keepNext/>
        <w:keepLines/>
        <w:spacing w:after="20"/>
        <w:ind w:left="259"/>
      </w:pPr>
      <w:r>
        <w:t>C. Refer the student out and provide no further support.</w:t>
      </w:r>
    </w:p>
    <w:p>
      <w:pPr>
        <w:keepLines/>
        <w:spacing w:after="20"/>
        <w:ind w:left="259"/>
      </w:pPr>
      <w:r>
        <w:t>D. Conclude that the symptoms are caused by grief.</w:t>
      </w:r>
    </w:p>
    <w:p>
      <w:pPr>
        <w:spacing w:after="160"/>
      </w:pPr>
      <w:r>
        <w:rPr>
          <w:rFonts w:ascii="Aptos" w:hAnsi="Aptos"/>
          <w:i/>
          <w:color w:val="6B7280"/>
          <w:sz w:val="18"/>
        </w:rPr>
        <w:t>My answer: ______    Confidence: 1  2  3</w:t>
      </w:r>
    </w:p>
    <w:p>
      <w:r>
        <w:br w:type="page"/>
      </w:r>
    </w:p>
    <w:p>
      <w:pPr>
        <w:pStyle w:val="Heading1"/>
        <w:pageBreakBefore/>
      </w:pPr>
      <w: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you overlooked the relationship pattern, current safety, trauma-informed pacing, strengths, source reliability, scope of an instrument, or the need for consultation or referral. Write one sentence explaining why the correct answer is better timed and more ethically or clinically complete.</w:t>
            </w:r>
          </w:p>
        </w:tc>
      </w:tr>
    </w:tbl>
    <w:p>
      <w:pPr>
        <w:spacing w:after="0"/>
      </w:pPr>
    </w:p>
    <w:p>
      <w:pPr>
        <w:pStyle w:val="Heading2"/>
        <w:keepNext/>
        <w:keepLines/>
        <w:spacing w:before="120" w:after="40"/>
      </w:pPr>
      <w:r>
        <w:rPr>
          <w:color w:val="0F7C82"/>
          <w:sz w:val="21"/>
        </w:rPr>
        <w:t>Question 1 (LMFT-WB04-Q001)</w:t>
      </w:r>
    </w:p>
    <w:p>
      <w:pPr>
        <w:keepNext/>
        <w:keepLines/>
      </w:pPr>
      <w:r>
        <w:rPr>
          <w:b/>
          <w:i w:val="0"/>
          <w:color w:val="0F7C82"/>
        </w:rPr>
        <w:t>Correct Answer: A</w:t>
      </w:r>
    </w:p>
    <w:p>
      <w:pPr>
        <w:keepNext/>
        <w:keepLines/>
        <w:spacing w:after="40"/>
        <w:ind w:left="173"/>
      </w:pPr>
      <w:r>
        <w:rPr>
          <w:b/>
          <w:i w:val="0"/>
        </w:rPr>
        <w:t>A. Correct. The question assesses dependability, help-seeking, and the actual function of support.</w:t>
      </w:r>
    </w:p>
    <w:p>
      <w:pPr>
        <w:keepNext/>
        <w:keepLines/>
        <w:spacing w:after="40"/>
        <w:ind w:left="173"/>
      </w:pPr>
      <w:r>
        <w:rPr>
          <w:b/>
          <w:i w:val="0"/>
        </w:rPr>
        <w:t>B. A count does not establish safety, reciprocity, availability, or quality.</w:t>
      </w:r>
    </w:p>
    <w:p>
      <w:pPr>
        <w:keepNext/>
        <w:keepLines/>
        <w:spacing w:after="40"/>
        <w:ind w:left="173"/>
      </w:pPr>
      <w:r>
        <w:rPr>
          <w:b/>
          <w:i w:val="0"/>
        </w:rPr>
        <w:t>C. The wording is potentially judgmental and assumes the preference is problematic.</w:t>
      </w:r>
    </w:p>
    <w:p>
      <w:pPr>
        <w:keepNext/>
        <w:keepLines/>
        <w:spacing w:after="40"/>
        <w:ind w:left="173"/>
      </w:pPr>
      <w:r>
        <w:rPr>
          <w:b/>
          <w:i w:val="0"/>
        </w:rPr>
        <w:t>D. This is leading and prescribes a conclusion before assessment.</w:t>
      </w:r>
    </w:p>
    <w:p>
      <w:pPr>
        <w:keepLines/>
        <w:spacing w:after="120"/>
        <w:ind w:left="173"/>
      </w:pPr>
      <w:r>
        <w:rPr>
          <w:b/>
          <w:i w:val="0"/>
          <w:color w:val="1F4E78"/>
        </w:rPr>
        <w:t xml:space="preserve">Exam Strategy: </w:t>
      </w:r>
      <w:r>
        <w:rPr>
          <w:b w:val="0"/>
          <w:i/>
        </w:rPr>
        <w:t>Assess the pattern, quality, reciprocity, and context of relationships; do not equate living alone or a small network with unhealthy isolation.</w:t>
      </w:r>
    </w:p>
    <w:p>
      <w:pPr>
        <w:pStyle w:val="Heading2"/>
        <w:keepNext/>
        <w:keepLines/>
        <w:spacing w:before="120" w:after="40"/>
      </w:pPr>
      <w:r>
        <w:rPr>
          <w:color w:val="0F7C82"/>
          <w:sz w:val="21"/>
        </w:rPr>
        <w:t>Question 2 (LMFT-WB04-Q002)</w:t>
      </w:r>
    </w:p>
    <w:p>
      <w:pPr>
        <w:keepNext/>
        <w:keepLines/>
      </w:pPr>
      <w:r>
        <w:rPr>
          <w:b/>
          <w:i w:val="0"/>
          <w:color w:val="0F7C82"/>
        </w:rPr>
        <w:t>Correct Answer: B</w:t>
      </w:r>
    </w:p>
    <w:p>
      <w:pPr>
        <w:keepNext/>
        <w:keepLines/>
        <w:spacing w:after="40"/>
        <w:ind w:left="173"/>
      </w:pPr>
      <w:r>
        <w:rPr>
          <w:b/>
          <w:i w:val="0"/>
        </w:rPr>
        <w:t>A. Screening complements rather than replaces interviewing and clinical judgment.</w:t>
      </w:r>
    </w:p>
    <w:p>
      <w:pPr>
        <w:keepNext/>
        <w:keepLines/>
        <w:spacing w:after="40"/>
        <w:ind w:left="173"/>
      </w:pPr>
      <w:r>
        <w:rPr>
          <w:b/>
          <w:i w:val="0"/>
        </w:rPr>
        <w:t>B. Correct. Structured results should be integrated with interview, observation, history, and context.</w:t>
      </w:r>
    </w:p>
    <w:p>
      <w:pPr>
        <w:keepNext/>
        <w:keepLines/>
        <w:spacing w:after="40"/>
        <w:ind w:left="173"/>
      </w:pPr>
      <w:r>
        <w:rPr>
          <w:b/>
          <w:i w:val="0"/>
        </w:rPr>
        <w:t>C. A screening score alone does not establish a final diagnosis.</w:t>
      </w:r>
    </w:p>
    <w:p>
      <w:pPr>
        <w:keepNext/>
        <w:keepLines/>
        <w:spacing w:after="40"/>
        <w:ind w:left="173"/>
      </w:pPr>
      <w:r>
        <w:rPr>
          <w:b/>
          <w:i w:val="0"/>
        </w:rPr>
        <w:t>D. Appropriateness and interpretation require attention to culture, language, disability, and context.</w:t>
      </w:r>
    </w:p>
    <w:p>
      <w:pPr>
        <w:keepLines/>
        <w:spacing w:after="120"/>
        <w:ind w:left="173"/>
      </w:pPr>
      <w:r>
        <w:rPr>
          <w:b/>
          <w:i w:val="0"/>
          <w:color w:val="1F4E78"/>
        </w:rPr>
        <w:t xml:space="preserve">Exam Strategy: </w:t>
      </w:r>
      <w:r>
        <w:rPr>
          <w:b w:val="0"/>
          <w:i/>
        </w:rPr>
        <w:t>Use a measure only when its purpose, population, administration, scoring, limitations, and effect on the clinical decision are clear.</w:t>
      </w:r>
    </w:p>
    <w:p>
      <w:pPr>
        <w:pStyle w:val="Heading2"/>
        <w:keepNext/>
        <w:keepLines/>
        <w:spacing w:before="120" w:after="40"/>
      </w:pPr>
      <w:r>
        <w:rPr>
          <w:color w:val="0F7C82"/>
          <w:sz w:val="21"/>
        </w:rPr>
        <w:t>Question 3 (LMFT-WB04-Q003)</w:t>
      </w:r>
    </w:p>
    <w:p>
      <w:pPr>
        <w:keepNext/>
        <w:keepLines/>
      </w:pPr>
      <w:r>
        <w:rPr>
          <w:b/>
          <w:i w:val="0"/>
          <w:color w:val="0F7C82"/>
        </w:rPr>
        <w:t>Correct Answer: C</w:t>
      </w:r>
    </w:p>
    <w:p>
      <w:pPr>
        <w:keepNext/>
        <w:keepLines/>
        <w:spacing w:after="40"/>
        <w:ind w:left="173"/>
      </w:pPr>
      <w:r>
        <w:rPr>
          <w:b/>
          <w:i w:val="0"/>
        </w:rPr>
        <w:t>A. Minimization can interfere with assessment and is not inherently protective.</w:t>
      </w:r>
    </w:p>
    <w:p>
      <w:pPr>
        <w:keepNext/>
        <w:keepLines/>
        <w:spacing w:after="40"/>
        <w:ind w:left="173"/>
      </w:pPr>
      <w:r>
        <w:rPr>
          <w:b/>
          <w:i w:val="0"/>
        </w:rPr>
        <w:t>B. The absence of reported conflict is not a demonstrated coping resource.</w:t>
      </w:r>
    </w:p>
    <w:p>
      <w:pPr>
        <w:keepNext/>
        <w:keepLines/>
        <w:spacing w:after="40"/>
        <w:ind w:left="173"/>
      </w:pPr>
      <w:r>
        <w:rPr>
          <w:b/>
          <w:i w:val="0"/>
        </w:rPr>
        <w:t>C. Correct. A dependable help-seeking relationship is a concrete protective factor.</w:t>
      </w:r>
    </w:p>
    <w:p>
      <w:pPr>
        <w:keepNext/>
        <w:keepLines/>
        <w:spacing w:after="40"/>
        <w:ind w:left="173"/>
      </w:pPr>
      <w:r>
        <w:rPr>
          <w:b/>
          <w:i w:val="0"/>
        </w:rPr>
        <w:t>D. A therapist’s general impression is less useful than observable behavior and resources.</w:t>
      </w:r>
    </w:p>
    <w:p>
      <w:pPr>
        <w:keepLines/>
        <w:spacing w:after="120"/>
        <w:ind w:left="173"/>
      </w:pPr>
      <w:r>
        <w:rPr>
          <w:b/>
          <w:i w:val="0"/>
          <w:color w:val="1F4E78"/>
        </w:rPr>
        <w:t xml:space="preserve">Exam Strategy: </w:t>
      </w:r>
      <w:r>
        <w:rPr>
          <w:b w:val="0"/>
          <w:i/>
        </w:rPr>
        <w:t>Identify demonstrated coping, relationships, values, resources, and exceptions, then connect them to the current clinical task.</w:t>
      </w:r>
    </w:p>
    <w:p>
      <w:pPr>
        <w:pStyle w:val="Heading2"/>
        <w:keepNext/>
        <w:keepLines/>
        <w:spacing w:before="120" w:after="40"/>
      </w:pPr>
      <w:r>
        <w:rPr>
          <w:color w:val="0F7C82"/>
          <w:sz w:val="21"/>
        </w:rPr>
        <w:t>Question 4 (LMFT-WB04-Q004)</w:t>
      </w:r>
    </w:p>
    <w:p>
      <w:pPr>
        <w:keepNext/>
        <w:keepLines/>
      </w:pPr>
      <w:r>
        <w:rPr>
          <w:b/>
          <w:i w:val="0"/>
          <w:color w:val="0F7C82"/>
        </w:rPr>
        <w:t>Correct Answer: D</w:t>
      </w:r>
    </w:p>
    <w:p>
      <w:pPr>
        <w:keepNext/>
        <w:keepLines/>
        <w:spacing w:after="40"/>
        <w:ind w:left="173"/>
      </w:pPr>
      <w:r>
        <w:rPr>
          <w:b/>
          <w:i w:val="0"/>
        </w:rPr>
        <w:t>A. Accuracy contests and labels do not explain the maintaining cycle.</w:t>
      </w:r>
    </w:p>
    <w:p>
      <w:pPr>
        <w:keepNext/>
        <w:keepLines/>
        <w:spacing w:after="40"/>
        <w:ind w:left="173"/>
      </w:pPr>
      <w:r>
        <w:rPr>
          <w:b/>
          <w:i w:val="0"/>
        </w:rPr>
        <w:t>B. Separation is a decision for the clients and is premature before assessment.</w:t>
      </w:r>
    </w:p>
    <w:p>
      <w:pPr>
        <w:keepNext/>
        <w:keepLines/>
        <w:spacing w:after="40"/>
        <w:ind w:left="173"/>
      </w:pPr>
      <w:r>
        <w:rPr>
          <w:b/>
          <w:i w:val="0"/>
        </w:rPr>
        <w:t>C. Selecting who apologizes first takes sides and bypasses formulation.</w:t>
      </w:r>
    </w:p>
    <w:p>
      <w:pPr>
        <w:keepNext/>
        <w:keepLines/>
        <w:spacing w:after="40"/>
        <w:ind w:left="173"/>
      </w:pPr>
      <w:r>
        <w:rPr>
          <w:b/>
          <w:i w:val="0"/>
        </w:rPr>
        <w:t>D. Correct. Mapping the sequence clarifies how each response influences the next.</w:t>
      </w:r>
    </w:p>
    <w:p>
      <w:pPr>
        <w:keepLines/>
        <w:spacing w:after="120"/>
        <w:ind w:left="173"/>
      </w:pPr>
      <w:r>
        <w:rPr>
          <w:b/>
          <w:i w:val="0"/>
          <w:color w:val="1F4E78"/>
        </w:rPr>
        <w:t xml:space="preserve">Exam Strategy: </w:t>
      </w:r>
      <w:r>
        <w:rPr>
          <w:b w:val="0"/>
          <w:i/>
        </w:rPr>
        <w:t>Ask what happens before, during, and after the conflict and how each response influences the next response.</w:t>
      </w:r>
    </w:p>
    <w:p>
      <w:pPr>
        <w:pStyle w:val="Heading2"/>
        <w:keepNext/>
        <w:keepLines/>
        <w:spacing w:before="120" w:after="40"/>
      </w:pPr>
      <w:r>
        <w:rPr>
          <w:color w:val="0F7C82"/>
          <w:sz w:val="21"/>
        </w:rPr>
        <w:t>Question 5 (LMFT-WB04-Q005)</w:t>
      </w:r>
    </w:p>
    <w:p>
      <w:pPr>
        <w:keepNext/>
        <w:keepLines/>
      </w:pPr>
      <w:r>
        <w:rPr>
          <w:b/>
          <w:i w:val="0"/>
          <w:color w:val="0F7C82"/>
        </w:rPr>
        <w:t>Correct Answer: A</w:t>
      </w:r>
    </w:p>
    <w:p>
      <w:pPr>
        <w:keepNext/>
        <w:keepLines/>
        <w:spacing w:after="40"/>
        <w:ind w:left="173"/>
      </w:pPr>
      <w:r>
        <w:rPr>
          <w:b/>
          <w:i w:val="0"/>
        </w:rPr>
        <w:t>A. Correct. The response is relevant, inclusive, within scope, and considers interacting contributors.</w:t>
      </w:r>
    </w:p>
    <w:p>
      <w:pPr>
        <w:keepNext/>
        <w:keepLines/>
        <w:spacing w:after="40"/>
        <w:ind w:left="173"/>
      </w:pPr>
      <w:r>
        <w:rPr>
          <w:b/>
          <w:i w:val="0"/>
        </w:rPr>
        <w:t>B. Multiple contributors are possible and require assessment.</w:t>
      </w:r>
    </w:p>
    <w:p>
      <w:pPr>
        <w:keepNext/>
        <w:keepLines/>
        <w:spacing w:after="40"/>
        <w:ind w:left="173"/>
      </w:pPr>
      <w:r>
        <w:rPr>
          <w:b/>
          <w:i w:val="0"/>
        </w:rPr>
        <w:t>C. Directing medication changes is outside the LMFT’s role and may be unsafe.</w:t>
      </w:r>
    </w:p>
    <w:p>
      <w:pPr>
        <w:keepNext/>
        <w:keepLines/>
        <w:spacing w:after="40"/>
        <w:ind w:left="173"/>
      </w:pPr>
      <w:r>
        <w:rPr>
          <w:b/>
          <w:i w:val="0"/>
        </w:rPr>
        <w:t>D. Clinically relevant intimacy concerns can be assessed respectfully with permission.</w:t>
      </w:r>
    </w:p>
    <w:p>
      <w:pPr>
        <w:keepLines/>
        <w:spacing w:after="120"/>
        <w:ind w:left="173"/>
      </w:pPr>
      <w:r>
        <w:rPr>
          <w:b/>
          <w:i w:val="0"/>
          <w:color w:val="1F4E78"/>
        </w:rPr>
        <w:t xml:space="preserve">Exam Strategy: </w:t>
      </w:r>
      <w:r>
        <w:rPr>
          <w:b w:val="0"/>
          <w:i/>
        </w:rPr>
        <w:t>Use neutral, inclusive, consent-based questions and consider medical, medication, trauma, cultural, and relational contributors.</w:t>
      </w:r>
    </w:p>
    <w:p>
      <w:pPr>
        <w:pStyle w:val="Heading2"/>
        <w:keepNext/>
        <w:keepLines/>
        <w:spacing w:before="120" w:after="40"/>
      </w:pPr>
      <w:r>
        <w:rPr>
          <w:color w:val="0F7C82"/>
          <w:sz w:val="21"/>
        </w:rPr>
        <w:t>Question 6 (LMFT-WB04-Q006)</w:t>
      </w:r>
    </w:p>
    <w:p>
      <w:pPr>
        <w:keepNext/>
        <w:keepLines/>
      </w:pPr>
      <w:r>
        <w:rPr>
          <w:b/>
          <w:i w:val="0"/>
          <w:color w:val="0F7C82"/>
        </w:rPr>
        <w:t>Correct Answer: B</w:t>
      </w:r>
    </w:p>
    <w:p>
      <w:pPr>
        <w:keepNext/>
        <w:keepLines/>
        <w:spacing w:after="40"/>
        <w:ind w:left="173"/>
      </w:pPr>
      <w:r>
        <w:rPr>
          <w:b/>
          <w:i w:val="0"/>
        </w:rPr>
        <w:t>A. Abrupt cognitive and physical changes require medical consideration before a psychological interpretation.</w:t>
      </w:r>
    </w:p>
    <w:p>
      <w:pPr>
        <w:keepNext/>
        <w:keepLines/>
        <w:spacing w:after="40"/>
        <w:ind w:left="173"/>
      </w:pPr>
      <w:r>
        <w:rPr>
          <w:b/>
          <w:i w:val="0"/>
        </w:rPr>
        <w:t>B. Correct. The unresolved question is medical or neurological and warrants prompt evaluation.</w:t>
      </w:r>
    </w:p>
    <w:p>
      <w:pPr>
        <w:keepNext/>
        <w:keepLines/>
        <w:spacing w:after="40"/>
        <w:ind w:left="173"/>
      </w:pPr>
      <w:r>
        <w:rPr>
          <w:b/>
          <w:i w:val="0"/>
        </w:rPr>
        <w:t>C. A relationship measure does not address the presenting warning signs.</w:t>
      </w:r>
    </w:p>
    <w:p>
      <w:pPr>
        <w:keepNext/>
        <w:keepLines/>
        <w:spacing w:after="40"/>
        <w:ind w:left="173"/>
      </w:pPr>
      <w:r>
        <w:rPr>
          <w:b/>
          <w:i w:val="0"/>
        </w:rPr>
        <w:t>D. Trauma processing is not indicated before medical and safety assessment.</w:t>
      </w:r>
    </w:p>
    <w:p>
      <w:pPr>
        <w:keepLines/>
        <w:spacing w:after="120"/>
        <w:ind w:left="173"/>
      </w:pPr>
      <w:r>
        <w:rPr>
          <w:b/>
          <w:i w:val="0"/>
          <w:color w:val="1F4E78"/>
        </w:rPr>
        <w:t xml:space="preserve">Exam Strategy: </w:t>
      </w:r>
      <w:r>
        <w:rPr>
          <w:b w:val="0"/>
          <w:i/>
        </w:rPr>
        <w:t>Match the unanswered question to the right professional and preserve continuity; referral is not a substitute for the therapist’s own assessment.</w:t>
      </w:r>
    </w:p>
    <w:p>
      <w:pPr>
        <w:pStyle w:val="Heading2"/>
        <w:keepNext/>
        <w:keepLines/>
        <w:spacing w:before="120" w:after="40"/>
      </w:pPr>
      <w:r>
        <w:rPr>
          <w:color w:val="0F7C82"/>
          <w:sz w:val="21"/>
        </w:rPr>
        <w:t>Question 7 (LMFT-WB04-Q007)</w:t>
      </w:r>
    </w:p>
    <w:p>
      <w:pPr>
        <w:keepNext/>
        <w:keepLines/>
      </w:pPr>
      <w:r>
        <w:rPr>
          <w:b/>
          <w:i w:val="0"/>
          <w:color w:val="0F7C82"/>
        </w:rPr>
        <w:t>Correct Answer: C</w:t>
      </w:r>
    </w:p>
    <w:p>
      <w:pPr>
        <w:keepNext/>
        <w:keepLines/>
        <w:spacing w:after="40"/>
        <w:ind w:left="173"/>
      </w:pPr>
      <w:r>
        <w:rPr>
          <w:b/>
          <w:i w:val="0"/>
        </w:rPr>
        <w:t>A. Requiring detailed disclosure can undermine control and safety.</w:t>
      </w:r>
    </w:p>
    <w:p>
      <w:pPr>
        <w:keepNext/>
        <w:keepLines/>
        <w:spacing w:after="40"/>
        <w:ind w:left="173"/>
      </w:pPr>
      <w:r>
        <w:rPr>
          <w:b/>
          <w:i w:val="0"/>
        </w:rPr>
        <w:t>B. The therapist can continue with present-focused, consent-based assessment.</w:t>
      </w:r>
    </w:p>
    <w:p>
      <w:pPr>
        <w:keepNext/>
        <w:keepLines/>
        <w:spacing w:after="40"/>
        <w:ind w:left="173"/>
      </w:pPr>
      <w:r>
        <w:rPr>
          <w:b/>
          <w:i w:val="0"/>
        </w:rPr>
        <w:t>C. Correct. The response preserves choice, assesses current needs, and explains clinical relevance.</w:t>
      </w:r>
    </w:p>
    <w:p>
      <w:pPr>
        <w:keepNext/>
        <w:keepLines/>
        <w:spacing w:after="40"/>
        <w:ind w:left="173"/>
      </w:pPr>
      <w:r>
        <w:rPr>
          <w:b/>
          <w:i w:val="0"/>
        </w:rPr>
        <w:t>D. A partner’s account does not replace consent, may be inaccurate, and could increase risk.</w:t>
      </w:r>
    </w:p>
    <w:p>
      <w:pPr>
        <w:keepLines/>
        <w:spacing w:after="120"/>
        <w:ind w:left="173"/>
      </w:pPr>
      <w:r>
        <w:rPr>
          <w:b/>
          <w:i w:val="0"/>
          <w:color w:val="1F4E78"/>
        </w:rPr>
        <w:t xml:space="preserve">Exam Strategy: </w:t>
      </w:r>
      <w:r>
        <w:rPr>
          <w:b w:val="0"/>
          <w:i/>
        </w:rPr>
        <w:t>Establish present safety and control before seeking detail; ask only what is needed for current assessment and planning.</w:t>
      </w:r>
    </w:p>
    <w:p>
      <w:pPr>
        <w:pStyle w:val="Heading2"/>
        <w:keepNext/>
        <w:keepLines/>
        <w:spacing w:before="120" w:after="40"/>
      </w:pPr>
      <w:r>
        <w:rPr>
          <w:color w:val="0F7C82"/>
          <w:sz w:val="21"/>
        </w:rPr>
        <w:t>Question 8 (LMFT-WB04-Q008)</w:t>
      </w:r>
    </w:p>
    <w:p>
      <w:pPr>
        <w:keepNext/>
        <w:keepLines/>
      </w:pPr>
      <w:r>
        <w:rPr>
          <w:b/>
          <w:i w:val="0"/>
          <w:color w:val="0F7C82"/>
        </w:rPr>
        <w:t>Correct Answer: D</w:t>
      </w:r>
    </w:p>
    <w:p>
      <w:pPr>
        <w:keepNext/>
        <w:keepLines/>
        <w:spacing w:after="40"/>
        <w:ind w:left="173"/>
      </w:pPr>
      <w:r>
        <w:rPr>
          <w:b/>
          <w:i w:val="0"/>
        </w:rPr>
        <w:t>A. Conjoint skills work may be unsafe before coercion and danger are assessed.</w:t>
      </w:r>
    </w:p>
    <w:p>
      <w:pPr>
        <w:keepNext/>
        <w:keepLines/>
        <w:spacing w:after="40"/>
        <w:ind w:left="173"/>
      </w:pPr>
      <w:r>
        <w:rPr>
          <w:b/>
          <w:i w:val="0"/>
        </w:rPr>
        <w:t>B. A promise does not substitute for risk assessment or safety planning.</w:t>
      </w:r>
    </w:p>
    <w:p>
      <w:pPr>
        <w:keepNext/>
        <w:keepLines/>
        <w:spacing w:after="40"/>
        <w:ind w:left="173"/>
      </w:pPr>
      <w:r>
        <w:rPr>
          <w:b/>
          <w:i w:val="0"/>
        </w:rPr>
        <w:t>C. The therapist should support informed safety decisions rather than issue a blanket directive.</w:t>
      </w:r>
    </w:p>
    <w:p>
      <w:pPr>
        <w:keepNext/>
        <w:keepLines/>
        <w:spacing w:after="40"/>
        <w:ind w:left="173"/>
      </w:pPr>
      <w:r>
        <w:rPr>
          <w:b/>
          <w:i w:val="0"/>
        </w:rPr>
        <w:t>D. Correct. Safety and treatment suitability come before conjoint intervention.</w:t>
      </w:r>
    </w:p>
    <w:p>
      <w:pPr>
        <w:keepLines/>
        <w:spacing w:after="120"/>
        <w:ind w:left="173"/>
      </w:pPr>
      <w:r>
        <w:rPr>
          <w:b/>
          <w:i w:val="0"/>
          <w:color w:val="1F4E78"/>
        </w:rPr>
        <w:t xml:space="preserve">Exam Strategy: </w:t>
      </w:r>
      <w:r>
        <w:rPr>
          <w:b w:val="0"/>
          <w:i/>
        </w:rPr>
        <w:t>Distinguish anger, impulsivity, coercion, and violence; assess current risk, pattern, triggers, access, and protective factors before conjoint work.</w:t>
      </w:r>
    </w:p>
    <w:p>
      <w:pPr>
        <w:pStyle w:val="Heading2"/>
        <w:keepNext/>
        <w:keepLines/>
        <w:spacing w:before="120" w:after="40"/>
      </w:pPr>
      <w:r>
        <w:rPr>
          <w:color w:val="0F7C82"/>
          <w:sz w:val="21"/>
        </w:rPr>
        <w:t>Question 9 (LMFT-WB04-Q009)</w:t>
      </w:r>
    </w:p>
    <w:p>
      <w:pPr>
        <w:keepNext/>
        <w:keepLines/>
      </w:pPr>
      <w:r>
        <w:rPr>
          <w:b/>
          <w:i w:val="0"/>
          <w:color w:val="0F7C82"/>
        </w:rPr>
        <w:t>Correct Answer: A</w:t>
      </w:r>
    </w:p>
    <w:p>
      <w:pPr>
        <w:keepNext/>
        <w:keepLines/>
        <w:spacing w:after="40"/>
        <w:ind w:left="173"/>
      </w:pPr>
      <w:r>
        <w:rPr>
          <w:b/>
          <w:i w:val="0"/>
        </w:rPr>
        <w:t>A. Correct. The observed sequence suggests a triangle and parental conflict that require systemic assessment.</w:t>
      </w:r>
    </w:p>
    <w:p>
      <w:pPr>
        <w:keepNext/>
        <w:keepLines/>
        <w:spacing w:after="40"/>
        <w:ind w:left="173"/>
      </w:pPr>
      <w:r>
        <w:rPr>
          <w:b/>
          <w:i w:val="0"/>
        </w:rPr>
        <w:t>B. Focusing only on the child repeats the family’s narrow formulation.</w:t>
      </w:r>
    </w:p>
    <w:p>
      <w:pPr>
        <w:keepNext/>
        <w:keepLines/>
        <w:spacing w:after="40"/>
        <w:ind w:left="173"/>
      </w:pPr>
      <w:r>
        <w:rPr>
          <w:b/>
          <w:i w:val="0"/>
        </w:rPr>
        <w:t>C. Directing one parent takes sides and oversimplifies the pattern.</w:t>
      </w:r>
    </w:p>
    <w:p>
      <w:pPr>
        <w:keepNext/>
        <w:keepLines/>
        <w:spacing w:after="40"/>
        <w:ind w:left="173"/>
      </w:pPr>
      <w:r>
        <w:rPr>
          <w:b/>
          <w:i w:val="0"/>
        </w:rPr>
        <w:t>D. Diagnosis is premature and does not explain the observed family process.</w:t>
      </w:r>
    </w:p>
    <w:p>
      <w:pPr>
        <w:keepLines/>
        <w:spacing w:after="120"/>
        <w:ind w:left="173"/>
      </w:pPr>
      <w:r>
        <w:rPr>
          <w:b/>
          <w:i w:val="0"/>
          <w:color w:val="1F4E78"/>
        </w:rPr>
        <w:t xml:space="preserve">Exam Strategy: </w:t>
      </w:r>
      <w:r>
        <w:rPr>
          <w:b w:val="0"/>
          <w:i/>
        </w:rPr>
        <w:t>Use RELATE: relationships, emotional injuries and loss, life-support system, aggression and regulation, tools and consultation, existing strengths.</w:t>
      </w:r>
    </w:p>
    <w:p>
      <w:pPr>
        <w:pStyle w:val="Heading2"/>
        <w:keepNext/>
        <w:keepLines/>
        <w:spacing w:before="120" w:after="40"/>
      </w:pPr>
      <w:r>
        <w:rPr>
          <w:color w:val="0F7C82"/>
          <w:sz w:val="21"/>
        </w:rPr>
        <w:t>Question 10 (LMFT-WB04-Q010)</w:t>
      </w:r>
    </w:p>
    <w:p>
      <w:pPr>
        <w:keepNext/>
        <w:keepLines/>
      </w:pPr>
      <w:r>
        <w:rPr>
          <w:b/>
          <w:i w:val="0"/>
          <w:color w:val="0F7C82"/>
        </w:rPr>
        <w:t>Correct Answer: B</w:t>
      </w:r>
    </w:p>
    <w:p>
      <w:pPr>
        <w:keepNext/>
        <w:keepLines/>
        <w:spacing w:after="40"/>
        <w:ind w:left="173"/>
      </w:pPr>
      <w:r>
        <w:rPr>
          <w:b/>
          <w:i w:val="0"/>
        </w:rPr>
        <w:t>A. Skills may help but do not address fainting, safety, or the need for broader assessment.</w:t>
      </w:r>
    </w:p>
    <w:p>
      <w:pPr>
        <w:keepNext/>
        <w:keepLines/>
        <w:spacing w:after="40"/>
        <w:ind w:left="173"/>
      </w:pPr>
      <w:r>
        <w:rPr>
          <w:b/>
          <w:i w:val="0"/>
        </w:rPr>
        <w:t>B. Correct. The response integrates medical warning signs, loss, relationships, support, coping, and continuity.</w:t>
      </w:r>
    </w:p>
    <w:p>
      <w:pPr>
        <w:keepNext/>
        <w:keepLines/>
        <w:spacing w:after="40"/>
        <w:ind w:left="173"/>
      </w:pPr>
      <w:r>
        <w:rPr>
          <w:b/>
          <w:i w:val="0"/>
        </w:rPr>
        <w:t>C. Referral without assessment or continuity is incomplete.</w:t>
      </w:r>
    </w:p>
    <w:p>
      <w:pPr>
        <w:keepNext/>
        <w:keepLines/>
        <w:spacing w:after="40"/>
        <w:ind w:left="173"/>
      </w:pPr>
      <w:r>
        <w:rPr>
          <w:b/>
          <w:i w:val="0"/>
        </w:rPr>
        <w:t>D. Grief may be relevant, but the medical and relational data prevent a single-cause conclusion.</w:t>
      </w:r>
    </w:p>
    <w:p>
      <w:pPr>
        <w:keepLines/>
        <w:spacing w:after="120"/>
        <w:ind w:left="173"/>
      </w:pPr>
      <w:r>
        <w:rPr>
          <w:b/>
          <w:i w:val="0"/>
          <w:color w:val="1F4E78"/>
        </w:rPr>
        <w:t xml:space="preserve">Exam Strategy: </w:t>
      </w:r>
      <w:r>
        <w:rPr>
          <w:b w:val="0"/>
          <w:i/>
        </w:rPr>
        <w:t>Use RELATE: relationships, emotional injuries and loss, life-support system, aggression and regulation, tools and consultation, existing strengths.</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blHeader w:val="true"/>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relational-assessment reasoning</w:t>
            </w:r>
          </w:p>
        </w:tc>
        <w:tc>
          <w:tcPr>
            <w:tcW w:type="dxa" w:w="5328"/>
            <w:tcMar>
              <w:top w:w="100" w:type="dxa"/>
              <w:start w:w="120" w:type="dxa"/>
              <w:bottom w:w="100" w:type="dxa"/>
              <w:end w:w="120" w:type="dxa"/>
            </w:tcMar>
          </w:tcPr>
          <w:p>
            <w:pPr>
              <w:spacing w:after="0"/>
            </w:pPr>
            <w:r>
              <w:rPr>
                <w:sz w:val="18"/>
              </w:rPr>
              <w:t>Review low-confidence items and practice mixed vignettes involving trauma, family patterns, risk, and referral.</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RELATE and the consultation/referral table; identify which assessment domain you skipped.</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Partial understanding</w:t>
            </w:r>
          </w:p>
        </w:tc>
        <w:tc>
          <w:tcPr>
            <w:tcW w:type="dxa" w:w="5328"/>
            <w:tcMar>
              <w:top w:w="100" w:type="dxa"/>
              <w:start w:w="120" w:type="dxa"/>
              <w:bottom w:w="100" w:type="dxa"/>
              <w:end w:w="120" w:type="dxa"/>
            </w:tcMar>
          </w:tcPr>
          <w:p>
            <w:pPr>
              <w:spacing w:after="0"/>
            </w:pPr>
            <w:r>
              <w:rPr>
                <w:sz w:val="18"/>
              </w:rPr>
              <w:t>Repeat the worked examples and rewrite each missed item as: What is known? What is missing? Who can answer it?</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strengthening</w:t>
            </w:r>
          </w:p>
        </w:tc>
        <w:tc>
          <w:tcPr>
            <w:tcW w:type="dxa" w:w="5328"/>
            <w:tcMar>
              <w:top w:w="100" w:type="dxa"/>
              <w:start w:w="120" w:type="dxa"/>
              <w:bottom w:w="100" w:type="dxa"/>
              <w:end w:w="120" w:type="dxa"/>
            </w:tcMar>
            <w:shd w:fill="F7F8FA"/>
          </w:tcPr>
          <w:p>
            <w:pPr>
              <w:spacing w:after="0"/>
            </w:pPr>
            <w:r>
              <w:rPr>
                <w:sz w:val="18"/>
              </w:rPr>
              <w:t>Re-study each assessment domain before attempting additional mixed questions.</w:t>
            </w:r>
          </w:p>
        </w:tc>
      </w:tr>
    </w:tbl>
    <w:p>
      <w:pPr>
        <w:spacing w:after="0"/>
      </w:pPr>
    </w:p>
    <w:p>
      <w:r>
        <w:rPr>
          <w:i w:val="0"/>
        </w:rPr>
        <w:t>My three priority topics:</w:t>
      </w:r>
    </w:p>
    <w:p>
      <w:pPr>
        <w:spacing w:after="40"/>
        <w:ind w:left="259" w:hanging="259"/>
      </w:pPr>
      <w:r>
        <w:rPr>
          <w:b w:val="0"/>
          <w:i w:val="0"/>
        </w:rPr>
        <w:t xml:space="preserve">1. </w:t>
      </w:r>
      <w:r>
        <w:rPr>
          <w:b w:val="0"/>
          <w:i w:val="0"/>
        </w:rPr>
      </w:r>
    </w:p>
    <w:p>
      <w:pPr>
        <w:spacing w:after="40"/>
        <w:ind w:left="259" w:hanging="259"/>
      </w:pPr>
      <w:r>
        <w:rPr>
          <w:b w:val="0"/>
          <w:i w:val="0"/>
        </w:rPr>
        <w:t xml:space="preserve">2. </w:t>
      </w:r>
      <w:r>
        <w:rPr>
          <w:b w:val="0"/>
          <w:i w:val="0"/>
        </w:rPr>
      </w:r>
    </w:p>
    <w:p>
      <w:pPr>
        <w:spacing w:after="40"/>
        <w:ind w:left="259" w:hanging="259"/>
      </w:pPr>
      <w:r>
        <w:rPr>
          <w:b w:val="0"/>
          <w:i w:val="0"/>
        </w:rPr>
        <w:t xml:space="preserve">3. </w:t>
      </w:r>
      <w:r>
        <w:rPr>
          <w:b w:val="0"/>
          <w:i w:val="0"/>
        </w:rPr>
      </w:r>
    </w:p>
    <w:p>
      <w:r>
        <w:rPr>
          <w:i w:val="0"/>
        </w:rPr>
        <w:t>One reasoning rule I will apply on my next practice set:</w:t>
      </w:r>
    </w:p>
    <w:p>
      <w:r>
        <w:rPr>
          <w:i w:val="0"/>
        </w:rPr>
        <w:t>________________________________________________________________________________</w:t>
      </w:r>
    </w:p>
    <w:p>
      <w:pPr>
        <w:pStyle w:val="Heading1"/>
      </w:pPr>
      <w:r>
        <w:t>Sources and Currency Note</w:t>
      </w:r>
    </w:p>
    <w:p>
      <w:pPr>
        <w:pStyle w:val="ListBullet"/>
      </w:pPr>
      <w:r>
        <w:t>California Board of Behavioral Sciences. Licensed Marriage and Family Therapist Written Clinical Examination Outline, effective January 1, 2021, Clinical Evaluation Tasks T21-T35.</w:t>
      </w:r>
    </w:p>
    <w:p>
      <w:pPr>
        <w:pStyle w:val="ListBullet"/>
      </w:pPr>
      <w:r>
        <w:t>California Board of Behavioral Sciences. Statutes and Regulations Relating to Marriage and Family Therapy and Clinical Social Work, January 2026.</w:t>
      </w:r>
    </w:p>
    <w:p>
      <w:pPr>
        <w:pStyle w:val="ListBullet"/>
      </w:pPr>
      <w:r>
        <w:t>Official examination outlines, laws, and testing policies may change. Verify current BBS and testing-vendor requirements before testing.</w:t>
      </w:r>
    </w:p>
    <w:p>
      <w:pPr/>
      <w:r>
        <w:t>All practice questions are original CTA items. Examination specifications and professional requirements may change; consult current official sources before testing or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 v1.0</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CTA LMFT Workbook 4 - Relational, Family-System, Trauma, and Strengths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4: Relational, Family-System, Trauma, and Strengths Assessment</dc:title>
  <dc:subject>Student-facing exam preparation workbook</dc:subject>
  <dc:creator/>
  <cp:keywords>Clinical Training Academy, exam preparation, student workbook</cp:keywords>
  <dc:description>Version 1.0 - July 2026</dc:description>
  <cp:lastModifiedBy/>
  <cp:revision>1</cp:revision>
  <dcterms:created xsi:type="dcterms:W3CDTF">2013-12-23T23:15:00Z</dcterms:created>
  <dcterms:modified xsi:type="dcterms:W3CDTF">2013-12-23T23:15:00Z</dcterms:modified>
  <cp:category/>
</cp:coreProperties>
</file>