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234440" cy="892311"/>
            <wp:docPr id="1" name="Picture 1" title="Clinical Training Academy logo" descr="Clinical Training Academy horizontal logo"/>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234440" cy="892311"/>
                    </a:xfrm>
                    <a:prstGeom prst="rect"/>
                  </pic:spPr>
                </pic:pic>
              </a:graphicData>
            </a:graphic>
          </wp:inline>
        </w:drawing>
      </w:r>
    </w:p>
    <w:p>
      <w:pPr>
        <w:spacing w:after="60"/>
        <w:jc w:val="center"/>
      </w:pPr>
      <w:r>
        <w:rPr>
          <w:b/>
          <w:i w:val="0"/>
          <w:color w:val="0F7C82"/>
          <w:sz w:val="23"/>
        </w:rPr>
        <w:t>LMFT CALIFORNIA CLINICAL EXAM PREPARATION PROGRAM</w:t>
      </w:r>
    </w:p>
    <w:p>
      <w:pPr>
        <w:spacing w:after="240"/>
        <w:jc w:val="center"/>
      </w:pPr>
      <w:r>
        <w:rPr>
          <w:b/>
          <w:i w:val="0"/>
          <w:color w:val="C17C00"/>
          <w:sz w:val="30"/>
        </w:rPr>
        <w:t>Student Workbook</w:t>
      </w:r>
    </w:p>
    <w:p>
      <w:pPr>
        <w:pStyle w:val="Title"/>
        <w:spacing w:after="160"/>
        <w:jc w:val="center"/>
      </w:pPr>
      <w:r>
        <w:t>CTA LMFT Workbook 5: Diagnosis and Differential Diagnosis</w:t>
      </w:r>
    </w:p>
    <w:p>
      <w:pPr>
        <w:spacing w:after="240"/>
        <w:jc w:val="center"/>
      </w:pPr>
      <w:r>
        <w:rPr>
          <w:i/>
          <w:color w:val="5B6573"/>
          <w:sz w:val="25"/>
        </w:rPr>
        <w:t>Use symptom patterns, chronology, impairment, exclusions, and systemic context to select a supported diagnostic direction</w:t>
      </w:r>
    </w:p>
    <w:p>
      <w:pPr>
        <w:spacing w:after="360"/>
        <w:jc w:val="center"/>
      </w:pPr>
      <w:r>
        <w:rPr>
          <w:b w:val="0"/>
          <w:i w:val="0"/>
          <w:color w:val="667085"/>
          <w:sz w:val="21"/>
        </w:rPr>
        <w:t>Version 1.0 - July 2026</w:t>
      </w:r>
    </w:p>
    <w:tbl>
      <w:tblPr>
        <w:tblW w:type="auto" w:w="0"/>
        <w:jc w:val="center"/>
        <w:tblLayout w:type="fixed"/>
        <w:tblLook w:firstColumn="1" w:firstRow="1" w:lastColumn="0" w:lastRow="0" w:noHBand="0" w:noVBand="1" w:val="04A0"/>
      </w:tblPr>
      <w:tblGrid>
        <w:gridCol w:w="8352"/>
      </w:tblGrid>
      <w:tr>
        <w:trPr>
          <w:cantSplit w:val="true"/>
        </w:trPr>
        <w:tc>
          <w:tcPr>
            <w:tcW w:type="dxa" w:w="8640"/>
            <w:shd w:fill="FFF7E6" w:val="clear"/>
            <w:tcBorders>
              <w:top w:val="single" w:sz="6" w:color="9EBAD0"/>
              <w:left w:val="single" w:sz="6" w:color="9EBAD0"/>
              <w:bottom w:val="single" w:sz="6" w:color="9EBAD0"/>
              <w:right w:val="single" w:sz="6" w:color="9EBAD0"/>
              <w:insideH w:val="single" w:sz="6" w:color="9EBAD0"/>
              <w:insideV w:val="single" w:sz="6" w:color="9EBAD0"/>
            </w:tcBorders>
            <w:vAlign w:val="center"/>
          </w:tcPr>
          <w:p>
            <w:pPr>
              <w:spacing w:before="100" w:after="100"/>
              <w:jc w:val="left"/>
            </w:pPr>
            <w:r>
              <w:rPr>
                <w:rFonts w:ascii="Aptos" w:hAnsi="Aptos"/>
                <w:b/>
                <w:color w:val="17365D"/>
                <w:sz w:val="19"/>
              </w:rPr>
              <w:t>STUDENT-FACING EXAM PREPARATION MATERIAL</w:t>
            </w:r>
            <w:r>
              <w:rPr>
                <w:rFonts w:ascii="Aptos" w:hAnsi="Aptos"/>
                <w:color w:val="1F2937"/>
                <w:sz w:val="18"/>
              </w:rPr>
              <w:br/>
              <w:t>All practice questions are original CTA items and are not actual licensing-examination questions.</w:t>
            </w:r>
          </w:p>
        </w:tc>
      </w:tr>
    </w:tbl>
    <w:tbl>
      <w:tblPr>
        <w:tblW w:type="auto" w:w="0"/>
        <w:jc w:val="center"/>
        <w:tblLayout w:type="autofit"/>
        <w:tblLook w:firstColumn="1" w:firstRow="1" w:lastColumn="0" w:lastRow="0" w:noHBand="0" w:noVBand="1" w:val="04A0"/>
      </w:tblPr>
      <w:tblGrid>
        <w:gridCol w:w="10080"/>
      </w:tblGrid>
      <w:tr>
        <w:trPr>
          <w:cantSplit w:val="true"/>
        </w:trPr>
        <w:tc>
          <w:tcPr>
            <w:tcW w:type="dxa" w:w="10080"/>
            <w:shd w:fill="EAF5F8" w:val="clear"/>
            <w:tcBorders>
              <w:top w:val="single" w:sz="6" w:color="A7BDC6"/>
              <w:left w:val="single" w:sz="6" w:color="A7BDC6"/>
              <w:bottom w:val="single" w:sz="6" w:color="A7BDC6"/>
              <w:right w:val="single" w:sz="6" w:color="A7BDC6"/>
              <w:insideH w:val="single" w:sz="6" w:color="A7BDC6"/>
              <w:insideV w:val="single" w:sz="6" w:color="A7BDC6"/>
            </w:tcBorders>
            <w:vAlign w:val="center"/>
          </w:tcPr>
          <w:p>
            <w:pPr>
              <w:spacing w:before="100" w:after="100"/>
              <w:jc w:val="left"/>
            </w:pPr>
            <w:r>
              <w:rPr>
                <w:rFonts w:ascii="Aptos" w:hAnsi="Aptos"/>
                <w:b/>
                <w:color w:val="17365D"/>
                <w:sz w:val="19"/>
              </w:rPr>
              <w:t>EDUCATIONAL, NON-AFFILIATION, AND SCOPE NOTICE</w:t>
            </w:r>
            <w:r>
              <w:rPr>
                <w:rFonts w:ascii="Aptos" w:hAnsi="Aptos"/>
                <w:color w:val="1F2937"/>
                <w:sz w:val="18"/>
              </w:rPr>
              <w:br/>
              <w:t>This workbook is an independent educational resource developed by Clinical Training and Supervision Academy. CTA is not affiliated with, endorsed by, or sponsored by the California Board of Behavioral Sciences, Pearson VUE, the Association of Social Work Boards, or any other licensing or testing organization. Completion does not guarantee examination passage. The material is not legal advice, clinical supervision, diagnosis, treatment, or a substitute for consultation with qualified legal, clinical, regulatory, or professional experts. Examination specifications and rules may change; consult current official sources before registering or testing.</w:t>
            </w:r>
          </w:p>
        </w:tc>
      </w:tr>
    </w:tbl>
    <w:p>
      <w:pPr>
        <w:spacing w:before="240"/>
        <w:jc w:val="center"/>
      </w:pPr>
      <w:r>
        <w:rPr>
          <w:b/>
          <w:i w:val="0"/>
          <w:color w:val="17365D"/>
          <w:sz w:val="22"/>
        </w:rPr>
        <w:t>Clinical Training Academy</w:t>
      </w:r>
    </w:p>
    <w:p>
      <w:r>
        <w:br w:type="page"/>
      </w:r>
    </w:p>
    <w:p>
      <w:pPr>
        <w:pStyle w:val="Heading1"/>
      </w:pPr>
      <w:r>
        <w:t>How to Use This Workbook</w:t>
      </w:r>
    </w:p>
    <w:p>
      <w:r>
        <w:rPr>
          <w:i w:val="0"/>
        </w:rPr>
        <w:t>This workbook develops the diagnostic-reasoning skills tested in the LMFT Clinical Examination. Read the content in order, complete the worked examples before reviewing the explanations, and finish the 10-item Knowledge Check without consulting the answer key. The emphasis is not memorizing isolated labels. It is recognizing patterns, using chronology, considering exclusions, and knowing when the available information supports a working diagnosis, a provisional diagnosis, an active differential, consultation, or additional assessment.</w:t>
      </w:r>
    </w:p>
    <w:tbl>
      <w:tblPr>
        <w:tblW w:type="auto" w:w="0"/>
        <w:jc w:val="center"/>
        <w:tblLayout w:type="fixed"/>
        <w:tblLook w:firstColumn="1" w:firstRow="1" w:lastColumn="0" w:lastRow="0" w:noHBand="0" w:noVBand="1" w:val="04A0"/>
      </w:tblPr>
      <w:tblGrid>
        <w:gridCol w:w="9936"/>
      </w:tblGrid>
      <w:tr>
        <w:trPr>
          <w:cantSplit/>
        </w:trPr>
        <w:tc>
          <w:tcPr>
            <w:tcW w:type="dxa" w:w="10080"/>
            <w:shd w:fill="FFF4D6"/>
            <w:tcMar>
              <w:top w:w="160" w:type="dxa"/>
              <w:start w:w="180" w:type="dxa"/>
              <w:bottom w:w="160" w:type="dxa"/>
              <w:end w:w="180" w:type="dxa"/>
            </w:tcMar>
            <w:vAlign w:val="center"/>
          </w:tcPr>
          <w:p>
            <w:pPr>
              <w:spacing w:after="80"/>
            </w:pPr>
            <w:r>
              <w:rPr>
                <w:b/>
                <w:i w:val="0"/>
                <w:color w:val="C17C00"/>
              </w:rPr>
              <w:t>Scope of This Workbook</w:t>
            </w:r>
          </w:p>
          <w:p>
            <w:pPr>
              <w:spacing w:after="0"/>
            </w:pPr>
            <w:r>
              <w:t>The diagnostic summaries are exam-preparation explanations, not complete DSM criteria. Use the current diagnostic manual and applicable clinical standards for actual practice.</w:t>
            </w:r>
          </w:p>
        </w:tc>
      </w:tr>
    </w:tbl>
    <w:p>
      <w:pPr>
        <w:spacing w:after="0"/>
      </w:pPr>
    </w:p>
    <w:p>
      <w:pPr>
        <w:pStyle w:val="Heading1"/>
      </w:pPr>
      <w:r>
        <w:t>Learning Objectives</w:t>
      </w:r>
    </w:p>
    <w:p>
      <w:pPr>
        <w:pStyle w:val="ListBullet"/>
      </w:pPr>
      <w:r>
        <w:t>Apply a diagnostic-reasoning sequence that begins with safety, urgent medical concerns, substance effects, and the client's ability to participate.</w:t>
      </w:r>
    </w:p>
    <w:p>
      <w:pPr>
        <w:pStyle w:val="ListBullet"/>
      </w:pPr>
      <w:r>
        <w:t>Distinguish working, provisional, differential, rule-out, and contextual formulations and use a level of certainty supported by the available evidence.</w:t>
      </w:r>
    </w:p>
    <w:p>
      <w:pPr>
        <w:pStyle w:val="ListBullet"/>
      </w:pPr>
      <w:r>
        <w:t>Compare symptom pattern, duration, severity, impairment, chronology, and exclusions across common diagnostic families.</w:t>
      </w:r>
    </w:p>
    <w:p>
      <w:pPr>
        <w:pStyle w:val="ListBullet"/>
      </w:pPr>
      <w:r>
        <w:t>Integrate developmental, cultural, relational, and environmental information without pathologizing identity, diagnosing an unassessed person, or replacing diagnostic evidence with context alone.</w:t>
      </w:r>
    </w:p>
    <w:p>
      <w:pPr>
        <w:pStyle w:val="ListBullet"/>
      </w:pPr>
      <w:r>
        <w:t>Select the best FIRST or NEXT step when additional assessment, collateral information, medical or psychiatric consultation, or specialized evaluation is needed.</w:t>
      </w:r>
    </w:p>
    <w:p>
      <w:pPr>
        <w:pStyle w:val="Heading1"/>
      </w:pPr>
      <w:r>
        <w:t>Why This Topic Matters</w:t>
      </w:r>
    </w:p>
    <w:p>
      <w:r>
        <w:rPr>
          <w:i w:val="0"/>
        </w:rPr>
        <w:t>Diagnosis organizes treatment, communication, referrals, level-of-care decisions, and clinical documentation. On the exam, however, the most serious-sounding diagnosis is not automatically the best answer. The strongest response explains the whole pattern with the fewest unsupported assumptions and remains open to revision when essential facts are missing.</w:t>
      </w:r>
    </w:p>
    <w:tbl>
      <w:tblPr>
        <w:tblW w:type="auto" w:w="0"/>
        <w:jc w:val="center"/>
        <w:tblLayout w:type="fixed"/>
        <w:tblLook w:firstColumn="1" w:firstRow="1" w:lastColumn="0" w:lastRow="0" w:noHBand="0" w:noVBand="1" w:val="04A0"/>
      </w:tblPr>
      <w:tblGrid>
        <w:gridCol w:w="9936"/>
      </w:tblGrid>
      <w:tr>
        <w:trPr>
          <w:cantSplit/>
        </w:trPr>
        <w:tc>
          <w:tcPr>
            <w:tcW w:type="dxa" w:w="10080"/>
            <w:shd w:fill="EAF3F8"/>
            <w:tcMar>
              <w:top w:w="160" w:type="dxa"/>
              <w:start w:w="180" w:type="dxa"/>
              <w:bottom w:w="160" w:type="dxa"/>
              <w:end w:w="180" w:type="dxa"/>
            </w:tcMar>
            <w:vAlign w:val="center"/>
          </w:tcPr>
          <w:p>
            <w:pPr>
              <w:spacing w:after="80"/>
            </w:pPr>
            <w:r>
              <w:rPr>
                <w:b/>
                <w:i w:val="0"/>
                <w:color w:val="1F4E78"/>
              </w:rPr>
              <w:t>Core Exam Principle</w:t>
            </w:r>
          </w:p>
          <w:p>
            <w:pPr>
              <w:spacing w:after="0"/>
            </w:pPr>
            <w:r>
              <w:t>A diagnosis is supported by a pattern—not by one dramatic symptom, a prior chart label, a family member’s opinion, or the therapist’s first impression.</w:t>
            </w:r>
          </w:p>
        </w:tc>
      </w:tr>
    </w:tbl>
    <w:p>
      <w:pPr>
        <w:spacing w:after="0"/>
      </w:pPr>
    </w:p>
    <w:p>
      <w:pPr>
        <w:pStyle w:val="Heading1"/>
      </w:pPr>
      <w:r>
        <w:t>1. The Diagnostic Reasoning Sequence</w:t>
      </w:r>
    </w:p>
    <w:tbl>
      <w:tblPr>
        <w:tblStyle w:val="TableGrid"/>
        <w:tblW w:type="auto" w:w="0"/>
        <w:jc w:val="center"/>
        <w:tblLayout w:type="fixed"/>
        <w:tblLook w:firstColumn="1" w:firstRow="1" w:lastColumn="0" w:lastRow="0" w:noHBand="0" w:noVBand="1" w:val="04A0"/>
      </w:tblPr>
      <w:tblGrid>
        <w:gridCol w:w="1944"/>
        <w:gridCol w:w="7992"/>
      </w:tblGrid>
      <w:tr>
        <w:trPr>
          <w:tblHeader w:val="true"/>
          <w:cantSplit/>
        </w:trPr>
        <w:tc>
          <w:tcPr>
            <w:tcW w:type="dxa" w:w="5040"/>
            <w:shd w:fill="17365D"/>
            <w:tcMar>
              <w:top w:w="100" w:type="dxa"/>
              <w:start w:w="120" w:type="dxa"/>
              <w:bottom w:w="100" w:type="dxa"/>
              <w:end w:w="120" w:type="dxa"/>
            </w:tcMar>
          </w:tcPr>
          <w:p>
            <w:pPr>
              <w:spacing w:after="0"/>
            </w:pPr>
            <w:r>
              <w:rPr>
                <w:b/>
                <w:color w:val="FFFFFF"/>
                <w:sz w:val="18"/>
              </w:rPr>
              <w:t>Step</w:t>
            </w:r>
          </w:p>
        </w:tc>
        <w:tc>
          <w:tcPr>
            <w:tcW w:type="dxa" w:w="5040"/>
            <w:shd w:fill="17365D"/>
            <w:tcMar>
              <w:top w:w="100" w:type="dxa"/>
              <w:start w:w="120" w:type="dxa"/>
              <w:bottom w:w="100" w:type="dxa"/>
              <w:end w:w="120" w:type="dxa"/>
            </w:tcMar>
          </w:tcPr>
          <w:p>
            <w:pPr>
              <w:spacing w:after="0"/>
            </w:pPr>
            <w:r>
              <w:rPr>
                <w:b/>
                <w:color w:val="FFFFFF"/>
                <w:sz w:val="18"/>
              </w:rPr>
              <w:t>Question to Ask</w:t>
            </w:r>
          </w:p>
        </w:tc>
      </w:tr>
      <w:tr>
        <w:trPr>
          <w:cantSplit/>
        </w:trPr>
        <w:tc>
          <w:tcPr>
            <w:tcW w:type="dxa" w:w="1944"/>
            <w:tcMar>
              <w:top w:w="100" w:type="dxa"/>
              <w:start w:w="120" w:type="dxa"/>
              <w:bottom w:w="100" w:type="dxa"/>
              <w:end w:w="120" w:type="dxa"/>
            </w:tcMar>
          </w:tcPr>
          <w:p>
            <w:pPr>
              <w:spacing w:after="0"/>
            </w:pPr>
            <w:r>
              <w:rPr>
                <w:sz w:val="18"/>
              </w:rPr>
              <w:t>1. Stabilize</w:t>
            </w:r>
          </w:p>
        </w:tc>
        <w:tc>
          <w:tcPr>
            <w:tcW w:type="dxa" w:w="7992"/>
            <w:tcMar>
              <w:top w:w="100" w:type="dxa"/>
              <w:start w:w="120" w:type="dxa"/>
              <w:bottom w:w="100" w:type="dxa"/>
              <w:end w:w="120" w:type="dxa"/>
            </w:tcMar>
          </w:tcPr>
          <w:p>
            <w:pPr>
              <w:spacing w:after="0"/>
            </w:pPr>
            <w:r>
              <w:rPr>
                <w:sz w:val="18"/>
              </w:rPr>
              <w:t>Is there immediate danger, severe intoxication or withdrawal, delirium, acute medical concern, or inability to participate?</w:t>
            </w:r>
          </w:p>
        </w:tc>
      </w:tr>
      <w:tr>
        <w:trPr>
          <w:cantSplit/>
        </w:trPr>
        <w:tc>
          <w:tcPr>
            <w:tcW w:type="dxa" w:w="1944"/>
            <w:tcMar>
              <w:top w:w="100" w:type="dxa"/>
              <w:start w:w="120" w:type="dxa"/>
              <w:bottom w:w="100" w:type="dxa"/>
              <w:end w:w="120" w:type="dxa"/>
            </w:tcMar>
            <w:shd w:fill="F7F8FA"/>
          </w:tcPr>
          <w:p>
            <w:pPr>
              <w:spacing w:after="0"/>
            </w:pPr>
            <w:r>
              <w:rPr>
                <w:sz w:val="18"/>
              </w:rPr>
              <w:t>2. Define the pattern</w:t>
            </w:r>
          </w:p>
        </w:tc>
        <w:tc>
          <w:tcPr>
            <w:tcW w:type="dxa" w:w="7992"/>
            <w:tcMar>
              <w:top w:w="100" w:type="dxa"/>
              <w:start w:w="120" w:type="dxa"/>
              <w:bottom w:w="100" w:type="dxa"/>
              <w:end w:w="120" w:type="dxa"/>
            </w:tcMar>
            <w:shd w:fill="F7F8FA"/>
          </w:tcPr>
          <w:p>
            <w:pPr>
              <w:spacing w:after="0"/>
            </w:pPr>
            <w:r>
              <w:rPr>
                <w:sz w:val="18"/>
              </w:rPr>
              <w:t>Which symptoms, behaviors, thoughts, emotions, physical experiences, and functional changes require explanation?</w:t>
            </w:r>
          </w:p>
        </w:tc>
      </w:tr>
      <w:tr>
        <w:trPr>
          <w:cantSplit/>
        </w:trPr>
        <w:tc>
          <w:tcPr>
            <w:tcW w:type="dxa" w:w="1944"/>
            <w:tcMar>
              <w:top w:w="100" w:type="dxa"/>
              <w:start w:w="120" w:type="dxa"/>
              <w:bottom w:w="100" w:type="dxa"/>
              <w:end w:w="120" w:type="dxa"/>
            </w:tcMar>
          </w:tcPr>
          <w:p>
            <w:pPr>
              <w:spacing w:after="0"/>
            </w:pPr>
            <w:r>
              <w:rPr>
                <w:sz w:val="18"/>
              </w:rPr>
              <w:t>3. Establish chronology</w:t>
            </w:r>
          </w:p>
        </w:tc>
        <w:tc>
          <w:tcPr>
            <w:tcW w:type="dxa" w:w="7992"/>
            <w:tcMar>
              <w:top w:w="100" w:type="dxa"/>
              <w:start w:w="120" w:type="dxa"/>
              <w:bottom w:w="100" w:type="dxa"/>
              <w:end w:w="120" w:type="dxa"/>
            </w:tcMar>
          </w:tcPr>
          <w:p>
            <w:pPr>
              <w:spacing w:after="0"/>
            </w:pPr>
            <w:r>
              <w:rPr>
                <w:sz w:val="18"/>
              </w:rPr>
              <w:t>What was the onset, duration, frequency, episode pattern, progression, trigger, and baseline?</w:t>
            </w:r>
          </w:p>
        </w:tc>
      </w:tr>
      <w:tr>
        <w:trPr>
          <w:cantSplit/>
        </w:trPr>
        <w:tc>
          <w:tcPr>
            <w:tcW w:type="dxa" w:w="1944"/>
            <w:tcMar>
              <w:top w:w="100" w:type="dxa"/>
              <w:start w:w="120" w:type="dxa"/>
              <w:bottom w:w="100" w:type="dxa"/>
              <w:end w:w="120" w:type="dxa"/>
            </w:tcMar>
            <w:shd w:fill="F7F8FA"/>
          </w:tcPr>
          <w:p>
            <w:pPr>
              <w:spacing w:after="0"/>
            </w:pPr>
            <w:r>
              <w:rPr>
                <w:sz w:val="18"/>
              </w:rPr>
              <w:t>4. Evaluate threshold</w:t>
            </w:r>
          </w:p>
        </w:tc>
        <w:tc>
          <w:tcPr>
            <w:tcW w:type="dxa" w:w="7992"/>
            <w:tcMar>
              <w:top w:w="100" w:type="dxa"/>
              <w:start w:w="120" w:type="dxa"/>
              <w:bottom w:w="100" w:type="dxa"/>
              <w:end w:w="120" w:type="dxa"/>
            </w:tcMar>
            <w:shd w:fill="F7F8FA"/>
          </w:tcPr>
          <w:p>
            <w:pPr>
              <w:spacing w:after="0"/>
            </w:pPr>
            <w:r>
              <w:rPr>
                <w:sz w:val="18"/>
              </w:rPr>
              <w:t>Is the pattern clinically significant in intensity, persistence, distress, impairment, or danger?</w:t>
            </w:r>
          </w:p>
        </w:tc>
      </w:tr>
      <w:tr>
        <w:trPr>
          <w:cantSplit/>
        </w:trPr>
        <w:tc>
          <w:tcPr>
            <w:tcW w:type="dxa" w:w="1944"/>
            <w:tcMar>
              <w:top w:w="100" w:type="dxa"/>
              <w:start w:w="120" w:type="dxa"/>
              <w:bottom w:w="100" w:type="dxa"/>
              <w:end w:w="120" w:type="dxa"/>
            </w:tcMar>
          </w:tcPr>
          <w:p>
            <w:pPr>
              <w:spacing w:after="0"/>
            </w:pPr>
            <w:r>
              <w:rPr>
                <w:sz w:val="18"/>
              </w:rPr>
              <w:t>5. Consider exclusions</w:t>
            </w:r>
          </w:p>
        </w:tc>
        <w:tc>
          <w:tcPr>
            <w:tcW w:type="dxa" w:w="7992"/>
            <w:tcMar>
              <w:top w:w="100" w:type="dxa"/>
              <w:start w:w="120" w:type="dxa"/>
              <w:bottom w:w="100" w:type="dxa"/>
              <w:end w:w="120" w:type="dxa"/>
            </w:tcMar>
          </w:tcPr>
          <w:p>
            <w:pPr>
              <w:spacing w:after="0"/>
            </w:pPr>
            <w:r>
              <w:rPr>
                <w:sz w:val="18"/>
              </w:rPr>
              <w:t>Could illness, injury, medication, substance use, sleep loss, development, grief, trauma, culture, or environment better explain the presentation?</w:t>
            </w:r>
          </w:p>
        </w:tc>
      </w:tr>
      <w:tr>
        <w:trPr>
          <w:cantSplit/>
        </w:trPr>
        <w:tc>
          <w:tcPr>
            <w:tcW w:type="dxa" w:w="1944"/>
            <w:tcMar>
              <w:top w:w="100" w:type="dxa"/>
              <w:start w:w="120" w:type="dxa"/>
              <w:bottom w:w="100" w:type="dxa"/>
              <w:end w:w="120" w:type="dxa"/>
            </w:tcMar>
            <w:shd w:fill="F7F8FA"/>
          </w:tcPr>
          <w:p>
            <w:pPr>
              <w:spacing w:after="0"/>
            </w:pPr>
            <w:r>
              <w:rPr>
                <w:sz w:val="18"/>
              </w:rPr>
              <w:t>6. Compare plausible diagnoses</w:t>
            </w:r>
          </w:p>
        </w:tc>
        <w:tc>
          <w:tcPr>
            <w:tcW w:type="dxa" w:w="7992"/>
            <w:tcMar>
              <w:top w:w="100" w:type="dxa"/>
              <w:start w:w="120" w:type="dxa"/>
              <w:bottom w:w="100" w:type="dxa"/>
              <w:end w:w="120" w:type="dxa"/>
            </w:tcMar>
            <w:shd w:fill="F7F8FA"/>
          </w:tcPr>
          <w:p>
            <w:pPr>
              <w:spacing w:after="0"/>
            </w:pPr>
            <w:r>
              <w:rPr>
                <w:sz w:val="18"/>
              </w:rPr>
              <w:t>Which alternatives fit, and what information would distinguish them?</w:t>
            </w:r>
          </w:p>
        </w:tc>
      </w:tr>
      <w:tr>
        <w:trPr>
          <w:cantSplit/>
        </w:trPr>
        <w:tc>
          <w:tcPr>
            <w:tcW w:type="dxa" w:w="1944"/>
            <w:tcMar>
              <w:top w:w="100" w:type="dxa"/>
              <w:start w:w="120" w:type="dxa"/>
              <w:bottom w:w="100" w:type="dxa"/>
              <w:end w:w="120" w:type="dxa"/>
            </w:tcMar>
          </w:tcPr>
          <w:p>
            <w:pPr>
              <w:spacing w:after="0"/>
            </w:pPr>
            <w:r>
              <w:rPr>
                <w:sz w:val="18"/>
              </w:rPr>
              <w:t>7. Integrate context</w:t>
            </w:r>
          </w:p>
        </w:tc>
        <w:tc>
          <w:tcPr>
            <w:tcW w:type="dxa" w:w="7992"/>
            <w:tcMar>
              <w:top w:w="100" w:type="dxa"/>
              <w:start w:w="120" w:type="dxa"/>
              <w:bottom w:w="100" w:type="dxa"/>
              <w:end w:w="120" w:type="dxa"/>
            </w:tcMar>
          </w:tcPr>
          <w:p>
            <w:pPr>
              <w:spacing w:after="0"/>
            </w:pPr>
            <w:r>
              <w:rPr>
                <w:sz w:val="18"/>
              </w:rPr>
              <w:t>How do couple, family, parenting, caregiving, housing, work, culture, and other relational factors affect meaning and functioning?</w:t>
            </w:r>
          </w:p>
        </w:tc>
      </w:tr>
      <w:tr>
        <w:trPr>
          <w:cantSplit/>
        </w:trPr>
        <w:tc>
          <w:tcPr>
            <w:tcW w:type="dxa" w:w="1944"/>
            <w:tcMar>
              <w:top w:w="100" w:type="dxa"/>
              <w:start w:w="120" w:type="dxa"/>
              <w:bottom w:w="100" w:type="dxa"/>
              <w:end w:w="120" w:type="dxa"/>
            </w:tcMar>
            <w:shd w:fill="F7F8FA"/>
          </w:tcPr>
          <w:p>
            <w:pPr>
              <w:spacing w:after="0"/>
            </w:pPr>
            <w:r>
              <w:rPr>
                <w:sz w:val="18"/>
              </w:rPr>
              <w:t>8. State the status</w:t>
            </w:r>
          </w:p>
        </w:tc>
        <w:tc>
          <w:tcPr>
            <w:tcW w:type="dxa" w:w="7992"/>
            <w:tcMar>
              <w:top w:w="100" w:type="dxa"/>
              <w:start w:w="120" w:type="dxa"/>
              <w:bottom w:w="100" w:type="dxa"/>
              <w:end w:w="120" w:type="dxa"/>
            </w:tcMar>
            <w:shd w:fill="F7F8FA"/>
          </w:tcPr>
          <w:p>
            <w:pPr>
              <w:spacing w:after="0"/>
            </w:pPr>
            <w:r>
              <w:rPr>
                <w:sz w:val="18"/>
              </w:rPr>
              <w:t>Does the evidence support a working diagnosis, provisional diagnosis, active differential, contextual focus, or referral for further evaluation?</w:t>
            </w:r>
          </w:p>
        </w:tc>
      </w:tr>
      <w:tr>
        <w:trPr>
          <w:cantSplit/>
        </w:trPr>
        <w:tc>
          <w:tcPr>
            <w:tcW w:type="dxa" w:w="1944"/>
            <w:tcMar>
              <w:top w:w="100" w:type="dxa"/>
              <w:start w:w="120" w:type="dxa"/>
              <w:bottom w:w="100" w:type="dxa"/>
              <w:end w:w="120" w:type="dxa"/>
            </w:tcMar>
          </w:tcPr>
          <w:p>
            <w:pPr>
              <w:spacing w:after="0"/>
            </w:pPr>
            <w:r>
              <w:rPr>
                <w:sz w:val="18"/>
              </w:rPr>
              <w:t>9. Reassess</w:t>
            </w:r>
          </w:p>
        </w:tc>
        <w:tc>
          <w:tcPr>
            <w:tcW w:type="dxa" w:w="7992"/>
            <w:tcMar>
              <w:top w:w="100" w:type="dxa"/>
              <w:start w:w="120" w:type="dxa"/>
              <w:bottom w:w="100" w:type="dxa"/>
              <w:end w:w="120" w:type="dxa"/>
            </w:tcMar>
          </w:tcPr>
          <w:p>
            <w:pPr>
              <w:spacing w:after="0"/>
            </w:pPr>
            <w:r>
              <w:rPr>
                <w:sz w:val="18"/>
              </w:rPr>
              <w:t>Does new information strengthen, weaken, or replace the original impression?</w:t>
            </w:r>
          </w:p>
        </w:tc>
      </w:tr>
    </w:tbl>
    <w:p>
      <w:pPr>
        <w:spacing w:after="0"/>
      </w:pPr>
    </w:p>
    <w:p>
      <w:pPr>
        <w:pStyle w:val="Heading1"/>
      </w:pPr>
      <w:r>
        <w:t>2. Diagnostic Status Terms</w:t>
      </w:r>
    </w:p>
    <w:tbl>
      <w:tblPr>
        <w:tblStyle w:val="TableGrid"/>
        <w:tblW w:type="auto" w:w="0"/>
        <w:jc w:val="center"/>
        <w:tblLayout w:type="fixed"/>
        <w:tblLook w:firstColumn="1" w:firstRow="1" w:lastColumn="0" w:lastRow="0" w:noHBand="0" w:noVBand="1" w:val="04A0"/>
      </w:tblPr>
      <w:tblGrid>
        <w:gridCol w:w="2880"/>
        <w:gridCol w:w="7056"/>
      </w:tblGrid>
      <w:tr>
        <w:trPr>
          <w:tblHeader w:val="true"/>
          <w:cantSplit/>
        </w:trPr>
        <w:tc>
          <w:tcPr>
            <w:tcW w:type="dxa" w:w="5040"/>
            <w:shd w:fill="17365D"/>
            <w:tcMar>
              <w:top w:w="100" w:type="dxa"/>
              <w:start w:w="120" w:type="dxa"/>
              <w:bottom w:w="100" w:type="dxa"/>
              <w:end w:w="120" w:type="dxa"/>
            </w:tcMar>
          </w:tcPr>
          <w:p>
            <w:pPr>
              <w:spacing w:after="0"/>
            </w:pPr>
            <w:r>
              <w:rPr>
                <w:b/>
                <w:color w:val="FFFFFF"/>
                <w:sz w:val="18"/>
              </w:rPr>
              <w:t>Term</w:t>
            </w:r>
          </w:p>
        </w:tc>
        <w:tc>
          <w:tcPr>
            <w:tcW w:type="dxa" w:w="5040"/>
            <w:shd w:fill="17365D"/>
            <w:tcMar>
              <w:top w:w="100" w:type="dxa"/>
              <w:start w:w="120" w:type="dxa"/>
              <w:bottom w:w="100" w:type="dxa"/>
              <w:end w:w="120" w:type="dxa"/>
            </w:tcMar>
          </w:tcPr>
          <w:p>
            <w:pPr>
              <w:spacing w:after="0"/>
            </w:pPr>
            <w:r>
              <w:rPr>
                <w:b/>
                <w:color w:val="FFFFFF"/>
                <w:sz w:val="18"/>
              </w:rPr>
              <w:t>Exam-Level Meaning</w:t>
            </w:r>
          </w:p>
        </w:tc>
      </w:tr>
      <w:tr>
        <w:trPr>
          <w:cantSplit/>
        </w:trPr>
        <w:tc>
          <w:tcPr>
            <w:tcW w:type="dxa" w:w="2880"/>
            <w:tcMar>
              <w:top w:w="100" w:type="dxa"/>
              <w:start w:w="120" w:type="dxa"/>
              <w:bottom w:w="100" w:type="dxa"/>
              <w:end w:w="120" w:type="dxa"/>
            </w:tcMar>
          </w:tcPr>
          <w:p>
            <w:pPr>
              <w:spacing w:after="0"/>
            </w:pPr>
            <w:r>
              <w:rPr>
                <w:sz w:val="18"/>
              </w:rPr>
              <w:t>Working diagnosis</w:t>
            </w:r>
          </w:p>
        </w:tc>
        <w:tc>
          <w:tcPr>
            <w:tcW w:type="dxa" w:w="7056"/>
            <w:tcMar>
              <w:top w:w="100" w:type="dxa"/>
              <w:start w:w="120" w:type="dxa"/>
              <w:bottom w:w="100" w:type="dxa"/>
              <w:end w:w="120" w:type="dxa"/>
            </w:tcMar>
          </w:tcPr>
          <w:p>
            <w:pPr>
              <w:spacing w:after="0"/>
            </w:pPr>
            <w:r>
              <w:rPr>
                <w:sz w:val="18"/>
              </w:rPr>
              <w:t>The current best explanation used to organize assessment or treatment while remaining open to revision.</w:t>
            </w:r>
          </w:p>
        </w:tc>
      </w:tr>
      <w:tr>
        <w:trPr>
          <w:cantSplit/>
        </w:trPr>
        <w:tc>
          <w:tcPr>
            <w:tcW w:type="dxa" w:w="2880"/>
            <w:tcMar>
              <w:top w:w="100" w:type="dxa"/>
              <w:start w:w="120" w:type="dxa"/>
              <w:bottom w:w="100" w:type="dxa"/>
              <w:end w:w="120" w:type="dxa"/>
            </w:tcMar>
            <w:shd w:fill="F7F8FA"/>
          </w:tcPr>
          <w:p>
            <w:pPr>
              <w:spacing w:after="0"/>
            </w:pPr>
            <w:r>
              <w:rPr>
                <w:sz w:val="18"/>
              </w:rPr>
              <w:t>Provisional diagnosis</w:t>
            </w:r>
          </w:p>
        </w:tc>
        <w:tc>
          <w:tcPr>
            <w:tcW w:type="dxa" w:w="7056"/>
            <w:tcMar>
              <w:top w:w="100" w:type="dxa"/>
              <w:start w:w="120" w:type="dxa"/>
              <w:bottom w:w="100" w:type="dxa"/>
              <w:end w:w="120" w:type="dxa"/>
            </w:tcMar>
            <w:shd w:fill="F7F8FA"/>
          </w:tcPr>
          <w:p>
            <w:pPr>
              <w:spacing w:after="0"/>
            </w:pPr>
            <w:r>
              <w:rPr>
                <w:sz w:val="18"/>
              </w:rPr>
              <w:t>The presentation appears to fit, but confirmation, duration, history, or exclusion information is still pending.</w:t>
            </w:r>
          </w:p>
        </w:tc>
      </w:tr>
      <w:tr>
        <w:trPr>
          <w:cantSplit/>
        </w:trPr>
        <w:tc>
          <w:tcPr>
            <w:tcW w:type="dxa" w:w="2880"/>
            <w:tcMar>
              <w:top w:w="100" w:type="dxa"/>
              <w:start w:w="120" w:type="dxa"/>
              <w:bottom w:w="100" w:type="dxa"/>
              <w:end w:w="120" w:type="dxa"/>
            </w:tcMar>
          </w:tcPr>
          <w:p>
            <w:pPr>
              <w:spacing w:after="0"/>
            </w:pPr>
            <w:r>
              <w:rPr>
                <w:sz w:val="18"/>
              </w:rPr>
              <w:t>Differential diagnosis</w:t>
            </w:r>
          </w:p>
        </w:tc>
        <w:tc>
          <w:tcPr>
            <w:tcW w:type="dxa" w:w="7056"/>
            <w:tcMar>
              <w:top w:w="100" w:type="dxa"/>
              <w:start w:w="120" w:type="dxa"/>
              <w:bottom w:w="100" w:type="dxa"/>
              <w:end w:w="120" w:type="dxa"/>
            </w:tcMar>
          </w:tcPr>
          <w:p>
            <w:pPr>
              <w:spacing w:after="0"/>
            </w:pPr>
            <w:r>
              <w:rPr>
                <w:sz w:val="18"/>
              </w:rPr>
              <w:t>Two or more plausible explanations are compared using information that can separate them.</w:t>
            </w:r>
          </w:p>
        </w:tc>
      </w:tr>
      <w:tr>
        <w:trPr>
          <w:cantSplit/>
        </w:trPr>
        <w:tc>
          <w:tcPr>
            <w:tcW w:type="dxa" w:w="2880"/>
            <w:tcMar>
              <w:top w:w="100" w:type="dxa"/>
              <w:start w:w="120" w:type="dxa"/>
              <w:bottom w:w="100" w:type="dxa"/>
              <w:end w:w="120" w:type="dxa"/>
            </w:tcMar>
            <w:shd w:fill="F7F8FA"/>
          </w:tcPr>
          <w:p>
            <w:pPr>
              <w:spacing w:after="0"/>
            </w:pPr>
            <w:r>
              <w:rPr>
                <w:sz w:val="18"/>
              </w:rPr>
              <w:t>Rule-out consideration</w:t>
            </w:r>
          </w:p>
        </w:tc>
        <w:tc>
          <w:tcPr>
            <w:tcW w:type="dxa" w:w="7056"/>
            <w:tcMar>
              <w:top w:w="100" w:type="dxa"/>
              <w:start w:w="120" w:type="dxa"/>
              <w:bottom w:w="100" w:type="dxa"/>
              <w:end w:w="120" w:type="dxa"/>
            </w:tcMar>
            <w:shd w:fill="F7F8FA"/>
          </w:tcPr>
          <w:p>
            <w:pPr>
              <w:spacing w:after="0"/>
            </w:pPr>
            <w:r>
              <w:rPr>
                <w:sz w:val="18"/>
              </w:rPr>
              <w:t>A possibility remains important enough to investigate but is not yet sufficiently supported.</w:t>
            </w:r>
          </w:p>
        </w:tc>
      </w:tr>
      <w:tr>
        <w:trPr>
          <w:cantSplit/>
        </w:trPr>
        <w:tc>
          <w:tcPr>
            <w:tcW w:type="dxa" w:w="2880"/>
            <w:tcMar>
              <w:top w:w="100" w:type="dxa"/>
              <w:start w:w="120" w:type="dxa"/>
              <w:bottom w:w="100" w:type="dxa"/>
              <w:end w:w="120" w:type="dxa"/>
            </w:tcMar>
          </w:tcPr>
          <w:p>
            <w:pPr>
              <w:spacing w:after="0"/>
            </w:pPr>
            <w:r>
              <w:rPr>
                <w:sz w:val="18"/>
              </w:rPr>
              <w:t>Contextual or relational condition</w:t>
            </w:r>
          </w:p>
        </w:tc>
        <w:tc>
          <w:tcPr>
            <w:tcW w:type="dxa" w:w="7056"/>
            <w:tcMar>
              <w:top w:w="100" w:type="dxa"/>
              <w:start w:w="120" w:type="dxa"/>
              <w:bottom w:w="100" w:type="dxa"/>
              <w:end w:w="120" w:type="dxa"/>
            </w:tcMar>
          </w:tcPr>
          <w:p>
            <w:pPr>
              <w:spacing w:after="0"/>
            </w:pPr>
            <w:r>
              <w:rPr>
                <w:sz w:val="18"/>
              </w:rPr>
              <w:t>A clinically significant problem may be the focus of care even when a mental-disorder diagnosis is not established.</w:t>
            </w:r>
          </w:p>
        </w:tc>
      </w:tr>
      <w:tr>
        <w:trPr>
          <w:cantSplit/>
        </w:trPr>
        <w:tc>
          <w:tcPr>
            <w:tcW w:type="dxa" w:w="2880"/>
            <w:tcMar>
              <w:top w:w="100" w:type="dxa"/>
              <w:start w:w="120" w:type="dxa"/>
              <w:bottom w:w="100" w:type="dxa"/>
              <w:end w:w="120" w:type="dxa"/>
            </w:tcMar>
            <w:shd w:fill="F7F8FA"/>
          </w:tcPr>
          <w:p>
            <w:pPr>
              <w:spacing w:after="0"/>
            </w:pPr>
            <w:r>
              <w:rPr>
                <w:sz w:val="18"/>
              </w:rPr>
              <w:t>Unspecified presentation</w:t>
            </w:r>
          </w:p>
        </w:tc>
        <w:tc>
          <w:tcPr>
            <w:tcW w:type="dxa" w:w="7056"/>
            <w:tcMar>
              <w:top w:w="100" w:type="dxa"/>
              <w:start w:w="120" w:type="dxa"/>
              <w:bottom w:w="100" w:type="dxa"/>
              <w:end w:w="120" w:type="dxa"/>
            </w:tcMar>
            <w:shd w:fill="F7F8FA"/>
          </w:tcPr>
          <w:p>
            <w:pPr>
              <w:spacing w:after="0"/>
            </w:pPr>
            <w:r>
              <w:rPr>
                <w:sz w:val="18"/>
              </w:rPr>
              <w:t>The clinical family is apparent, but available information is insufficient for a more specific label or specificity is not currently useful.</w:t>
            </w:r>
          </w:p>
        </w:tc>
      </w:tr>
    </w:tbl>
    <w:p>
      <w:pPr>
        <w:spacing w:after="0"/>
      </w:pPr>
    </w:p>
    <w:tbl>
      <w:tblPr>
        <w:tblW w:type="auto" w:w="0"/>
        <w:jc w:val="center"/>
        <w:tblLayout w:type="fixed"/>
        <w:tblLook w:firstColumn="1" w:firstRow="1" w:lastColumn="0" w:lastRow="0" w:noHBand="0" w:noVBand="1" w:val="04A0"/>
      </w:tblPr>
      <w:tblGrid>
        <w:gridCol w:w="9936"/>
      </w:tblGrid>
      <w:tr>
        <w:trPr>
          <w:cantSplit/>
        </w:trPr>
        <w:tc>
          <w:tcPr>
            <w:tcW w:type="dxa" w:w="10080"/>
            <w:shd w:fill="FFF4D6"/>
            <w:tcMar>
              <w:top w:w="160" w:type="dxa"/>
              <w:start w:w="180" w:type="dxa"/>
              <w:bottom w:w="160" w:type="dxa"/>
              <w:end w:w="180" w:type="dxa"/>
            </w:tcMar>
            <w:vAlign w:val="center"/>
          </w:tcPr>
          <w:p>
            <w:pPr>
              <w:spacing w:after="80"/>
            </w:pPr>
            <w:r>
              <w:rPr>
                <w:b/>
                <w:i w:val="0"/>
                <w:color w:val="C17C00"/>
              </w:rPr>
              <w:t>Common Trap</w:t>
            </w:r>
          </w:p>
          <w:p>
            <w:pPr>
              <w:spacing w:after="0"/>
            </w:pPr>
            <w:r>
              <w:t>“Provisional” does not mean guessing. It communicates that the current evidence points toward a diagnosis while the clinician verifies essential information.</w:t>
            </w:r>
          </w:p>
        </w:tc>
      </w:tr>
    </w:tbl>
    <w:p>
      <w:pPr>
        <w:spacing w:after="0"/>
      </w:pPr>
    </w:p>
    <w:p>
      <w:pPr>
        <w:pStyle w:val="Heading1"/>
      </w:pPr>
      <w:r>
        <w:t>3. Symptoms, Threshold, and Functional Meaning</w:t>
      </w:r>
    </w:p>
    <w:tbl>
      <w:tblPr>
        <w:tblStyle w:val="TableGrid"/>
        <w:tblW w:type="auto" w:w="0"/>
        <w:jc w:val="center"/>
        <w:tblLayout w:type="fixed"/>
        <w:tblLook w:firstColumn="1" w:firstRow="1" w:lastColumn="0" w:lastRow="0" w:noHBand="0" w:noVBand="1" w:val="04A0"/>
      </w:tblPr>
      <w:tblGrid>
        <w:gridCol w:w="2448"/>
        <w:gridCol w:w="7488"/>
      </w:tblGrid>
      <w:tr>
        <w:trPr>
          <w:tblHeader w:val="true"/>
          <w:cantSplit/>
        </w:trPr>
        <w:tc>
          <w:tcPr>
            <w:tcW w:type="dxa" w:w="5040"/>
            <w:shd w:fill="17365D"/>
            <w:tcMar>
              <w:top w:w="100" w:type="dxa"/>
              <w:start w:w="120" w:type="dxa"/>
              <w:bottom w:w="100" w:type="dxa"/>
              <w:end w:w="120" w:type="dxa"/>
            </w:tcMar>
          </w:tcPr>
          <w:p>
            <w:pPr>
              <w:spacing w:after="0"/>
            </w:pPr>
            <w:r>
              <w:rPr>
                <w:b/>
                <w:color w:val="FFFFFF"/>
                <w:sz w:val="18"/>
              </w:rPr>
              <w:t>Element</w:t>
            </w:r>
          </w:p>
        </w:tc>
        <w:tc>
          <w:tcPr>
            <w:tcW w:type="dxa" w:w="5040"/>
            <w:shd w:fill="17365D"/>
            <w:tcMar>
              <w:top w:w="100" w:type="dxa"/>
              <w:start w:w="120" w:type="dxa"/>
              <w:bottom w:w="100" w:type="dxa"/>
              <w:end w:w="120" w:type="dxa"/>
            </w:tcMar>
          </w:tcPr>
          <w:p>
            <w:pPr>
              <w:spacing w:after="0"/>
            </w:pPr>
            <w:r>
              <w:rPr>
                <w:b/>
                <w:color w:val="FFFFFF"/>
                <w:sz w:val="18"/>
              </w:rPr>
              <w:t>Diagnostic Question</w:t>
            </w:r>
          </w:p>
        </w:tc>
      </w:tr>
      <w:tr>
        <w:trPr>
          <w:cantSplit/>
        </w:trPr>
        <w:tc>
          <w:tcPr>
            <w:tcW w:type="dxa" w:w="2448"/>
            <w:tcMar>
              <w:top w:w="100" w:type="dxa"/>
              <w:start w:w="120" w:type="dxa"/>
              <w:bottom w:w="100" w:type="dxa"/>
              <w:end w:w="120" w:type="dxa"/>
            </w:tcMar>
          </w:tcPr>
          <w:p>
            <w:pPr>
              <w:spacing w:after="0"/>
            </w:pPr>
            <w:r>
              <w:rPr>
                <w:sz w:val="18"/>
              </w:rPr>
              <w:t>Symptom cluster</w:t>
            </w:r>
          </w:p>
        </w:tc>
        <w:tc>
          <w:tcPr>
            <w:tcW w:type="dxa" w:w="7488"/>
            <w:tcMar>
              <w:top w:w="100" w:type="dxa"/>
              <w:start w:w="120" w:type="dxa"/>
              <w:bottom w:w="100" w:type="dxa"/>
              <w:end w:w="120" w:type="dxa"/>
            </w:tcMar>
          </w:tcPr>
          <w:p>
            <w:pPr>
              <w:spacing w:after="0"/>
            </w:pPr>
            <w:r>
              <w:rPr>
                <w:sz w:val="18"/>
              </w:rPr>
              <w:t>Do the features belong together in a recognized clinical pattern, or are they isolated and nonspecific?</w:t>
            </w:r>
          </w:p>
        </w:tc>
      </w:tr>
      <w:tr>
        <w:trPr>
          <w:cantSplit/>
        </w:trPr>
        <w:tc>
          <w:tcPr>
            <w:tcW w:type="dxa" w:w="2448"/>
            <w:tcMar>
              <w:top w:w="100" w:type="dxa"/>
              <w:start w:w="120" w:type="dxa"/>
              <w:bottom w:w="100" w:type="dxa"/>
              <w:end w:w="120" w:type="dxa"/>
            </w:tcMar>
            <w:shd w:fill="F7F8FA"/>
          </w:tcPr>
          <w:p>
            <w:pPr>
              <w:spacing w:after="0"/>
            </w:pPr>
            <w:r>
              <w:rPr>
                <w:sz w:val="18"/>
              </w:rPr>
              <w:t>Duration and frequency</w:t>
            </w:r>
          </w:p>
        </w:tc>
        <w:tc>
          <w:tcPr>
            <w:tcW w:type="dxa" w:w="7488"/>
            <w:tcMar>
              <w:top w:w="100" w:type="dxa"/>
              <w:start w:w="120" w:type="dxa"/>
              <w:bottom w:w="100" w:type="dxa"/>
              <w:end w:w="120" w:type="dxa"/>
            </w:tcMar>
            <w:shd w:fill="F7F8FA"/>
          </w:tcPr>
          <w:p>
            <w:pPr>
              <w:spacing w:after="0"/>
            </w:pPr>
            <w:r>
              <w:rPr>
                <w:sz w:val="18"/>
              </w:rPr>
              <w:t>Has the pattern lasted long enough and occurred often enough to support the diagnosis under consideration?</w:t>
            </w:r>
          </w:p>
        </w:tc>
      </w:tr>
      <w:tr>
        <w:trPr>
          <w:cantSplit/>
        </w:trPr>
        <w:tc>
          <w:tcPr>
            <w:tcW w:type="dxa" w:w="2448"/>
            <w:tcMar>
              <w:top w:w="100" w:type="dxa"/>
              <w:start w:w="120" w:type="dxa"/>
              <w:bottom w:w="100" w:type="dxa"/>
              <w:end w:w="120" w:type="dxa"/>
            </w:tcMar>
          </w:tcPr>
          <w:p>
            <w:pPr>
              <w:spacing w:after="0"/>
            </w:pPr>
            <w:r>
              <w:rPr>
                <w:sz w:val="18"/>
              </w:rPr>
              <w:t>Severity</w:t>
            </w:r>
          </w:p>
        </w:tc>
        <w:tc>
          <w:tcPr>
            <w:tcW w:type="dxa" w:w="7488"/>
            <w:tcMar>
              <w:top w:w="100" w:type="dxa"/>
              <w:start w:w="120" w:type="dxa"/>
              <w:bottom w:w="100" w:type="dxa"/>
              <w:end w:w="120" w:type="dxa"/>
            </w:tcMar>
          </w:tcPr>
          <w:p>
            <w:pPr>
              <w:spacing w:after="0"/>
            </w:pPr>
            <w:r>
              <w:rPr>
                <w:sz w:val="18"/>
              </w:rPr>
              <w:t>How intense, disruptive, dangerous, or difficult to control is the presentation?</w:t>
            </w:r>
          </w:p>
        </w:tc>
      </w:tr>
      <w:tr>
        <w:trPr>
          <w:cantSplit/>
        </w:trPr>
        <w:tc>
          <w:tcPr>
            <w:tcW w:type="dxa" w:w="2448"/>
            <w:tcMar>
              <w:top w:w="100" w:type="dxa"/>
              <w:start w:w="120" w:type="dxa"/>
              <w:bottom w:w="100" w:type="dxa"/>
              <w:end w:w="120" w:type="dxa"/>
            </w:tcMar>
            <w:shd w:fill="F7F8FA"/>
          </w:tcPr>
          <w:p>
            <w:pPr>
              <w:spacing w:after="0"/>
            </w:pPr>
            <w:r>
              <w:rPr>
                <w:sz w:val="18"/>
              </w:rPr>
              <w:t>Distress</w:t>
            </w:r>
          </w:p>
        </w:tc>
        <w:tc>
          <w:tcPr>
            <w:tcW w:type="dxa" w:w="7488"/>
            <w:tcMar>
              <w:top w:w="100" w:type="dxa"/>
              <w:start w:w="120" w:type="dxa"/>
              <w:bottom w:w="100" w:type="dxa"/>
              <w:end w:w="120" w:type="dxa"/>
            </w:tcMar>
            <w:shd w:fill="F7F8FA"/>
          </w:tcPr>
          <w:p>
            <w:pPr>
              <w:spacing w:after="0"/>
            </w:pPr>
            <w:r>
              <w:rPr>
                <w:sz w:val="18"/>
              </w:rPr>
              <w:t>How does the client experience the symptoms, and is distress present, absent, minimized, or expressed differently?</w:t>
            </w:r>
          </w:p>
        </w:tc>
      </w:tr>
      <w:tr>
        <w:trPr>
          <w:cantSplit/>
        </w:trPr>
        <w:tc>
          <w:tcPr>
            <w:tcW w:type="dxa" w:w="2448"/>
            <w:tcMar>
              <w:top w:w="100" w:type="dxa"/>
              <w:start w:w="120" w:type="dxa"/>
              <w:bottom w:w="100" w:type="dxa"/>
              <w:end w:w="120" w:type="dxa"/>
            </w:tcMar>
          </w:tcPr>
          <w:p>
            <w:pPr>
              <w:spacing w:after="0"/>
            </w:pPr>
            <w:r>
              <w:rPr>
                <w:sz w:val="18"/>
              </w:rPr>
              <w:t>Impairment</w:t>
            </w:r>
          </w:p>
        </w:tc>
        <w:tc>
          <w:tcPr>
            <w:tcW w:type="dxa" w:w="7488"/>
            <w:tcMar>
              <w:top w:w="100" w:type="dxa"/>
              <w:start w:w="120" w:type="dxa"/>
              <w:bottom w:w="100" w:type="dxa"/>
              <w:end w:w="120" w:type="dxa"/>
            </w:tcMar>
          </w:tcPr>
          <w:p>
            <w:pPr>
              <w:spacing w:after="0"/>
            </w:pPr>
            <w:r>
              <w:rPr>
                <w:sz w:val="18"/>
              </w:rPr>
              <w:t>What changed in relationships, parenting, work, school, self-care, health, finances, or safety?</w:t>
            </w:r>
          </w:p>
        </w:tc>
      </w:tr>
      <w:tr>
        <w:trPr>
          <w:cantSplit/>
        </w:trPr>
        <w:tc>
          <w:tcPr>
            <w:tcW w:type="dxa" w:w="2448"/>
            <w:tcMar>
              <w:top w:w="100" w:type="dxa"/>
              <w:start w:w="120" w:type="dxa"/>
              <w:bottom w:w="100" w:type="dxa"/>
              <w:end w:w="120" w:type="dxa"/>
            </w:tcMar>
            <w:shd w:fill="F7F8FA"/>
          </w:tcPr>
          <w:p>
            <w:pPr>
              <w:spacing w:after="0"/>
            </w:pPr>
            <w:r>
              <w:rPr>
                <w:sz w:val="18"/>
              </w:rPr>
              <w:t>Pervasiveness</w:t>
            </w:r>
          </w:p>
        </w:tc>
        <w:tc>
          <w:tcPr>
            <w:tcW w:type="dxa" w:w="7488"/>
            <w:tcMar>
              <w:top w:w="100" w:type="dxa"/>
              <w:start w:w="120" w:type="dxa"/>
              <w:bottom w:w="100" w:type="dxa"/>
              <w:end w:w="120" w:type="dxa"/>
            </w:tcMar>
            <w:shd w:fill="F7F8FA"/>
          </w:tcPr>
          <w:p>
            <w:pPr>
              <w:spacing w:after="0"/>
            </w:pPr>
            <w:r>
              <w:rPr>
                <w:sz w:val="18"/>
              </w:rPr>
              <w:t>Is the pattern limited to one state or context, or longstanding across situations and relationships?</w:t>
            </w:r>
          </w:p>
        </w:tc>
      </w:tr>
      <w:tr>
        <w:trPr>
          <w:cantSplit/>
        </w:trPr>
        <w:tc>
          <w:tcPr>
            <w:tcW w:type="dxa" w:w="2448"/>
            <w:tcMar>
              <w:top w:w="100" w:type="dxa"/>
              <w:start w:w="120" w:type="dxa"/>
              <w:bottom w:w="100" w:type="dxa"/>
              <w:end w:w="120" w:type="dxa"/>
            </w:tcMar>
          </w:tcPr>
          <w:p>
            <w:pPr>
              <w:spacing w:after="0"/>
            </w:pPr>
            <w:r>
              <w:rPr>
                <w:sz w:val="18"/>
              </w:rPr>
              <w:t>Baseline and change</w:t>
            </w:r>
          </w:p>
        </w:tc>
        <w:tc>
          <w:tcPr>
            <w:tcW w:type="dxa" w:w="7488"/>
            <w:tcMar>
              <w:top w:w="100" w:type="dxa"/>
              <w:start w:w="120" w:type="dxa"/>
              <w:bottom w:w="100" w:type="dxa"/>
              <w:end w:w="120" w:type="dxa"/>
            </w:tcMar>
          </w:tcPr>
          <w:p>
            <w:pPr>
              <w:spacing w:after="0"/>
            </w:pPr>
            <w:r>
              <w:rPr>
                <w:sz w:val="18"/>
              </w:rPr>
              <w:t>Is this new, episodic, progressive, or consistent with longstanding functioning?</w:t>
            </w:r>
          </w:p>
        </w:tc>
      </w:tr>
    </w:tbl>
    <w:p>
      <w:pPr>
        <w:spacing w:after="0"/>
      </w:pPr>
    </w:p>
    <w:p>
      <w:pPr>
        <w:pStyle w:val="Heading1"/>
      </w:pPr>
      <w:r>
        <w:t>4. Chronology Is Often the Best Differential Tool</w:t>
      </w:r>
    </w:p>
    <w:p>
      <w:pPr>
        <w:pStyle w:val="ListBullet"/>
      </w:pPr>
      <w:r>
        <w:t>Did symptoms begin before, during, or after substance use, a medication change, illness, injury, childbirth, sleep loss, or a major stressor?</w:t>
      </w:r>
    </w:p>
    <w:p>
      <w:pPr>
        <w:pStyle w:val="ListBullet"/>
      </w:pPr>
      <w:r>
        <w:t>Are symptoms persistent, episodic, seasonal, situational, or tied to particular reminders, obsessions, relationships, or environments?</w:t>
      </w:r>
    </w:p>
    <w:p>
      <w:pPr>
        <w:pStyle w:val="ListBullet"/>
      </w:pPr>
      <w:r>
        <w:t>Was there a distinct period of unusually elevated or irritable mood with increased energy, or only chronic anxiety, agitation, and insomnia?</w:t>
      </w:r>
    </w:p>
    <w:p>
      <w:pPr>
        <w:pStyle w:val="ListBullet"/>
      </w:pPr>
      <w:r>
        <w:t>Did psychotic symptoms occur only during a mood episode, only during intoxication or withdrawal, or independently?</w:t>
      </w:r>
    </w:p>
    <w:p>
      <w:pPr>
        <w:pStyle w:val="ListBullet"/>
      </w:pPr>
      <w:r>
        <w:t>Were attention, social-communication, sensory, or behavioral differences present early in development and across settings, or did they begin recently?</w:t>
      </w:r>
    </w:p>
    <w:p>
      <w:pPr>
        <w:pStyle w:val="ListBullet"/>
      </w:pPr>
      <w:r>
        <w:t>Do personality-pattern concerns appear pervasive and longstanding, or are they better explained by trauma, mood state, substance use, or current danger?</w:t>
      </w:r>
    </w:p>
    <w:tbl>
      <w:tblPr>
        <w:tblW w:type="auto" w:w="0"/>
        <w:jc w:val="center"/>
        <w:tblLayout w:type="fixed"/>
        <w:tblLook w:firstColumn="1" w:firstRow="1" w:lastColumn="0" w:lastRow="0" w:noHBand="0" w:noVBand="1" w:val="04A0"/>
      </w:tblPr>
      <w:tblGrid>
        <w:gridCol w:w="9936"/>
      </w:tblGrid>
      <w:tr>
        <w:trPr>
          <w:cantSplit/>
        </w:trPr>
        <w:tc>
          <w:tcPr>
            <w:tcW w:type="dxa" w:w="10080"/>
            <w:shd w:fill="E7F5F4"/>
            <w:tcMar>
              <w:top w:w="160" w:type="dxa"/>
              <w:start w:w="180" w:type="dxa"/>
              <w:bottom w:w="160" w:type="dxa"/>
              <w:end w:w="180" w:type="dxa"/>
            </w:tcMar>
            <w:vAlign w:val="center"/>
          </w:tcPr>
          <w:p>
            <w:pPr>
              <w:spacing w:after="80"/>
            </w:pPr>
            <w:r>
              <w:rPr>
                <w:b/>
                <w:i w:val="0"/>
                <w:color w:val="0F7C82"/>
              </w:rPr>
              <w:t>Memory Rule</w:t>
            </w:r>
          </w:p>
          <w:p>
            <w:pPr>
              <w:spacing w:after="0"/>
            </w:pPr>
            <w:r>
              <w:t>The same symptom can point to different diagnoses depending on timing. Ask what came first, what changed, what happens during episodes, and what remains during baseline or abstinence.</w:t>
            </w:r>
          </w:p>
        </w:tc>
      </w:tr>
    </w:tbl>
    <w:p>
      <w:pPr>
        <w:spacing w:after="0"/>
      </w:pPr>
    </w:p>
    <w:p>
      <w:pPr>
        <w:pStyle w:val="Heading1"/>
      </w:pPr>
      <w:r>
        <w:t>5. Medical, Medication, Substance, and Sleep Rule-Outs</w:t>
      </w:r>
    </w:p>
    <w:tbl>
      <w:tblPr>
        <w:tblStyle w:val="TableGrid"/>
        <w:tblW w:type="auto" w:w="0"/>
        <w:jc w:val="center"/>
        <w:tblLayout w:type="fixed"/>
        <w:tblLook w:firstColumn="1" w:firstRow="1" w:lastColumn="0" w:lastRow="0" w:noHBand="0" w:noVBand="1" w:val="04A0"/>
      </w:tblPr>
      <w:tblGrid>
        <w:gridCol w:w="2448"/>
        <w:gridCol w:w="4968"/>
        <w:gridCol w:w="2520"/>
      </w:tblGrid>
      <w:tr>
        <w:trPr>
          <w:tblHeader w:val="true"/>
          <w:cantSplit/>
        </w:trPr>
        <w:tc>
          <w:tcPr>
            <w:tcW w:type="dxa" w:w="3360"/>
            <w:shd w:fill="17365D"/>
            <w:tcMar>
              <w:top w:w="100" w:type="dxa"/>
              <w:start w:w="120" w:type="dxa"/>
              <w:bottom w:w="100" w:type="dxa"/>
              <w:end w:w="120" w:type="dxa"/>
            </w:tcMar>
          </w:tcPr>
          <w:p>
            <w:pPr>
              <w:spacing w:after="0"/>
            </w:pPr>
            <w:r>
              <w:rPr>
                <w:b/>
                <w:color w:val="FFFFFF"/>
                <w:sz w:val="17"/>
              </w:rPr>
              <w:t>Possible Explanation</w:t>
            </w:r>
          </w:p>
        </w:tc>
        <w:tc>
          <w:tcPr>
            <w:tcW w:type="dxa" w:w="3360"/>
            <w:shd w:fill="17365D"/>
            <w:tcMar>
              <w:top w:w="100" w:type="dxa"/>
              <w:start w:w="120" w:type="dxa"/>
              <w:bottom w:w="100" w:type="dxa"/>
              <w:end w:w="120" w:type="dxa"/>
            </w:tcMar>
          </w:tcPr>
          <w:p>
            <w:pPr>
              <w:spacing w:after="0"/>
            </w:pPr>
            <w:r>
              <w:rPr>
                <w:b/>
                <w:color w:val="FFFFFF"/>
                <w:sz w:val="17"/>
              </w:rPr>
              <w:t>Clues to Assess</w:t>
            </w:r>
          </w:p>
        </w:tc>
        <w:tc>
          <w:tcPr>
            <w:tcW w:type="dxa" w:w="3360"/>
            <w:shd w:fill="17365D"/>
            <w:tcMar>
              <w:top w:w="100" w:type="dxa"/>
              <w:start w:w="120" w:type="dxa"/>
              <w:bottom w:w="100" w:type="dxa"/>
              <w:end w:w="120" w:type="dxa"/>
            </w:tcMar>
          </w:tcPr>
          <w:p>
            <w:pPr>
              <w:spacing w:after="0"/>
            </w:pPr>
            <w:r>
              <w:rPr>
                <w:b/>
                <w:color w:val="FFFFFF"/>
                <w:sz w:val="17"/>
              </w:rPr>
              <w:t>Best Direction</w:t>
            </w:r>
          </w:p>
        </w:tc>
      </w:tr>
      <w:tr>
        <w:trPr>
          <w:cantSplit/>
        </w:trPr>
        <w:tc>
          <w:tcPr>
            <w:tcW w:type="dxa" w:w="2448"/>
            <w:tcMar>
              <w:top w:w="100" w:type="dxa"/>
              <w:start w:w="120" w:type="dxa"/>
              <w:bottom w:w="100" w:type="dxa"/>
              <w:end w:w="120" w:type="dxa"/>
            </w:tcMar>
          </w:tcPr>
          <w:p>
            <w:pPr>
              <w:spacing w:after="0"/>
            </w:pPr>
            <w:r>
              <w:rPr>
                <w:sz w:val="17"/>
              </w:rPr>
              <w:t>Medical or neurologic contribution</w:t>
            </w:r>
          </w:p>
        </w:tc>
        <w:tc>
          <w:tcPr>
            <w:tcW w:type="dxa" w:w="4968"/>
            <w:tcMar>
              <w:top w:w="100" w:type="dxa"/>
              <w:start w:w="120" w:type="dxa"/>
              <w:bottom w:w="100" w:type="dxa"/>
              <w:end w:w="120" w:type="dxa"/>
            </w:tcMar>
          </w:tcPr>
          <w:p>
            <w:pPr>
              <w:spacing w:after="0"/>
            </w:pPr>
            <w:r>
              <w:rPr>
                <w:sz w:val="17"/>
              </w:rPr>
              <w:t>New confusion, seizure, head injury, endocrine or metabolic symptoms, infection, pain, pregnancy or postpartum change, or rapid change from baseline.</w:t>
            </w:r>
          </w:p>
        </w:tc>
        <w:tc>
          <w:tcPr>
            <w:tcW w:type="dxa" w:w="2520"/>
            <w:tcMar>
              <w:top w:w="100" w:type="dxa"/>
              <w:start w:w="120" w:type="dxa"/>
              <w:bottom w:w="100" w:type="dxa"/>
              <w:end w:w="120" w:type="dxa"/>
            </w:tcMar>
          </w:tcPr>
          <w:p>
            <w:pPr>
              <w:spacing w:after="0"/>
            </w:pPr>
            <w:r>
              <w:rPr>
                <w:sz w:val="17"/>
              </w:rPr>
              <w:t>Arrange medical or neurologic evaluation; do not assume a primary psychiatric disorder.</w:t>
            </w:r>
          </w:p>
        </w:tc>
      </w:tr>
      <w:tr>
        <w:trPr>
          <w:cantSplit/>
        </w:trPr>
        <w:tc>
          <w:tcPr>
            <w:tcW w:type="dxa" w:w="2448"/>
            <w:tcMar>
              <w:top w:w="100" w:type="dxa"/>
              <w:start w:w="120" w:type="dxa"/>
              <w:bottom w:w="100" w:type="dxa"/>
              <w:end w:w="120" w:type="dxa"/>
            </w:tcMar>
            <w:shd w:fill="F7F8FA"/>
          </w:tcPr>
          <w:p>
            <w:pPr>
              <w:spacing w:after="0"/>
            </w:pPr>
            <w:r>
              <w:rPr>
                <w:sz w:val="17"/>
              </w:rPr>
              <w:t>Medication effect</w:t>
            </w:r>
          </w:p>
        </w:tc>
        <w:tc>
          <w:tcPr>
            <w:tcW w:type="dxa" w:w="4968"/>
            <w:tcMar>
              <w:top w:w="100" w:type="dxa"/>
              <w:start w:w="120" w:type="dxa"/>
              <w:bottom w:w="100" w:type="dxa"/>
              <w:end w:w="120" w:type="dxa"/>
            </w:tcMar>
            <w:shd w:fill="F7F8FA"/>
          </w:tcPr>
          <w:p>
            <w:pPr>
              <w:spacing w:after="0"/>
            </w:pPr>
            <w:r>
              <w:rPr>
                <w:sz w:val="17"/>
              </w:rPr>
              <w:t>Symptoms begin or intensify after a start, stop, dose change, interaction, or inconsistent use.</w:t>
            </w:r>
          </w:p>
        </w:tc>
        <w:tc>
          <w:tcPr>
            <w:tcW w:type="dxa" w:w="2520"/>
            <w:tcMar>
              <w:top w:w="100" w:type="dxa"/>
              <w:start w:w="120" w:type="dxa"/>
              <w:bottom w:w="100" w:type="dxa"/>
              <w:end w:w="120" w:type="dxa"/>
            </w:tcMar>
            <w:shd w:fill="F7F8FA"/>
          </w:tcPr>
          <w:p>
            <w:pPr>
              <w:spacing w:after="0"/>
            </w:pPr>
            <w:r>
              <w:rPr>
                <w:sz w:val="17"/>
              </w:rPr>
              <w:t>Assess urgency and support communication with the prescriber.</w:t>
            </w:r>
          </w:p>
        </w:tc>
      </w:tr>
      <w:tr>
        <w:trPr>
          <w:cantSplit/>
        </w:trPr>
        <w:tc>
          <w:tcPr>
            <w:tcW w:type="dxa" w:w="2448"/>
            <w:tcMar>
              <w:top w:w="100" w:type="dxa"/>
              <w:start w:w="120" w:type="dxa"/>
              <w:bottom w:w="100" w:type="dxa"/>
              <w:end w:w="120" w:type="dxa"/>
            </w:tcMar>
          </w:tcPr>
          <w:p>
            <w:pPr>
              <w:spacing w:after="0"/>
            </w:pPr>
            <w:r>
              <w:rPr>
                <w:sz w:val="17"/>
              </w:rPr>
              <w:t>Substance-induced presentation</w:t>
            </w:r>
          </w:p>
        </w:tc>
        <w:tc>
          <w:tcPr>
            <w:tcW w:type="dxa" w:w="4968"/>
            <w:tcMar>
              <w:top w:w="100" w:type="dxa"/>
              <w:start w:w="120" w:type="dxa"/>
              <w:bottom w:w="100" w:type="dxa"/>
              <w:end w:w="120" w:type="dxa"/>
            </w:tcMar>
          </w:tcPr>
          <w:p>
            <w:pPr>
              <w:spacing w:after="0"/>
            </w:pPr>
            <w:r>
              <w:rPr>
                <w:sz w:val="17"/>
              </w:rPr>
              <w:t>Symptoms are tied to intoxication, withdrawal, escalating use, or periods of abstinence and return.</w:t>
            </w:r>
          </w:p>
        </w:tc>
        <w:tc>
          <w:tcPr>
            <w:tcW w:type="dxa" w:w="2520"/>
            <w:tcMar>
              <w:top w:w="100" w:type="dxa"/>
              <w:start w:w="120" w:type="dxa"/>
              <w:bottom w:w="100" w:type="dxa"/>
              <w:end w:w="120" w:type="dxa"/>
            </w:tcMar>
          </w:tcPr>
          <w:p>
            <w:pPr>
              <w:spacing w:after="0"/>
            </w:pPr>
            <w:r>
              <w:rPr>
                <w:sz w:val="17"/>
              </w:rPr>
              <w:t>Clarify chronology, current medical risk, and symptoms outside use periods.</w:t>
            </w:r>
          </w:p>
        </w:tc>
      </w:tr>
      <w:tr>
        <w:trPr>
          <w:cantSplit/>
        </w:trPr>
        <w:tc>
          <w:tcPr>
            <w:tcW w:type="dxa" w:w="2448"/>
            <w:tcMar>
              <w:top w:w="100" w:type="dxa"/>
              <w:start w:w="120" w:type="dxa"/>
              <w:bottom w:w="100" w:type="dxa"/>
              <w:end w:w="120" w:type="dxa"/>
            </w:tcMar>
            <w:shd w:fill="F7F8FA"/>
          </w:tcPr>
          <w:p>
            <w:pPr>
              <w:spacing w:after="0"/>
            </w:pPr>
            <w:r>
              <w:rPr>
                <w:sz w:val="17"/>
              </w:rPr>
              <w:t>Sleep-related contribution</w:t>
            </w:r>
          </w:p>
        </w:tc>
        <w:tc>
          <w:tcPr>
            <w:tcW w:type="dxa" w:w="4968"/>
            <w:tcMar>
              <w:top w:w="100" w:type="dxa"/>
              <w:start w:w="120" w:type="dxa"/>
              <w:bottom w:w="100" w:type="dxa"/>
              <w:end w:w="120" w:type="dxa"/>
            </w:tcMar>
            <w:shd w:fill="F7F8FA"/>
          </w:tcPr>
          <w:p>
            <w:pPr>
              <w:spacing w:after="0"/>
            </w:pPr>
            <w:r>
              <w:rPr>
                <w:sz w:val="17"/>
              </w:rPr>
              <w:t>Severe sleep deprivation, disrupted breathing, circadian disturbance, or decreased need for sleep.</w:t>
            </w:r>
          </w:p>
        </w:tc>
        <w:tc>
          <w:tcPr>
            <w:tcW w:type="dxa" w:w="2520"/>
            <w:tcMar>
              <w:top w:w="100" w:type="dxa"/>
              <w:start w:w="120" w:type="dxa"/>
              <w:bottom w:w="100" w:type="dxa"/>
              <w:end w:w="120" w:type="dxa"/>
            </w:tcMar>
            <w:shd w:fill="F7F8FA"/>
          </w:tcPr>
          <w:p>
            <w:pPr>
              <w:spacing w:after="0"/>
            </w:pPr>
            <w:r>
              <w:rPr>
                <w:sz w:val="17"/>
              </w:rPr>
              <w:t>Determine whether sleep is a cause, symptom, or maintaining factor.</w:t>
            </w:r>
          </w:p>
        </w:tc>
      </w:tr>
    </w:tbl>
    <w:p>
      <w:pPr>
        <w:spacing w:after="0"/>
      </w:pPr>
    </w:p>
    <w:tbl>
      <w:tblPr>
        <w:tblW w:type="auto" w:w="0"/>
        <w:jc w:val="center"/>
        <w:tblLayout w:type="fixed"/>
        <w:tblLook w:firstColumn="1" w:firstRow="1" w:lastColumn="0" w:lastRow="0" w:noHBand="0" w:noVBand="1" w:val="04A0"/>
      </w:tblPr>
      <w:tblGrid>
        <w:gridCol w:w="9936"/>
      </w:tblGrid>
      <w:tr>
        <w:trPr>
          <w:cantSplit/>
        </w:trPr>
        <w:tc>
          <w:tcPr>
            <w:tcW w:type="dxa" w:w="10080"/>
            <w:shd w:fill="EAF3F8"/>
            <w:tcMar>
              <w:top w:w="160" w:type="dxa"/>
              <w:start w:w="180" w:type="dxa"/>
              <w:bottom w:w="160" w:type="dxa"/>
              <w:end w:w="180" w:type="dxa"/>
            </w:tcMar>
            <w:vAlign w:val="center"/>
          </w:tcPr>
          <w:p>
            <w:pPr>
              <w:spacing w:after="80"/>
            </w:pPr>
            <w:r>
              <w:rPr>
                <w:b/>
                <w:i w:val="0"/>
                <w:color w:val="1F4E78"/>
              </w:rPr>
              <w:t>Scope Rule</w:t>
            </w:r>
          </w:p>
          <w:p>
            <w:pPr>
              <w:spacing w:after="0"/>
            </w:pPr>
            <w:r>
              <w:t>The LMFT gathers history, recognizes possible contributors, assesses urgency, and coordinates referral. The LMFT does not prescribe, change doses, or declare a medical cause without appropriate evaluation.</w:t>
            </w:r>
          </w:p>
        </w:tc>
      </w:tr>
    </w:tbl>
    <w:p>
      <w:pPr>
        <w:spacing w:after="0"/>
      </w:pPr>
    </w:p>
    <w:p>
      <w:pPr>
        <w:pStyle w:val="Heading1"/>
      </w:pPr>
      <w:r>
        <w:t>6. Developmental, Cultural, and Contextual Formulation</w:t>
      </w:r>
    </w:p>
    <w:p>
      <w:pPr>
        <w:pStyle w:val="ListBullet"/>
      </w:pPr>
      <w:r>
        <w:t>Use developmentally appropriate expectations and gather information across settings when evaluating children or neurodevelopmental concerns.</w:t>
      </w:r>
    </w:p>
    <w:p>
      <w:pPr>
        <w:pStyle w:val="ListBullet"/>
      </w:pPr>
      <w:r>
        <w:t>Consider language, communication style, spirituality, family norms, and culturally shaped expressions of distress before labeling an experience pathological.</w:t>
      </w:r>
    </w:p>
    <w:p>
      <w:pPr>
        <w:pStyle w:val="ListBullet"/>
      </w:pPr>
      <w:r>
        <w:t>Do not diagnose poverty, racism, migration stress, grief, gender identity, sexual orientation, or relationship conflict as mental disorders.</w:t>
      </w:r>
    </w:p>
    <w:p>
      <w:pPr>
        <w:pStyle w:val="ListBullet"/>
      </w:pPr>
      <w:r>
        <w:t>Assess whether trauma exposure, coercion, discrimination, unstable housing, or ongoing danger remains active rather than treating the presentation as purely intrapsychic.</w:t>
      </w:r>
    </w:p>
    <w:p>
      <w:pPr>
        <w:pStyle w:val="ListBullet"/>
      </w:pPr>
      <w:r>
        <w:t>Use interpreters, records, collateral sources, and culturally appropriate instruments when needed while preserving client participation and confidentiality.</w:t>
      </w:r>
    </w:p>
    <w:p>
      <w:pPr>
        <w:pStyle w:val="Heading1"/>
      </w:pPr>
      <w:r>
        <w:t>7. Comorbidity and Diagnostic Parsimony</w:t>
      </w:r>
    </w:p>
    <w:p>
      <w:r>
        <w:rPr>
          <w:i w:val="0"/>
        </w:rPr>
        <w:t>Diagnostic parsimony means using no more diagnoses than the evidence supports—not forcing every symptom into one diagnosis. Co-occurring conditions may be accurate when each has independent evidence and clinical significance.</w:t>
      </w:r>
    </w:p>
    <w:p>
      <w:pPr>
        <w:pStyle w:val="ListBullet"/>
      </w:pPr>
      <w:r>
        <w:t>Avoid counting the same symptom as proof of several disorders without independent support.</w:t>
      </w:r>
    </w:p>
    <w:p>
      <w:pPr>
        <w:pStyle w:val="ListBullet"/>
      </w:pPr>
      <w:r>
        <w:t>Consider whether anxiety, sleep disturbance, irritability, concentration difficulty, or substance use is part of another disorder rather than a separate diagnosis.</w:t>
      </w:r>
    </w:p>
    <w:p>
      <w:pPr>
        <w:pStyle w:val="ListBullet"/>
      </w:pPr>
      <w:r>
        <w:t>Allow a longstanding disorder and a current stress-related response to coexist when the evidence supports both.</w:t>
      </w:r>
    </w:p>
    <w:p>
      <w:pPr>
        <w:pStyle w:val="ListBullet"/>
      </w:pPr>
      <w:r>
        <w:t>Do not assume a prior diagnosis remains accurate when the current history, course, or context does not support it.</w:t>
      </w:r>
    </w:p>
    <w:p>
      <w:pPr>
        <w:pStyle w:val="Heading1"/>
      </w:pPr>
      <w:r>
        <w:t>8. High-Yield Diagnostic Families</w:t>
      </w:r>
    </w:p>
    <w:tbl>
      <w:tblPr>
        <w:tblStyle w:val="TableGrid"/>
        <w:tblW w:type="auto" w:w="0"/>
        <w:jc w:val="center"/>
        <w:tblLayout w:type="fixed"/>
        <w:tblLook w:firstColumn="1" w:firstRow="1" w:lastColumn="0" w:lastRow="0" w:noHBand="0" w:noVBand="1" w:val="04A0"/>
      </w:tblPr>
      <w:tblGrid>
        <w:gridCol w:w="1944"/>
        <w:gridCol w:w="4320"/>
        <w:gridCol w:w="3672"/>
      </w:tblGrid>
      <w:tr>
        <w:trPr>
          <w:tblHeader w:val="true"/>
          <w:cantSplit/>
        </w:trPr>
        <w:tc>
          <w:tcPr>
            <w:tcW w:type="dxa" w:w="3360"/>
            <w:shd w:fill="17365D"/>
            <w:tcMar>
              <w:top w:w="100" w:type="dxa"/>
              <w:start w:w="120" w:type="dxa"/>
              <w:bottom w:w="100" w:type="dxa"/>
              <w:end w:w="120" w:type="dxa"/>
            </w:tcMar>
          </w:tcPr>
          <w:p>
            <w:pPr>
              <w:spacing w:after="0"/>
            </w:pPr>
            <w:r>
              <w:rPr>
                <w:b/>
                <w:color w:val="FFFFFF"/>
                <w:sz w:val="16"/>
              </w:rPr>
              <w:t>Family</w:t>
            </w:r>
          </w:p>
        </w:tc>
        <w:tc>
          <w:tcPr>
            <w:tcW w:type="dxa" w:w="3360"/>
            <w:shd w:fill="17365D"/>
            <w:tcMar>
              <w:top w:w="100" w:type="dxa"/>
              <w:start w:w="120" w:type="dxa"/>
              <w:bottom w:w="100" w:type="dxa"/>
              <w:end w:w="120" w:type="dxa"/>
            </w:tcMar>
          </w:tcPr>
          <w:p>
            <w:pPr>
              <w:spacing w:after="0"/>
            </w:pPr>
            <w:r>
              <w:rPr>
                <w:b/>
                <w:color w:val="FFFFFF"/>
                <w:sz w:val="16"/>
              </w:rPr>
              <w:t>Core Pattern to Assess</w:t>
            </w:r>
          </w:p>
        </w:tc>
        <w:tc>
          <w:tcPr>
            <w:tcW w:type="dxa" w:w="3360"/>
            <w:shd w:fill="17365D"/>
            <w:tcMar>
              <w:top w:w="100" w:type="dxa"/>
              <w:start w:w="120" w:type="dxa"/>
              <w:bottom w:w="100" w:type="dxa"/>
              <w:end w:w="120" w:type="dxa"/>
            </w:tcMar>
          </w:tcPr>
          <w:p>
            <w:pPr>
              <w:spacing w:after="0"/>
            </w:pPr>
            <w:r>
              <w:rPr>
                <w:b/>
                <w:color w:val="FFFFFF"/>
                <w:sz w:val="16"/>
              </w:rPr>
              <w:t>Frequent Differentials or Cautions</w:t>
            </w:r>
          </w:p>
        </w:tc>
      </w:tr>
      <w:tr>
        <w:trPr>
          <w:cantSplit/>
        </w:trPr>
        <w:tc>
          <w:tcPr>
            <w:tcW w:type="dxa" w:w="1944"/>
            <w:tcMar>
              <w:top w:w="100" w:type="dxa"/>
              <w:start w:w="120" w:type="dxa"/>
              <w:bottom w:w="100" w:type="dxa"/>
              <w:end w:w="120" w:type="dxa"/>
            </w:tcMar>
          </w:tcPr>
          <w:p>
            <w:pPr>
              <w:spacing w:after="0"/>
            </w:pPr>
            <w:r>
              <w:rPr>
                <w:sz w:val="16"/>
              </w:rPr>
              <w:t>Bipolar and related</w:t>
            </w:r>
          </w:p>
        </w:tc>
        <w:tc>
          <w:tcPr>
            <w:tcW w:type="dxa" w:w="4320"/>
            <w:tcMar>
              <w:top w:w="100" w:type="dxa"/>
              <w:start w:w="120" w:type="dxa"/>
              <w:bottom w:w="100" w:type="dxa"/>
              <w:end w:w="120" w:type="dxa"/>
            </w:tcMar>
          </w:tcPr>
          <w:p>
            <w:pPr>
              <w:spacing w:after="0"/>
            </w:pPr>
            <w:r>
              <w:rPr>
                <w:sz w:val="16"/>
              </w:rPr>
              <w:t>Distinct episodes of mood and energy change, reduced need for sleep, increased activity, pressured speech, grandiosity, and risky behavior.</w:t>
            </w:r>
          </w:p>
        </w:tc>
        <w:tc>
          <w:tcPr>
            <w:tcW w:type="dxa" w:w="3672"/>
            <w:tcMar>
              <w:top w:w="100" w:type="dxa"/>
              <w:start w:w="120" w:type="dxa"/>
              <w:bottom w:w="100" w:type="dxa"/>
              <w:end w:w="120" w:type="dxa"/>
            </w:tcMar>
          </w:tcPr>
          <w:p>
            <w:pPr>
              <w:spacing w:after="0"/>
            </w:pPr>
            <w:r>
              <w:rPr>
                <w:sz w:val="16"/>
              </w:rPr>
              <w:t>Unipolar depression, anxiety, ADHD, trauma activation, stimulant or medication effects.</w:t>
            </w:r>
          </w:p>
        </w:tc>
      </w:tr>
      <w:tr>
        <w:trPr>
          <w:cantSplit/>
        </w:trPr>
        <w:tc>
          <w:tcPr>
            <w:tcW w:type="dxa" w:w="1944"/>
            <w:tcMar>
              <w:top w:w="100" w:type="dxa"/>
              <w:start w:w="120" w:type="dxa"/>
              <w:bottom w:w="100" w:type="dxa"/>
              <w:end w:w="120" w:type="dxa"/>
            </w:tcMar>
            <w:shd w:fill="F7F8FA"/>
          </w:tcPr>
          <w:p>
            <w:pPr>
              <w:spacing w:after="0"/>
            </w:pPr>
            <w:r>
              <w:rPr>
                <w:sz w:val="16"/>
              </w:rPr>
              <w:t>Depressive</w:t>
            </w:r>
          </w:p>
        </w:tc>
        <w:tc>
          <w:tcPr>
            <w:tcW w:type="dxa" w:w="4320"/>
            <w:tcMar>
              <w:top w:w="100" w:type="dxa"/>
              <w:start w:w="120" w:type="dxa"/>
              <w:bottom w:w="100" w:type="dxa"/>
              <w:end w:w="120" w:type="dxa"/>
            </w:tcMar>
            <w:shd w:fill="F7F8FA"/>
          </w:tcPr>
          <w:p>
            <w:pPr>
              <w:spacing w:after="0"/>
            </w:pPr>
            <w:r>
              <w:rPr>
                <w:sz w:val="16"/>
              </w:rPr>
              <w:t>Persistent low mood or reduced interest with cognitive, physical, and functional changes.</w:t>
            </w:r>
          </w:p>
        </w:tc>
        <w:tc>
          <w:tcPr>
            <w:tcW w:type="dxa" w:w="3672"/>
            <w:tcMar>
              <w:top w:w="100" w:type="dxa"/>
              <w:start w:w="120" w:type="dxa"/>
              <w:bottom w:w="100" w:type="dxa"/>
              <w:end w:w="120" w:type="dxa"/>
            </w:tcMar>
            <w:shd w:fill="F7F8FA"/>
          </w:tcPr>
          <w:p>
            <w:pPr>
              <w:spacing w:after="0"/>
            </w:pPr>
            <w:r>
              <w:rPr>
                <w:sz w:val="16"/>
              </w:rPr>
              <w:t>Bipolar depression, grief, adjustment reactions, substance or medical factors, trauma.</w:t>
            </w:r>
          </w:p>
        </w:tc>
      </w:tr>
      <w:tr>
        <w:trPr>
          <w:cantSplit/>
        </w:trPr>
        <w:tc>
          <w:tcPr>
            <w:tcW w:type="dxa" w:w="1944"/>
            <w:tcMar>
              <w:top w:w="100" w:type="dxa"/>
              <w:start w:w="120" w:type="dxa"/>
              <w:bottom w:w="100" w:type="dxa"/>
              <w:end w:w="120" w:type="dxa"/>
            </w:tcMar>
          </w:tcPr>
          <w:p>
            <w:pPr>
              <w:spacing w:after="0"/>
            </w:pPr>
            <w:r>
              <w:rPr>
                <w:sz w:val="16"/>
              </w:rPr>
              <w:t>Anxiety</w:t>
            </w:r>
          </w:p>
        </w:tc>
        <w:tc>
          <w:tcPr>
            <w:tcW w:type="dxa" w:w="4320"/>
            <w:tcMar>
              <w:top w:w="100" w:type="dxa"/>
              <w:start w:w="120" w:type="dxa"/>
              <w:bottom w:w="100" w:type="dxa"/>
              <w:end w:w="120" w:type="dxa"/>
            </w:tcMar>
          </w:tcPr>
          <w:p>
            <w:pPr>
              <w:spacing w:after="0"/>
            </w:pPr>
            <w:r>
              <w:rPr>
                <w:sz w:val="16"/>
              </w:rPr>
              <w:t>Fear, worry, panic, avoidance, physiological arousal, and impairment with a recognizable trigger pattern.</w:t>
            </w:r>
          </w:p>
        </w:tc>
        <w:tc>
          <w:tcPr>
            <w:tcW w:type="dxa" w:w="3672"/>
            <w:tcMar>
              <w:top w:w="100" w:type="dxa"/>
              <w:start w:w="120" w:type="dxa"/>
              <w:bottom w:w="100" w:type="dxa"/>
              <w:end w:w="120" w:type="dxa"/>
            </w:tcMar>
          </w:tcPr>
          <w:p>
            <w:pPr>
              <w:spacing w:after="0"/>
            </w:pPr>
            <w:r>
              <w:rPr>
                <w:sz w:val="16"/>
              </w:rPr>
              <w:t>OCD, trauma disorders, medical causes, substance effects, psychosis, normative stress.</w:t>
            </w:r>
          </w:p>
        </w:tc>
      </w:tr>
      <w:tr>
        <w:trPr>
          <w:cantSplit/>
        </w:trPr>
        <w:tc>
          <w:tcPr>
            <w:tcW w:type="dxa" w:w="1944"/>
            <w:tcMar>
              <w:top w:w="100" w:type="dxa"/>
              <w:start w:w="120" w:type="dxa"/>
              <w:bottom w:w="100" w:type="dxa"/>
              <w:end w:w="120" w:type="dxa"/>
            </w:tcMar>
            <w:shd w:fill="F7F8FA"/>
          </w:tcPr>
          <w:p>
            <w:pPr>
              <w:spacing w:after="0"/>
            </w:pPr>
            <w:r>
              <w:rPr>
                <w:sz w:val="16"/>
              </w:rPr>
              <w:t>OCD and related</w:t>
            </w:r>
          </w:p>
        </w:tc>
        <w:tc>
          <w:tcPr>
            <w:tcW w:type="dxa" w:w="4320"/>
            <w:tcMar>
              <w:top w:w="100" w:type="dxa"/>
              <w:start w:w="120" w:type="dxa"/>
              <w:bottom w:w="100" w:type="dxa"/>
              <w:end w:w="120" w:type="dxa"/>
            </w:tcMar>
            <w:shd w:fill="F7F8FA"/>
          </w:tcPr>
          <w:p>
            <w:pPr>
              <w:spacing w:after="0"/>
            </w:pPr>
            <w:r>
              <w:rPr>
                <w:sz w:val="16"/>
              </w:rPr>
              <w:t>Intrusive thoughts, images, or urges and repetitive behaviors or mental acts intended to reduce distress or prevent a feared outcome.</w:t>
            </w:r>
          </w:p>
        </w:tc>
        <w:tc>
          <w:tcPr>
            <w:tcW w:type="dxa" w:w="3672"/>
            <w:tcMar>
              <w:top w:w="100" w:type="dxa"/>
              <w:start w:w="120" w:type="dxa"/>
              <w:bottom w:w="100" w:type="dxa"/>
              <w:end w:w="120" w:type="dxa"/>
            </w:tcMar>
            <w:shd w:fill="F7F8FA"/>
          </w:tcPr>
          <w:p>
            <w:pPr>
              <w:spacing w:after="0"/>
            </w:pPr>
            <w:r>
              <w:rPr>
                <w:sz w:val="16"/>
              </w:rPr>
              <w:t>Generalized worry, psychosis, perfectionism, trauma-related checking.</w:t>
            </w:r>
          </w:p>
        </w:tc>
      </w:tr>
      <w:tr>
        <w:trPr>
          <w:cantSplit/>
        </w:trPr>
        <w:tc>
          <w:tcPr>
            <w:tcW w:type="dxa" w:w="1944"/>
            <w:tcMar>
              <w:top w:w="100" w:type="dxa"/>
              <w:start w:w="120" w:type="dxa"/>
              <w:bottom w:w="100" w:type="dxa"/>
              <w:end w:w="120" w:type="dxa"/>
            </w:tcMar>
          </w:tcPr>
          <w:p>
            <w:pPr>
              <w:spacing w:after="0"/>
            </w:pPr>
            <w:r>
              <w:rPr>
                <w:sz w:val="16"/>
              </w:rPr>
              <w:t>Trauma and stressor related</w:t>
            </w:r>
          </w:p>
        </w:tc>
        <w:tc>
          <w:tcPr>
            <w:tcW w:type="dxa" w:w="4320"/>
            <w:tcMar>
              <w:top w:w="100" w:type="dxa"/>
              <w:start w:w="120" w:type="dxa"/>
              <w:bottom w:w="100" w:type="dxa"/>
              <w:end w:w="120" w:type="dxa"/>
            </w:tcMar>
          </w:tcPr>
          <w:p>
            <w:pPr>
              <w:spacing w:after="0"/>
            </w:pPr>
            <w:r>
              <w:rPr>
                <w:sz w:val="16"/>
              </w:rPr>
              <w:t>Exposure or identifiable stressor followed by intrusion, avoidance, arousal, mood or cognitive change, or stress-linked impairment.</w:t>
            </w:r>
          </w:p>
        </w:tc>
        <w:tc>
          <w:tcPr>
            <w:tcW w:type="dxa" w:w="3672"/>
            <w:tcMar>
              <w:top w:w="100" w:type="dxa"/>
              <w:start w:w="120" w:type="dxa"/>
              <w:bottom w:w="100" w:type="dxa"/>
              <w:end w:w="120" w:type="dxa"/>
            </w:tcMar>
          </w:tcPr>
          <w:p>
            <w:pPr>
              <w:spacing w:after="0"/>
            </w:pPr>
            <w:r>
              <w:rPr>
                <w:sz w:val="16"/>
              </w:rPr>
              <w:t>Depression, anxiety, dissociation, grief, personality patterns, current danger.</w:t>
            </w:r>
          </w:p>
        </w:tc>
      </w:tr>
      <w:tr>
        <w:trPr>
          <w:cantSplit/>
        </w:trPr>
        <w:tc>
          <w:tcPr>
            <w:tcW w:type="dxa" w:w="1944"/>
            <w:tcMar>
              <w:top w:w="100" w:type="dxa"/>
              <w:start w:w="120" w:type="dxa"/>
              <w:bottom w:w="100" w:type="dxa"/>
              <w:end w:w="120" w:type="dxa"/>
            </w:tcMar>
            <w:shd w:fill="F7F8FA"/>
          </w:tcPr>
          <w:p>
            <w:pPr>
              <w:spacing w:after="0"/>
            </w:pPr>
            <w:r>
              <w:rPr>
                <w:sz w:val="16"/>
              </w:rPr>
              <w:t>Psychotic</w:t>
            </w:r>
          </w:p>
        </w:tc>
        <w:tc>
          <w:tcPr>
            <w:tcW w:type="dxa" w:w="4320"/>
            <w:tcMar>
              <w:top w:w="100" w:type="dxa"/>
              <w:start w:w="120" w:type="dxa"/>
              <w:bottom w:w="100" w:type="dxa"/>
              <w:end w:w="120" w:type="dxa"/>
            </w:tcMar>
            <w:shd w:fill="F7F8FA"/>
          </w:tcPr>
          <w:p>
            <w:pPr>
              <w:spacing w:after="0"/>
            </w:pPr>
            <w:r>
              <w:rPr>
                <w:sz w:val="16"/>
              </w:rPr>
              <w:t>Delusions, hallucinations, disorganization, negative symptoms, course, and functional decline.</w:t>
            </w:r>
          </w:p>
        </w:tc>
        <w:tc>
          <w:tcPr>
            <w:tcW w:type="dxa" w:w="3672"/>
            <w:tcMar>
              <w:top w:w="100" w:type="dxa"/>
              <w:start w:w="120" w:type="dxa"/>
              <w:bottom w:w="100" w:type="dxa"/>
              <w:end w:w="120" w:type="dxa"/>
            </w:tcMar>
            <w:shd w:fill="F7F8FA"/>
          </w:tcPr>
          <w:p>
            <w:pPr>
              <w:spacing w:after="0"/>
            </w:pPr>
            <w:r>
              <w:rPr>
                <w:sz w:val="16"/>
              </w:rPr>
              <w:t>Mood disorder with psychotic features, substances, medical conditions, trauma or dissociation, cultural experiences.</w:t>
            </w:r>
          </w:p>
        </w:tc>
      </w:tr>
      <w:tr>
        <w:trPr>
          <w:cantSplit/>
        </w:trPr>
        <w:tc>
          <w:tcPr>
            <w:tcW w:type="dxa" w:w="1944"/>
            <w:tcMar>
              <w:top w:w="100" w:type="dxa"/>
              <w:start w:w="120" w:type="dxa"/>
              <w:bottom w:w="100" w:type="dxa"/>
              <w:end w:w="120" w:type="dxa"/>
            </w:tcMar>
          </w:tcPr>
          <w:p>
            <w:pPr>
              <w:spacing w:after="0"/>
            </w:pPr>
            <w:r>
              <w:rPr>
                <w:sz w:val="16"/>
              </w:rPr>
              <w:t>Personality</w:t>
            </w:r>
          </w:p>
        </w:tc>
        <w:tc>
          <w:tcPr>
            <w:tcW w:type="dxa" w:w="4320"/>
            <w:tcMar>
              <w:top w:w="100" w:type="dxa"/>
              <w:start w:w="120" w:type="dxa"/>
              <w:bottom w:w="100" w:type="dxa"/>
              <w:end w:w="120" w:type="dxa"/>
            </w:tcMar>
          </w:tcPr>
          <w:p>
            <w:pPr>
              <w:spacing w:after="0"/>
            </w:pPr>
            <w:r>
              <w:rPr>
                <w:sz w:val="16"/>
              </w:rPr>
              <w:t>Enduring, inflexible patterns across time and contexts that affect self, relationships, and functioning.</w:t>
            </w:r>
          </w:p>
        </w:tc>
        <w:tc>
          <w:tcPr>
            <w:tcW w:type="dxa" w:w="3672"/>
            <w:tcMar>
              <w:top w:w="100" w:type="dxa"/>
              <w:start w:w="120" w:type="dxa"/>
              <w:bottom w:w="100" w:type="dxa"/>
              <w:end w:w="120" w:type="dxa"/>
            </w:tcMar>
          </w:tcPr>
          <w:p>
            <w:pPr>
              <w:spacing w:after="0"/>
            </w:pPr>
            <w:r>
              <w:rPr>
                <w:sz w:val="16"/>
              </w:rPr>
              <w:t>Trauma responses, mood states, substance effects, developmental stage, current crisis.</w:t>
            </w:r>
          </w:p>
        </w:tc>
      </w:tr>
      <w:tr>
        <w:trPr>
          <w:cantSplit/>
        </w:trPr>
        <w:tc>
          <w:tcPr>
            <w:tcW w:type="dxa" w:w="1944"/>
            <w:tcMar>
              <w:top w:w="100" w:type="dxa"/>
              <w:start w:w="120" w:type="dxa"/>
              <w:bottom w:w="100" w:type="dxa"/>
              <w:end w:w="120" w:type="dxa"/>
            </w:tcMar>
            <w:shd w:fill="F7F8FA"/>
          </w:tcPr>
          <w:p>
            <w:pPr>
              <w:spacing w:after="0"/>
            </w:pPr>
            <w:r>
              <w:rPr>
                <w:sz w:val="16"/>
              </w:rPr>
              <w:t>Substance-related and addictive</w:t>
            </w:r>
          </w:p>
        </w:tc>
        <w:tc>
          <w:tcPr>
            <w:tcW w:type="dxa" w:w="4320"/>
            <w:tcMar>
              <w:top w:w="100" w:type="dxa"/>
              <w:start w:w="120" w:type="dxa"/>
              <w:bottom w:w="100" w:type="dxa"/>
              <w:end w:w="120" w:type="dxa"/>
            </w:tcMar>
            <w:shd w:fill="F7F8FA"/>
          </w:tcPr>
          <w:p>
            <w:pPr>
              <w:spacing w:after="0"/>
            </w:pPr>
            <w:r>
              <w:rPr>
                <w:sz w:val="16"/>
              </w:rPr>
              <w:t>Impaired control, risky use, consequences, tolerance, withdrawal, compulsive behavior, and functional impact.</w:t>
            </w:r>
          </w:p>
        </w:tc>
        <w:tc>
          <w:tcPr>
            <w:tcW w:type="dxa" w:w="3672"/>
            <w:tcMar>
              <w:top w:w="100" w:type="dxa"/>
              <w:start w:w="120" w:type="dxa"/>
              <w:bottom w:w="100" w:type="dxa"/>
              <w:end w:w="120" w:type="dxa"/>
            </w:tcMar>
            <w:shd w:fill="F7F8FA"/>
          </w:tcPr>
          <w:p>
            <w:pPr>
              <w:spacing w:after="0"/>
            </w:pPr>
            <w:r>
              <w:rPr>
                <w:sz w:val="16"/>
              </w:rPr>
              <w:t>Primary mood, anxiety, attention, psychotic, sleep, and medical conditions.</w:t>
            </w:r>
          </w:p>
        </w:tc>
      </w:tr>
      <w:tr>
        <w:trPr>
          <w:cantSplit/>
        </w:trPr>
        <w:tc>
          <w:tcPr>
            <w:tcW w:type="dxa" w:w="1944"/>
            <w:tcMar>
              <w:top w:w="100" w:type="dxa"/>
              <w:start w:w="120" w:type="dxa"/>
              <w:bottom w:w="100" w:type="dxa"/>
              <w:end w:w="120" w:type="dxa"/>
            </w:tcMar>
          </w:tcPr>
          <w:p>
            <w:pPr>
              <w:spacing w:after="0"/>
            </w:pPr>
            <w:r>
              <w:rPr>
                <w:sz w:val="16"/>
              </w:rPr>
              <w:t>Neurodevelopmental and disruptive</w:t>
            </w:r>
          </w:p>
        </w:tc>
        <w:tc>
          <w:tcPr>
            <w:tcW w:type="dxa" w:w="4320"/>
            <w:tcMar>
              <w:top w:w="100" w:type="dxa"/>
              <w:start w:w="120" w:type="dxa"/>
              <w:bottom w:w="100" w:type="dxa"/>
              <w:end w:w="120" w:type="dxa"/>
            </w:tcMar>
          </w:tcPr>
          <w:p>
            <w:pPr>
              <w:spacing w:after="0"/>
            </w:pPr>
            <w:r>
              <w:rPr>
                <w:sz w:val="16"/>
              </w:rPr>
              <w:t>Early developmental course, cross-setting pattern, learning or communication needs, impulse control, and behavioral impact.</w:t>
            </w:r>
          </w:p>
        </w:tc>
        <w:tc>
          <w:tcPr>
            <w:tcW w:type="dxa" w:w="3672"/>
            <w:tcMar>
              <w:top w:w="100" w:type="dxa"/>
              <w:start w:w="120" w:type="dxa"/>
              <w:bottom w:w="100" w:type="dxa"/>
              <w:end w:w="120" w:type="dxa"/>
            </w:tcMar>
          </w:tcPr>
          <w:p>
            <w:pPr>
              <w:spacing w:after="0"/>
            </w:pPr>
            <w:r>
              <w:rPr>
                <w:sz w:val="16"/>
              </w:rPr>
              <w:t>Trauma, anxiety, sleep, medical factors, family disruption, learning disorders.</w:t>
            </w:r>
          </w:p>
        </w:tc>
      </w:tr>
      <w:tr>
        <w:trPr>
          <w:cantSplit/>
        </w:trPr>
        <w:tc>
          <w:tcPr>
            <w:tcW w:type="dxa" w:w="1944"/>
            <w:tcMar>
              <w:top w:w="100" w:type="dxa"/>
              <w:start w:w="120" w:type="dxa"/>
              <w:bottom w:w="100" w:type="dxa"/>
              <w:end w:w="120" w:type="dxa"/>
            </w:tcMar>
            <w:shd w:fill="F7F8FA"/>
          </w:tcPr>
          <w:p>
            <w:pPr>
              <w:spacing w:after="0"/>
            </w:pPr>
            <w:r>
              <w:rPr>
                <w:sz w:val="16"/>
              </w:rPr>
              <w:t>Relational and contextual focus</w:t>
            </w:r>
          </w:p>
        </w:tc>
        <w:tc>
          <w:tcPr>
            <w:tcW w:type="dxa" w:w="4320"/>
            <w:tcMar>
              <w:top w:w="100" w:type="dxa"/>
              <w:start w:w="120" w:type="dxa"/>
              <w:bottom w:w="100" w:type="dxa"/>
              <w:end w:w="120" w:type="dxa"/>
            </w:tcMar>
            <w:shd w:fill="F7F8FA"/>
          </w:tcPr>
          <w:p>
            <w:pPr>
              <w:spacing w:after="0"/>
            </w:pPr>
            <w:r>
              <w:rPr>
                <w:sz w:val="16"/>
              </w:rPr>
              <w:t>Partner conflict, parent-child problems, caregiving strain, housing or financial stress, and other clinically significant circumstances.</w:t>
            </w:r>
          </w:p>
        </w:tc>
        <w:tc>
          <w:tcPr>
            <w:tcW w:type="dxa" w:w="3672"/>
            <w:tcMar>
              <w:top w:w="100" w:type="dxa"/>
              <w:start w:w="120" w:type="dxa"/>
              <w:bottom w:w="100" w:type="dxa"/>
              <w:end w:w="120" w:type="dxa"/>
            </w:tcMar>
            <w:shd w:fill="F7F8FA"/>
          </w:tcPr>
          <w:p>
            <w:pPr>
              <w:spacing w:after="0"/>
            </w:pPr>
            <w:r>
              <w:rPr>
                <w:sz w:val="16"/>
              </w:rPr>
              <w:t>Do not force a mental-disorder diagnosis solely to justify treatment.</w:t>
            </w:r>
          </w:p>
        </w:tc>
      </w:tr>
    </w:tbl>
    <w:p>
      <w:pPr>
        <w:spacing w:after="0"/>
      </w:pPr>
    </w:p>
    <w:p>
      <w:pPr>
        <w:pStyle w:val="Heading1"/>
      </w:pPr>
      <w:r>
        <w:t>9. When to Diagnose, Gather More Information, or Refer</w:t>
      </w:r>
    </w:p>
    <w:tbl>
      <w:tblPr>
        <w:tblStyle w:val="TableGrid"/>
        <w:tblW w:type="auto" w:w="0"/>
        <w:jc w:val="center"/>
        <w:tblLayout w:type="fixed"/>
        <w:tblLook w:firstColumn="1" w:firstRow="1" w:lastColumn="0" w:lastRow="0" w:noHBand="0" w:noVBand="1" w:val="04A0"/>
      </w:tblPr>
      <w:tblGrid>
        <w:gridCol w:w="2376"/>
        <w:gridCol w:w="4320"/>
        <w:gridCol w:w="3240"/>
      </w:tblGrid>
      <w:tr>
        <w:trPr>
          <w:tblHeader w:val="true"/>
          <w:cantSplit/>
        </w:trPr>
        <w:tc>
          <w:tcPr>
            <w:tcW w:type="dxa" w:w="3360"/>
            <w:shd w:fill="17365D"/>
            <w:tcMar>
              <w:top w:w="100" w:type="dxa"/>
              <w:start w:w="120" w:type="dxa"/>
              <w:bottom w:w="100" w:type="dxa"/>
              <w:end w:w="120" w:type="dxa"/>
            </w:tcMar>
          </w:tcPr>
          <w:p>
            <w:pPr>
              <w:spacing w:after="0"/>
            </w:pPr>
            <w:r>
              <w:rPr>
                <w:b/>
                <w:color w:val="FFFFFF"/>
                <w:sz w:val="17"/>
              </w:rPr>
              <w:t>Clinical Status</w:t>
            </w:r>
          </w:p>
        </w:tc>
        <w:tc>
          <w:tcPr>
            <w:tcW w:type="dxa" w:w="3360"/>
            <w:shd w:fill="17365D"/>
            <w:tcMar>
              <w:top w:w="100" w:type="dxa"/>
              <w:start w:w="120" w:type="dxa"/>
              <w:bottom w:w="100" w:type="dxa"/>
              <w:end w:w="120" w:type="dxa"/>
            </w:tcMar>
          </w:tcPr>
          <w:p>
            <w:pPr>
              <w:spacing w:after="0"/>
            </w:pPr>
            <w:r>
              <w:rPr>
                <w:b/>
                <w:color w:val="FFFFFF"/>
                <w:sz w:val="17"/>
              </w:rPr>
              <w:t>What the Facts Show</w:t>
            </w:r>
          </w:p>
        </w:tc>
        <w:tc>
          <w:tcPr>
            <w:tcW w:type="dxa" w:w="3360"/>
            <w:shd w:fill="17365D"/>
            <w:tcMar>
              <w:top w:w="100" w:type="dxa"/>
              <w:start w:w="120" w:type="dxa"/>
              <w:bottom w:w="100" w:type="dxa"/>
              <w:end w:w="120" w:type="dxa"/>
            </w:tcMar>
          </w:tcPr>
          <w:p>
            <w:pPr>
              <w:spacing w:after="0"/>
            </w:pPr>
            <w:r>
              <w:rPr>
                <w:b/>
                <w:color w:val="FFFFFF"/>
                <w:sz w:val="17"/>
              </w:rPr>
              <w:t>Best Exam Direction</w:t>
            </w:r>
          </w:p>
        </w:tc>
      </w:tr>
      <w:tr>
        <w:trPr>
          <w:cantSplit/>
        </w:trPr>
        <w:tc>
          <w:tcPr>
            <w:tcW w:type="dxa" w:w="2376"/>
            <w:tcMar>
              <w:top w:w="100" w:type="dxa"/>
              <w:start w:w="120" w:type="dxa"/>
              <w:bottom w:w="100" w:type="dxa"/>
              <w:end w:w="120" w:type="dxa"/>
            </w:tcMar>
          </w:tcPr>
          <w:p>
            <w:pPr>
              <w:spacing w:after="0"/>
            </w:pPr>
            <w:r>
              <w:rPr>
                <w:sz w:val="17"/>
              </w:rPr>
              <w:t>Working diagnosis supported</w:t>
            </w:r>
          </w:p>
        </w:tc>
        <w:tc>
          <w:tcPr>
            <w:tcW w:type="dxa" w:w="4320"/>
            <w:tcMar>
              <w:top w:w="100" w:type="dxa"/>
              <w:start w:w="120" w:type="dxa"/>
              <w:bottom w:w="100" w:type="dxa"/>
              <w:end w:w="120" w:type="dxa"/>
            </w:tcMar>
          </w:tcPr>
          <w:p>
            <w:pPr>
              <w:spacing w:after="0"/>
            </w:pPr>
            <w:r>
              <w:rPr>
                <w:sz w:val="17"/>
              </w:rPr>
              <w:t>Pattern, course, impairment, and exclusions are adequately supported.</w:t>
            </w:r>
          </w:p>
        </w:tc>
        <w:tc>
          <w:tcPr>
            <w:tcW w:type="dxa" w:w="3240"/>
            <w:tcMar>
              <w:top w:w="100" w:type="dxa"/>
              <w:start w:w="120" w:type="dxa"/>
              <w:bottom w:w="100" w:type="dxa"/>
              <w:end w:w="120" w:type="dxa"/>
            </w:tcMar>
          </w:tcPr>
          <w:p>
            <w:pPr>
              <w:spacing w:after="0"/>
            </w:pPr>
            <w:r>
              <w:rPr>
                <w:sz w:val="17"/>
              </w:rPr>
              <w:t>Name the best-supported diagnosis and continue monitoring.</w:t>
            </w:r>
          </w:p>
        </w:tc>
      </w:tr>
      <w:tr>
        <w:trPr>
          <w:cantSplit/>
        </w:trPr>
        <w:tc>
          <w:tcPr>
            <w:tcW w:type="dxa" w:w="2376"/>
            <w:tcMar>
              <w:top w:w="100" w:type="dxa"/>
              <w:start w:w="120" w:type="dxa"/>
              <w:bottom w:w="100" w:type="dxa"/>
              <w:end w:w="120" w:type="dxa"/>
            </w:tcMar>
            <w:shd w:fill="F7F8FA"/>
          </w:tcPr>
          <w:p>
            <w:pPr>
              <w:spacing w:after="0"/>
            </w:pPr>
            <w:r>
              <w:rPr>
                <w:sz w:val="17"/>
              </w:rPr>
              <w:t>Provisional diagnosis appropriate</w:t>
            </w:r>
          </w:p>
        </w:tc>
        <w:tc>
          <w:tcPr>
            <w:tcW w:type="dxa" w:w="4320"/>
            <w:tcMar>
              <w:top w:w="100" w:type="dxa"/>
              <w:start w:w="120" w:type="dxa"/>
              <w:bottom w:w="100" w:type="dxa"/>
              <w:end w:w="120" w:type="dxa"/>
            </w:tcMar>
            <w:shd w:fill="F7F8FA"/>
          </w:tcPr>
          <w:p>
            <w:pPr>
              <w:spacing w:after="0"/>
            </w:pPr>
            <w:r>
              <w:rPr>
                <w:sz w:val="17"/>
              </w:rPr>
              <w:t>Presentation strongly suggests a diagnosis, but key confirmation is pending.</w:t>
            </w:r>
          </w:p>
        </w:tc>
        <w:tc>
          <w:tcPr>
            <w:tcW w:type="dxa" w:w="3240"/>
            <w:tcMar>
              <w:top w:w="100" w:type="dxa"/>
              <w:start w:w="120" w:type="dxa"/>
              <w:bottom w:w="100" w:type="dxa"/>
              <w:end w:w="120" w:type="dxa"/>
            </w:tcMar>
            <w:shd w:fill="F7F8FA"/>
          </w:tcPr>
          <w:p>
            <w:pPr>
              <w:spacing w:after="0"/>
            </w:pPr>
            <w:r>
              <w:rPr>
                <w:sz w:val="17"/>
              </w:rPr>
              <w:t>Use provisional language and identify what will confirm or revise it.</w:t>
            </w:r>
          </w:p>
        </w:tc>
      </w:tr>
      <w:tr>
        <w:trPr>
          <w:cantSplit/>
        </w:trPr>
        <w:tc>
          <w:tcPr>
            <w:tcW w:type="dxa" w:w="2376"/>
            <w:tcMar>
              <w:top w:w="100" w:type="dxa"/>
              <w:start w:w="120" w:type="dxa"/>
              <w:bottom w:w="100" w:type="dxa"/>
              <w:end w:w="120" w:type="dxa"/>
            </w:tcMar>
          </w:tcPr>
          <w:p>
            <w:pPr>
              <w:spacing w:after="0"/>
            </w:pPr>
            <w:r>
              <w:rPr>
                <w:sz w:val="17"/>
              </w:rPr>
              <w:t>Differential remains active</w:t>
            </w:r>
          </w:p>
        </w:tc>
        <w:tc>
          <w:tcPr>
            <w:tcW w:type="dxa" w:w="4320"/>
            <w:tcMar>
              <w:top w:w="100" w:type="dxa"/>
              <w:start w:w="120" w:type="dxa"/>
              <w:bottom w:w="100" w:type="dxa"/>
              <w:end w:w="120" w:type="dxa"/>
            </w:tcMar>
          </w:tcPr>
          <w:p>
            <w:pPr>
              <w:spacing w:after="0"/>
            </w:pPr>
            <w:r>
              <w:rPr>
                <w:sz w:val="17"/>
              </w:rPr>
              <w:t>Two or more diagnoses remain plausible and missing information would distinguish them.</w:t>
            </w:r>
          </w:p>
        </w:tc>
        <w:tc>
          <w:tcPr>
            <w:tcW w:type="dxa" w:w="3240"/>
            <w:tcMar>
              <w:top w:w="100" w:type="dxa"/>
              <w:start w:w="120" w:type="dxa"/>
              <w:bottom w:w="100" w:type="dxa"/>
              <w:end w:w="120" w:type="dxa"/>
            </w:tcMar>
          </w:tcPr>
          <w:p>
            <w:pPr>
              <w:spacing w:after="0"/>
            </w:pPr>
            <w:r>
              <w:rPr>
                <w:sz w:val="17"/>
              </w:rPr>
              <w:t>Ask high-value questions or obtain records, collateral, testing, or consultation.</w:t>
            </w:r>
          </w:p>
        </w:tc>
      </w:tr>
      <w:tr>
        <w:trPr>
          <w:cantSplit/>
        </w:trPr>
        <w:tc>
          <w:tcPr>
            <w:tcW w:type="dxa" w:w="2376"/>
            <w:tcMar>
              <w:top w:w="100" w:type="dxa"/>
              <w:start w:w="120" w:type="dxa"/>
              <w:bottom w:w="100" w:type="dxa"/>
              <w:end w:w="120" w:type="dxa"/>
            </w:tcMar>
            <w:shd w:fill="F7F8FA"/>
          </w:tcPr>
          <w:p>
            <w:pPr>
              <w:spacing w:after="0"/>
            </w:pPr>
            <w:r>
              <w:rPr>
                <w:sz w:val="17"/>
              </w:rPr>
              <w:t>Medical or substance concern</w:t>
            </w:r>
          </w:p>
        </w:tc>
        <w:tc>
          <w:tcPr>
            <w:tcW w:type="dxa" w:w="4320"/>
            <w:tcMar>
              <w:top w:w="100" w:type="dxa"/>
              <w:start w:w="120" w:type="dxa"/>
              <w:bottom w:w="100" w:type="dxa"/>
              <w:end w:w="120" w:type="dxa"/>
            </w:tcMar>
            <w:shd w:fill="F7F8FA"/>
          </w:tcPr>
          <w:p>
            <w:pPr>
              <w:spacing w:after="0"/>
            </w:pPr>
            <w:r>
              <w:rPr>
                <w:sz w:val="17"/>
              </w:rPr>
              <w:t>Sudden change, altered consciousness, severe withdrawal or intoxication, neurologic signs, or medication-linked symptoms.</w:t>
            </w:r>
          </w:p>
        </w:tc>
        <w:tc>
          <w:tcPr>
            <w:tcW w:type="dxa" w:w="3240"/>
            <w:tcMar>
              <w:top w:w="100" w:type="dxa"/>
              <w:start w:w="120" w:type="dxa"/>
              <w:bottom w:w="100" w:type="dxa"/>
              <w:end w:w="120" w:type="dxa"/>
            </w:tcMar>
            <w:shd w:fill="F7F8FA"/>
          </w:tcPr>
          <w:p>
            <w:pPr>
              <w:spacing w:after="0"/>
            </w:pPr>
            <w:r>
              <w:rPr>
                <w:sz w:val="17"/>
              </w:rPr>
              <w:t>Address urgency and coordinate appropriate medical, psychiatric, or addiction evaluation.</w:t>
            </w:r>
          </w:p>
        </w:tc>
      </w:tr>
      <w:tr>
        <w:trPr>
          <w:cantSplit/>
        </w:trPr>
        <w:tc>
          <w:tcPr>
            <w:tcW w:type="dxa" w:w="2376"/>
            <w:tcMar>
              <w:top w:w="100" w:type="dxa"/>
              <w:start w:w="120" w:type="dxa"/>
              <w:bottom w:w="100" w:type="dxa"/>
              <w:end w:w="120" w:type="dxa"/>
            </w:tcMar>
          </w:tcPr>
          <w:p>
            <w:pPr>
              <w:spacing w:after="0"/>
            </w:pPr>
            <w:r>
              <w:rPr>
                <w:sz w:val="17"/>
              </w:rPr>
              <w:t>Contextual focus without disorder</w:t>
            </w:r>
          </w:p>
        </w:tc>
        <w:tc>
          <w:tcPr>
            <w:tcW w:type="dxa" w:w="4320"/>
            <w:tcMar>
              <w:top w:w="100" w:type="dxa"/>
              <w:start w:w="120" w:type="dxa"/>
              <w:bottom w:w="100" w:type="dxa"/>
              <w:end w:w="120" w:type="dxa"/>
            </w:tcMar>
          </w:tcPr>
          <w:p>
            <w:pPr>
              <w:spacing w:after="0"/>
            </w:pPr>
            <w:r>
              <w:rPr>
                <w:sz w:val="17"/>
              </w:rPr>
              <w:t>The reason for treatment is relational or environmental and no mental disorder is currently supported.</w:t>
            </w:r>
          </w:p>
        </w:tc>
        <w:tc>
          <w:tcPr>
            <w:tcW w:type="dxa" w:w="3240"/>
            <w:tcMar>
              <w:top w:w="100" w:type="dxa"/>
              <w:start w:w="120" w:type="dxa"/>
              <w:bottom w:w="100" w:type="dxa"/>
              <w:end w:w="120" w:type="dxa"/>
            </w:tcMar>
          </w:tcPr>
          <w:p>
            <w:pPr>
              <w:spacing w:after="0"/>
            </w:pPr>
            <w:r>
              <w:rPr>
                <w:sz w:val="17"/>
              </w:rPr>
              <w:t>Document and treat the clinical-focus condition; continue assessment as appropriate.</w:t>
            </w:r>
          </w:p>
        </w:tc>
      </w:tr>
    </w:tbl>
    <w:p>
      <w:pPr>
        <w:spacing w:after="0"/>
      </w:pPr>
    </w:p>
    <w:p>
      <w:pPr>
        <w:pStyle w:val="Heading1"/>
      </w:pPr>
      <w:r>
        <w:t>10. The LMFT Systemic Diagnostic Lens</w:t>
      </w:r>
    </w:p>
    <w:p>
      <w:pPr>
        <w:pStyle w:val="ListBullet"/>
      </w:pPr>
      <w:r>
        <w:t>Diagnose the individual presentation while assessing how symptoms affect and are affected by couple, family, caregiving, parenting, and other relational systems.</w:t>
      </w:r>
    </w:p>
    <w:p>
      <w:pPr>
        <w:pStyle w:val="ListBullet"/>
      </w:pPr>
      <w:r>
        <w:t>Do not use an individual diagnosis to explain every conflict; relational patterns may require separate assessment and intervention.</w:t>
      </w:r>
    </w:p>
    <w:p>
      <w:pPr>
        <w:pStyle w:val="ListBullet"/>
      </w:pPr>
      <w:r>
        <w:t>Avoid making one family member the identified problem without evaluating interactional sequences, roles, alliances, stressors, and each person’s perspective.</w:t>
      </w:r>
    </w:p>
    <w:p>
      <w:pPr>
        <w:pStyle w:val="ListBullet"/>
      </w:pPr>
      <w:r>
        <w:t>Use collateral information from partners or family members as one source, not as unquestioned fact.</w:t>
      </w:r>
    </w:p>
    <w:p>
      <w:pPr>
        <w:pStyle w:val="ListBullet"/>
      </w:pPr>
      <w:r>
        <w:t>Consider relational distress, parent-child problems, caregiving strain, abuse, housing instability, or other contextual conditions in addition to or instead of a mental disorder.</w:t>
      </w:r>
    </w:p>
    <w:p>
      <w:pPr>
        <w:pStyle w:val="ListBullet"/>
      </w:pPr>
      <w:r>
        <w:t>Coordinate medical, psychiatric, developmental, or psychological evaluation without forcing family therapy to resolve diagnostic uncertainty.</w:t>
      </w:r>
    </w:p>
    <w:tbl>
      <w:tblPr>
        <w:tblW w:type="auto" w:w="0"/>
        <w:jc w:val="center"/>
        <w:tblLayout w:type="fixed"/>
        <w:tblLook w:firstColumn="1" w:firstRow="1" w:lastColumn="0" w:lastRow="0" w:noHBand="0" w:noVBand="1" w:val="04A0"/>
      </w:tblPr>
      <w:tblGrid>
        <w:gridCol w:w="9936"/>
      </w:tblGrid>
      <w:tr>
        <w:trPr>
          <w:cantSplit/>
        </w:trPr>
        <w:tc>
          <w:tcPr>
            <w:tcW w:type="dxa" w:w="10080"/>
            <w:shd w:fill="E7F5F4"/>
            <w:tcMar>
              <w:top w:w="160" w:type="dxa"/>
              <w:start w:w="180" w:type="dxa"/>
              <w:bottom w:w="160" w:type="dxa"/>
              <w:end w:w="180" w:type="dxa"/>
            </w:tcMar>
            <w:vAlign w:val="center"/>
          </w:tcPr>
          <w:p>
            <w:pPr>
              <w:spacing w:after="80"/>
            </w:pPr>
            <w:r>
              <w:rPr>
                <w:b/>
                <w:i w:val="0"/>
                <w:color w:val="0F7C82"/>
              </w:rPr>
              <w:t>LMFT Memory Aid</w:t>
            </w:r>
          </w:p>
          <w:p>
            <w:pPr>
              <w:spacing w:after="0"/>
            </w:pPr>
            <w:r>
              <w:t>SAFER DIAGNOSIS: SAFETY / MEDICAL / SUBSTANCE CHECK → ASSESS THE FULL PATTERN → FOLLOW THE TIMELINE → EVALUATE IMPAIRMENT AND EXCLUSIONS → RELATE THE PRESENTATION TO SYSTEMIC CONTEXT.</w:t>
            </w:r>
          </w:p>
        </w:tc>
      </w:tr>
    </w:tbl>
    <w:p>
      <w:pPr>
        <w:spacing w:after="0"/>
      </w:pPr>
    </w:p>
    <w:p>
      <w:pPr>
        <w:pStyle w:val="Heading1"/>
      </w:pPr>
      <w:r>
        <w:t>Worked Examples</w:t>
      </w:r>
    </w:p>
    <w:p>
      <w:r>
        <w:rPr>
          <w:b/>
          <w:i w:val="0"/>
        </w:rPr>
        <w:t xml:space="preserve">Example 1: </w:t>
      </w:r>
      <w:r>
        <w:rPr>
          <w:b w:val="0"/>
          <w:i w:val="0"/>
        </w:rPr>
        <w:t>Mood, energy, and stimulant use</w:t>
      </w:r>
    </w:p>
    <w:p>
      <w:r>
        <w:rPr>
          <w:i w:val="0"/>
        </w:rPr>
        <w:t>A client reports reduced sleep, irritability, rapid speech, impulsive spending, and increased activity. Stimulant use is intermittent, and the timeline is unclear. The best next step is to clarify whether mood and energy changes occur during abstinence, review prior episodes and impairment, assess safety and medical factors, and coordinate evaluation before finalizing a bipolar-versus-substance-related differential.</w:t>
      </w:r>
    </w:p>
    <w:p>
      <w:r>
        <w:rPr>
          <w:b/>
          <w:i w:val="0"/>
        </w:rPr>
        <w:t xml:space="preserve">Example 2: </w:t>
      </w:r>
      <w:r>
        <w:rPr>
          <w:b w:val="0"/>
          <w:i w:val="0"/>
        </w:rPr>
        <w:t>Couple conflict without a supported mental disorder</w:t>
      </w:r>
    </w:p>
    <w:p>
      <w:r>
        <w:rPr>
          <w:i w:val="0"/>
        </w:rPr>
        <w:t>A couple seeks treatment after foreclosure and unemployment. Conflict is severe, but neither partner currently shows a supported mental-disorder pattern. The therapist may document the relational and socioeconomic problems as clinical-focus conditions while continuing to assess each partner individually and systemically.</w:t>
      </w:r>
    </w:p>
    <w:p>
      <w:pPr>
        <w:pStyle w:val="Heading1"/>
      </w:pPr>
      <w:r>
        <w:t>Common Exam Traps</w:t>
      </w:r>
    </w:p>
    <w:p>
      <w:pPr>
        <w:pStyle w:val="ListBullet"/>
      </w:pPr>
      <w:r>
        <w:t>Single-symptom diagnosis or choosing the most severe-sounding label.</w:t>
      </w:r>
    </w:p>
    <w:p>
      <w:pPr>
        <w:pStyle w:val="ListBullet"/>
      </w:pPr>
      <w:r>
        <w:t>Ignoring chronology, baseline, substances, medications, illness, injury, or sleep.</w:t>
      </w:r>
    </w:p>
    <w:p>
      <w:pPr>
        <w:pStyle w:val="ListBullet"/>
      </w:pPr>
      <w:r>
        <w:t>Accepting a chart diagnosis or partner report as conclusive.</w:t>
      </w:r>
    </w:p>
    <w:p>
      <w:pPr>
        <w:pStyle w:val="ListBullet"/>
      </w:pPr>
      <w:r>
        <w:t>Explaining an unstable psychiatric presentation only as a family-system problem.</w:t>
      </w:r>
    </w:p>
    <w:p>
      <w:pPr>
        <w:pStyle w:val="ListBullet"/>
      </w:pPr>
      <w:r>
        <w:t>Using a diagnosis to take sides or diagnosing an unassessed family member.</w:t>
      </w:r>
    </w:p>
    <w:p>
      <w:pPr>
        <w:pStyle w:val="ListBullet"/>
      </w:pPr>
      <w:r>
        <w:t>Pathologizing culture, spirituality, gender diversity, family structure, grief, or environmental hardship.</w:t>
      </w:r>
    </w:p>
    <w:p>
      <w:pPr>
        <w:pStyle w:val="ListBullet"/>
      </w:pPr>
      <w:r>
        <w:t>Beginning a theory-specific intervention when the stem asks for diagnosis or additional assessment.</w:t>
      </w:r>
    </w:p>
    <w:p>
      <w:pPr>
        <w:pStyle w:val="Heading1"/>
      </w:pPr>
      <w:r>
        <w:t>Chapter Summary</w:t>
      </w:r>
    </w:p>
    <w:p>
      <w:pPr>
        <w:pStyle w:val="ListBullet"/>
      </w:pPr>
      <w:r>
        <w:t>Diagnosis requires a supported pattern, functional significance, chronology, and appropriate exclusions—not one dramatic symptom or the most severe-sounding label.</w:t>
      </w:r>
    </w:p>
    <w:p>
      <w:pPr>
        <w:pStyle w:val="ListBullet"/>
      </w:pPr>
      <w:r>
        <w:t>Chronology helps distinguish episodes and links symptoms to stressors, substances, medications, sleep, illness, injury, and developmental course.</w:t>
      </w:r>
    </w:p>
    <w:p>
      <w:pPr>
        <w:pStyle w:val="ListBullet"/>
      </w:pPr>
      <w:r>
        <w:t>Provisional and differential language communicates supported uncertainty; developmental, cultural, relational, and environmental context shapes interpretation without replacing evidence or safety.</w:t>
      </w:r>
    </w:p>
    <w:p>
      <w:pPr>
        <w:pStyle w:val="ListBullet"/>
      </w:pPr>
      <w:r>
        <w:t>The LMFT integrates diagnosis with systemic assessment, confidentiality, balanced alliances, and consultation without diagnosing unassessed partners or family members.</w:t>
      </w:r>
    </w:p>
    <w:p>
      <w:pPr>
        <w:pStyle w:val="Heading1"/>
      </w:pPr>
      <w:r>
        <w:t>Knowledge Check</w:t>
      </w:r>
    </w:p>
    <w:p>
      <w:r>
        <w:rPr>
          <w:i w:val="0"/>
        </w:rPr>
        <w:t>Complete all 10 original CTA practice questions before reviewing the answer key. Record your answer and confidence level. The set progresses from recall to application, scenario analysis, and integrated challenge reasoning.</w:t>
      </w:r>
    </w:p>
    <w:tbl>
      <w:tblPr>
        <w:tblStyle w:val="TableGrid"/>
        <w:tblW w:type="auto" w:w="0"/>
        <w:jc w:val="center"/>
        <w:tblLayout w:type="fixed"/>
        <w:tblLook w:firstColumn="1" w:firstRow="1" w:lastColumn="0" w:lastRow="0" w:noHBand="0" w:noVBand="1" w:val="04A0"/>
      </w:tblPr>
      <w:tblGrid>
        <w:gridCol w:w="1728"/>
        <w:gridCol w:w="2736"/>
        <w:gridCol w:w="2736"/>
        <w:gridCol w:w="2736"/>
      </w:tblGrid>
      <w:tr>
        <w:trPr>
          <w:tblHeader w:val="true"/>
          <w:cantSplit/>
        </w:trPr>
        <w:tc>
          <w:tcPr>
            <w:tcW w:type="dxa" w:w="2520"/>
            <w:shd w:fill="17365D"/>
            <w:tcMar>
              <w:top w:w="100" w:type="dxa"/>
              <w:start w:w="120" w:type="dxa"/>
              <w:bottom w:w="100" w:type="dxa"/>
              <w:end w:w="120" w:type="dxa"/>
            </w:tcMar>
          </w:tcPr>
          <w:p>
            <w:pPr>
              <w:spacing w:after="0"/>
            </w:pPr>
            <w:r>
              <w:rPr>
                <w:b/>
                <w:color w:val="FFFFFF"/>
                <w:sz w:val="18"/>
              </w:rPr>
              <w:t>Question</w:t>
            </w:r>
          </w:p>
        </w:tc>
        <w:tc>
          <w:tcPr>
            <w:tcW w:type="dxa" w:w="2520"/>
            <w:shd w:fill="17365D"/>
            <w:tcMar>
              <w:top w:w="100" w:type="dxa"/>
              <w:start w:w="120" w:type="dxa"/>
              <w:bottom w:w="100" w:type="dxa"/>
              <w:end w:w="120" w:type="dxa"/>
            </w:tcMar>
          </w:tcPr>
          <w:p>
            <w:pPr>
              <w:spacing w:after="0"/>
            </w:pPr>
            <w:r>
              <w:rPr>
                <w:b/>
                <w:color w:val="FFFFFF"/>
                <w:sz w:val="18"/>
              </w:rPr>
              <w:t>Your Answer</w:t>
            </w:r>
          </w:p>
        </w:tc>
        <w:tc>
          <w:tcPr>
            <w:tcW w:type="dxa" w:w="2520"/>
            <w:shd w:fill="17365D"/>
            <w:tcMar>
              <w:top w:w="100" w:type="dxa"/>
              <w:start w:w="120" w:type="dxa"/>
              <w:bottom w:w="100" w:type="dxa"/>
              <w:end w:w="120" w:type="dxa"/>
            </w:tcMar>
          </w:tcPr>
          <w:p>
            <w:pPr>
              <w:spacing w:after="0"/>
            </w:pPr>
            <w:r>
              <w:rPr>
                <w:b/>
                <w:color w:val="FFFFFF"/>
                <w:sz w:val="18"/>
              </w:rPr>
              <w:t>Confidence (1-3)</w:t>
            </w:r>
          </w:p>
        </w:tc>
        <w:tc>
          <w:tcPr>
            <w:tcW w:type="dxa" w:w="2520"/>
            <w:shd w:fill="17365D"/>
            <w:tcMar>
              <w:top w:w="100" w:type="dxa"/>
              <w:start w:w="120" w:type="dxa"/>
              <w:bottom w:w="100" w:type="dxa"/>
              <w:end w:w="120" w:type="dxa"/>
            </w:tcMar>
          </w:tcPr>
          <w:p>
            <w:pPr>
              <w:spacing w:after="0"/>
            </w:pPr>
            <w:r>
              <w:rPr>
                <w:b/>
                <w:color w:val="FFFFFF"/>
                <w:sz w:val="18"/>
              </w:rPr>
              <w:t>Review?</w:t>
            </w:r>
          </w:p>
        </w:tc>
      </w:tr>
      <w:tr>
        <w:trPr>
          <w:cantSplit/>
        </w:trPr>
        <w:tc>
          <w:tcPr>
            <w:tcW w:type="dxa" w:w="1728"/>
            <w:tcMar>
              <w:top w:w="100" w:type="dxa"/>
              <w:start w:w="120" w:type="dxa"/>
              <w:bottom w:w="100" w:type="dxa"/>
              <w:end w:w="120" w:type="dxa"/>
            </w:tcMar>
          </w:tcPr>
          <w:p>
            <w:pPr>
              <w:spacing w:after="0"/>
            </w:pPr>
            <w:r>
              <w:rPr>
                <w:sz w:val="18"/>
              </w:rPr>
              <w:t>1</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2</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3</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4</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5</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6</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7</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8</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r>
        <w:trPr>
          <w:cantSplit/>
        </w:trPr>
        <w:tc>
          <w:tcPr>
            <w:tcW w:type="dxa" w:w="1728"/>
            <w:tcMar>
              <w:top w:w="100" w:type="dxa"/>
              <w:start w:w="120" w:type="dxa"/>
              <w:bottom w:w="100" w:type="dxa"/>
              <w:end w:w="120" w:type="dxa"/>
            </w:tcMar>
          </w:tcPr>
          <w:p>
            <w:pPr>
              <w:spacing w:after="0"/>
            </w:pPr>
            <w:r>
              <w:rPr>
                <w:sz w:val="18"/>
              </w:rPr>
              <w:t>9</w:t>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c>
          <w:tcPr>
            <w:tcW w:type="dxa" w:w="2736"/>
            <w:tcMar>
              <w:top w:w="100" w:type="dxa"/>
              <w:start w:w="120" w:type="dxa"/>
              <w:bottom w:w="100" w:type="dxa"/>
              <w:end w:w="120" w:type="dxa"/>
            </w:tcMar>
          </w:tcPr>
          <w:p>
            <w:pPr>
              <w:spacing w:after="0"/>
            </w:pPr>
            <w:r>
              <w:rPr>
                <w:sz w:val="18"/>
              </w:rPr>
            </w:r>
          </w:p>
        </w:tc>
      </w:tr>
      <w:tr>
        <w:trPr>
          <w:cantSplit/>
        </w:trPr>
        <w:tc>
          <w:tcPr>
            <w:tcW w:type="dxa" w:w="1728"/>
            <w:tcMar>
              <w:top w:w="100" w:type="dxa"/>
              <w:start w:w="120" w:type="dxa"/>
              <w:bottom w:w="100" w:type="dxa"/>
              <w:end w:w="120" w:type="dxa"/>
            </w:tcMar>
            <w:shd w:fill="F7F8FA"/>
          </w:tcPr>
          <w:p>
            <w:pPr>
              <w:spacing w:after="0"/>
            </w:pPr>
            <w:r>
              <w:rPr>
                <w:sz w:val="18"/>
              </w:rPr>
              <w:t>10</w:t>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c>
          <w:tcPr>
            <w:tcW w:type="dxa" w:w="2736"/>
            <w:tcMar>
              <w:top w:w="100" w:type="dxa"/>
              <w:start w:w="120" w:type="dxa"/>
              <w:bottom w:w="100" w:type="dxa"/>
              <w:end w:w="120" w:type="dxa"/>
            </w:tcMar>
            <w:shd w:fill="F7F8FA"/>
          </w:tcPr>
          <w:p>
            <w:pPr>
              <w:spacing w:after="0"/>
            </w:pPr>
            <w:r>
              <w:rPr>
                <w:sz w:val="18"/>
              </w:rPr>
            </w:r>
          </w:p>
        </w:tc>
      </w:tr>
    </w:tbl>
    <w:p>
      <w:pPr>
        <w:spacing w:after="0"/>
      </w:pPr>
    </w:p>
    <w:p>
      <w:pPr>
        <w:keepNext/>
        <w:spacing w:before="160" w:after="80"/>
        <w:shd w:fill="0E7490" w:val="clear"/>
      </w:pPr>
      <w:r>
        <w:rPr>
          <w:rFonts w:ascii="Aptos" w:hAnsi="Aptos"/>
          <w:b/>
          <w:color w:val="FFFFFF"/>
          <w:sz w:val="17"/>
        </w:rPr>
        <w:t>LMFT-WB05-Q001 | Recall | Easy | Primary concept: Provisional diagnosis</w:t>
      </w:r>
    </w:p>
    <w:p>
      <w:pPr>
        <w:keepNext/>
        <w:keepLines/>
        <w:spacing w:before="60"/>
      </w:pPr>
      <w:r>
        <w:rPr>
          <w:b/>
        </w:rPr>
        <w:t>1. A provisional diagnosis is MOST appropriate when:</w:t>
      </w:r>
    </w:p>
    <w:p>
      <w:pPr>
        <w:keepNext/>
        <w:keepLines/>
        <w:spacing w:after="20"/>
        <w:ind w:left="259"/>
      </w:pPr>
      <w:r>
        <w:t>A. The presentation appears to fit a diagnosis, but important confirmation or exclusion information is still pending</w:t>
      </w:r>
    </w:p>
    <w:p>
      <w:pPr>
        <w:keepNext/>
        <w:keepLines/>
        <w:spacing w:after="20"/>
        <w:ind w:left="259"/>
      </w:pPr>
      <w:r>
        <w:t>B. The clinician has no diagnostic information</w:t>
      </w:r>
    </w:p>
    <w:p>
      <w:pPr>
        <w:keepNext/>
        <w:keepLines/>
        <w:spacing w:after="20"/>
        <w:ind w:left="259"/>
      </w:pPr>
      <w:r>
        <w:t>C. The client disagrees with the diagnosis</w:t>
      </w:r>
    </w:p>
    <w:p>
      <w:pPr>
        <w:keepLines/>
        <w:spacing w:after="20"/>
        <w:ind w:left="259"/>
      </w:pPr>
      <w:r>
        <w:t>D. The therapist wants to avoid documenting symptoms</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LMFT-WB05-Q002 | Recall | Easy | Primary concept: Bipolar differential</w:t>
      </w:r>
    </w:p>
    <w:p>
      <w:pPr>
        <w:keepNext/>
        <w:keepLines/>
        <w:spacing w:before="60"/>
      </w:pPr>
      <w:r>
        <w:rPr>
          <w:b/>
        </w:rPr>
        <w:t>2. Which history is MOST important when differentiating bipolar-spectrum depression from unipolar depression?</w:t>
      </w:r>
    </w:p>
    <w:p>
      <w:pPr>
        <w:keepNext/>
        <w:keepLines/>
        <w:spacing w:after="20"/>
        <w:ind w:left="259"/>
      </w:pPr>
      <w:r>
        <w:t>A. Whether the client has ever argued with a partner</w:t>
      </w:r>
    </w:p>
    <w:p>
      <w:pPr>
        <w:keepNext/>
        <w:keepLines/>
        <w:spacing w:after="20"/>
        <w:ind w:left="259"/>
      </w:pPr>
      <w:r>
        <w:t>B. Whether the client has ever had a distinct period of elevated or markedly irritable mood with increased energy and reduced need for sleep</w:t>
      </w:r>
    </w:p>
    <w:p>
      <w:pPr>
        <w:keepNext/>
        <w:keepLines/>
        <w:spacing w:after="20"/>
        <w:ind w:left="259"/>
      </w:pPr>
      <w:r>
        <w:t>C. Whether the client prefers individual therapy</w:t>
      </w:r>
    </w:p>
    <w:p>
      <w:pPr>
        <w:keepLines/>
        <w:spacing w:after="20"/>
        <w:ind w:left="259"/>
      </w:pPr>
      <w:r>
        <w:t>D. Whether the client has a family genogram</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LMFT-WB05-Q003 | Recall | Easy | Primary concept: Gender diversity and distress</w:t>
      </w:r>
    </w:p>
    <w:p>
      <w:pPr>
        <w:keepNext/>
        <w:keepLines/>
        <w:spacing w:before="60"/>
      </w:pPr>
      <w:r>
        <w:rPr>
          <w:b/>
        </w:rPr>
        <w:t>3. Which statement BEST reflects accurate diagnostic reasoning regarding gender dysphoria?</w:t>
      </w:r>
    </w:p>
    <w:p>
      <w:pPr>
        <w:keepNext/>
        <w:keepLines/>
        <w:spacing w:after="20"/>
        <w:ind w:left="259"/>
      </w:pPr>
      <w:r>
        <w:t>A. Gender diversity is itself a mental disorder</w:t>
      </w:r>
    </w:p>
    <w:p>
      <w:pPr>
        <w:keepNext/>
        <w:keepLines/>
        <w:spacing w:after="20"/>
        <w:ind w:left="259"/>
      </w:pPr>
      <w:r>
        <w:t>B. Family disagreement automatically establishes the diagnosis</w:t>
      </w:r>
    </w:p>
    <w:p>
      <w:pPr>
        <w:keepNext/>
        <w:keepLines/>
        <w:spacing w:after="20"/>
        <w:ind w:left="259"/>
      </w:pPr>
      <w:r>
        <w:t>C. A diagnosis is based on clinically significant distress or impairment related to incongruence, not on identity alone</w:t>
      </w:r>
    </w:p>
    <w:p>
      <w:pPr>
        <w:keepLines/>
        <w:spacing w:after="20"/>
        <w:ind w:left="259"/>
      </w:pPr>
      <w:r>
        <w:t>D. The diagnosis excludes all co-occurring conditions</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LMFT-WB05-Q004 | Application | Moderate | Primary concept: Trauma and adjustment differential</w:t>
      </w:r>
    </w:p>
    <w:p>
      <w:pPr>
        <w:keepNext/>
        <w:keepLines/>
        <w:spacing w:before="60"/>
      </w:pPr>
      <w:r>
        <w:rPr>
          <w:b/>
        </w:rPr>
        <w:t>4. A client develops anxiety, sleep disturbance, and irritability after a job loss. The client denies trauma exposure and reports that the symptoms began within weeks of the loss. What should the therapist do next?</w:t>
      </w:r>
    </w:p>
    <w:p>
      <w:pPr>
        <w:keepNext/>
        <w:keepLines/>
        <w:spacing w:after="20"/>
        <w:ind w:left="259"/>
      </w:pPr>
      <w:r>
        <w:t>A. Diagnose posttraumatic stress disorder</w:t>
      </w:r>
    </w:p>
    <w:p>
      <w:pPr>
        <w:keepNext/>
        <w:keepLines/>
        <w:spacing w:after="20"/>
        <w:ind w:left="259"/>
      </w:pPr>
      <w:r>
        <w:t>B. Diagnose generalized anxiety disorder because worry is present</w:t>
      </w:r>
    </w:p>
    <w:p>
      <w:pPr>
        <w:keepNext/>
        <w:keepLines/>
        <w:spacing w:after="20"/>
        <w:ind w:left="259"/>
      </w:pPr>
      <w:r>
        <w:t>C. Begin exposure therapy for trauma memories</w:t>
      </w:r>
    </w:p>
    <w:p>
      <w:pPr>
        <w:keepLines/>
        <w:spacing w:after="20"/>
        <w:ind w:left="259"/>
      </w:pPr>
      <w:r>
        <w:t>D. Assess the severity, duration, functional impact, prior history, other stressors, and whether the response is best understood as an adjustment-related, anxiety, depressive, or other presentation</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LMFT-WB05-Q005 | Application | Moderate | Primary concept: Obsessions and generalized worry</w:t>
      </w:r>
    </w:p>
    <w:p>
      <w:pPr>
        <w:keepNext/>
        <w:keepLines/>
        <w:spacing w:before="60"/>
      </w:pPr>
      <w:r>
        <w:rPr>
          <w:b/>
        </w:rPr>
        <w:t>5. A client spends hours checking locks because of intrusive images that someone will be harmed unless the checking is completed. Which diagnosis should be considered MOST directly?</w:t>
      </w:r>
    </w:p>
    <w:p>
      <w:pPr>
        <w:keepNext/>
        <w:keepLines/>
        <w:spacing w:after="20"/>
        <w:ind w:left="259"/>
      </w:pPr>
      <w:r>
        <w:t>A. Obsessive-compulsive disorder</w:t>
      </w:r>
    </w:p>
    <w:p>
      <w:pPr>
        <w:keepNext/>
        <w:keepLines/>
        <w:spacing w:after="20"/>
        <w:ind w:left="259"/>
      </w:pPr>
      <w:r>
        <w:t>B. Generalized anxiety disorder</w:t>
      </w:r>
    </w:p>
    <w:p>
      <w:pPr>
        <w:keepNext/>
        <w:keepLines/>
        <w:spacing w:after="20"/>
        <w:ind w:left="259"/>
      </w:pPr>
      <w:r>
        <w:t>C. Schizophrenia</w:t>
      </w:r>
    </w:p>
    <w:p>
      <w:pPr>
        <w:keepLines/>
        <w:spacing w:after="20"/>
        <w:ind w:left="259"/>
      </w:pPr>
      <w:r>
        <w:t>D. Dependent personality disorder</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LMFT-WB05-Q006 | Application | Moderate | Primary concept: Contextual conditions</w:t>
      </w:r>
    </w:p>
    <w:p>
      <w:pPr>
        <w:keepNext/>
        <w:keepLines/>
        <w:spacing w:before="60"/>
      </w:pPr>
      <w:r>
        <w:rPr>
          <w:b/>
        </w:rPr>
        <w:t>6. A couple seeks therapy because of escalating conflict after foreclosure and unemployment. Neither partner currently meets criteria for a mental disorder. What is the BEST diagnostic approach?</w:t>
      </w:r>
    </w:p>
    <w:p>
      <w:pPr>
        <w:keepNext/>
        <w:keepLines/>
        <w:spacing w:after="20"/>
        <w:ind w:left="259"/>
      </w:pPr>
      <w:r>
        <w:t>A. Assign a personality disorder to the more critical partner</w:t>
      </w:r>
    </w:p>
    <w:p>
      <w:pPr>
        <w:keepNext/>
        <w:keepLines/>
        <w:spacing w:after="20"/>
        <w:ind w:left="259"/>
      </w:pPr>
      <w:r>
        <w:t>B. Document the relational and socioeconomic problems as conditions requiring clinical attention and continue assessing for any separate disorder</w:t>
      </w:r>
    </w:p>
    <w:p>
      <w:pPr>
        <w:keepNext/>
        <w:keepLines/>
        <w:spacing w:after="20"/>
        <w:ind w:left="259"/>
      </w:pPr>
      <w:r>
        <w:t>C. Diagnose adjustment disorder in both partners automatically</w:t>
      </w:r>
    </w:p>
    <w:p>
      <w:pPr>
        <w:keepLines/>
        <w:spacing w:after="20"/>
        <w:ind w:left="259"/>
      </w:pPr>
      <w:r>
        <w:t>D. Avoid documenting any clinical focus because no mental disorder is present</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LMFT-WB05-Q007 | Scenario | Moderate | Primary concept: Substance-induced psychosis</w:t>
      </w:r>
    </w:p>
    <w:p>
      <w:pPr>
        <w:keepNext/>
        <w:keepLines/>
        <w:spacing w:before="60"/>
      </w:pPr>
      <w:r>
        <w:rPr>
          <w:b/>
        </w:rPr>
        <w:t>7. A young adult is brought to family therapy after becoming paranoid and hearing voices. The family reports heavy stimulant use, several nights without sleep, and one prior psychotic episode during a period of confirmed abstinence. What should the therapist do next?</w:t>
      </w:r>
    </w:p>
    <w:p>
      <w:pPr>
        <w:keepNext/>
        <w:keepLines/>
        <w:spacing w:after="20"/>
        <w:ind w:left="259"/>
      </w:pPr>
      <w:r>
        <w:t>A. Diagnose a stimulant-induced psychotic disorder because current use is present</w:t>
      </w:r>
    </w:p>
    <w:p>
      <w:pPr>
        <w:keepNext/>
        <w:keepLines/>
        <w:spacing w:after="20"/>
        <w:ind w:left="259"/>
      </w:pPr>
      <w:r>
        <w:t>B. Diagnose schizophrenia because a prior episode occurred</w:t>
      </w:r>
    </w:p>
    <w:p>
      <w:pPr>
        <w:keepNext/>
        <w:keepLines/>
        <w:spacing w:after="20"/>
        <w:ind w:left="259"/>
      </w:pPr>
      <w:r>
        <w:t>C. Assess current safety and medical urgency, clarify the timing of psychotic symptoms relative to use and abstinence, obtain prior records, and coordinate psychiatric or medical evaluation before finalizing the differential</w:t>
      </w:r>
    </w:p>
    <w:p>
      <w:pPr>
        <w:keepLines/>
        <w:spacing w:after="20"/>
        <w:ind w:left="259"/>
      </w:pPr>
      <w:r>
        <w:t>D. Begin a structural family intervention</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LMFT-WB05-Q008 | Scenario | Moderate | Primary concept: Child behavioral differential</w:t>
      </w:r>
    </w:p>
    <w:p>
      <w:pPr>
        <w:keepNext/>
        <w:keepLines/>
        <w:spacing w:before="60"/>
      </w:pPr>
      <w:r>
        <w:rPr>
          <w:b/>
        </w:rPr>
        <w:t>8. An eight-year-old has become defiant and aggressive at home and school since a sudden parental separation and move. There was no similar pattern before the transition. What should the therapist do first?</w:t>
      </w:r>
    </w:p>
    <w:p>
      <w:pPr>
        <w:keepNext/>
        <w:keepLines/>
        <w:spacing w:after="20"/>
        <w:ind w:left="259"/>
      </w:pPr>
      <w:r>
        <w:t>A. Diagnose conduct disorder</w:t>
      </w:r>
    </w:p>
    <w:p>
      <w:pPr>
        <w:keepNext/>
        <w:keepLines/>
        <w:spacing w:after="20"/>
        <w:ind w:left="259"/>
      </w:pPr>
      <w:r>
        <w:t>B. Diagnose oppositional defiant disorder</w:t>
      </w:r>
    </w:p>
    <w:p>
      <w:pPr>
        <w:keepNext/>
        <w:keepLines/>
        <w:spacing w:after="20"/>
        <w:ind w:left="259"/>
      </w:pPr>
      <w:r>
        <w:t>C. Tell the parents that the behavior is normal and requires no evaluation</w:t>
      </w:r>
    </w:p>
    <w:p>
      <w:pPr>
        <w:keepLines/>
        <w:spacing w:after="20"/>
        <w:ind w:left="259"/>
      </w:pPr>
      <w:r>
        <w:t>D. Assess the timeline, severity, developmental expectations, trauma and safety, functioning across settings, family conflict, school information, and whether the behavior is a stress-linked response or another condition</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LMFT-WB05-Q009 | Scenario | Moderate | Primary concept: Personality and trauma differential</w:t>
      </w:r>
    </w:p>
    <w:p>
      <w:pPr>
        <w:keepNext/>
        <w:keepLines/>
        <w:spacing w:before="60"/>
      </w:pPr>
      <w:r>
        <w:rPr>
          <w:b/>
        </w:rPr>
        <w:t>9. A client has intense fears of abandonment, unstable relationships, self-injury, and rapid emotional shifts. The symptoms worsened after recent interpersonal violence, and the client reports a long trauma history. What is the BEST diagnostic approach?</w:t>
      </w:r>
    </w:p>
    <w:p>
      <w:pPr>
        <w:keepNext/>
        <w:keepLines/>
        <w:spacing w:after="20"/>
        <w:ind w:left="259"/>
      </w:pPr>
      <w:r>
        <w:t>A. Assess the longstanding pervasiveness of the pattern, trauma symptoms, mood episodes, dissociation, substance use, developmental history, functioning across relationships, and current safety before determining whether personality and trauma-related diagnoses are both supported</w:t>
      </w:r>
    </w:p>
    <w:p>
      <w:pPr>
        <w:keepNext/>
        <w:keepLines/>
        <w:spacing w:after="20"/>
        <w:ind w:left="259"/>
      </w:pPr>
      <w:r>
        <w:t>B. Diagnose a personality disorder immediately because abandonment fears are present</w:t>
      </w:r>
    </w:p>
    <w:p>
      <w:pPr>
        <w:keepNext/>
        <w:keepLines/>
        <w:spacing w:after="20"/>
        <w:ind w:left="259"/>
      </w:pPr>
      <w:r>
        <w:t>C. Diagnose PTSD only because trauma occurred</w:t>
      </w:r>
    </w:p>
    <w:p>
      <w:pPr>
        <w:keepLines/>
        <w:spacing w:after="20"/>
        <w:ind w:left="259"/>
      </w:pPr>
      <w:r>
        <w:t>D. Ask the partner to identify the diagnosis</w:t>
      </w:r>
    </w:p>
    <w:p>
      <w:pPr>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LMFT-WB05-Q010 | Integrated | Challenge | Primary concept: Integrated systemic differential</w:t>
      </w:r>
    </w:p>
    <w:p>
      <w:pPr>
        <w:keepNext/>
        <w:keepLines/>
        <w:spacing w:before="60"/>
      </w:pPr>
      <w:r>
        <w:rPr>
          <w:b/>
        </w:rPr>
        <w:t>10. A married client presents with depression, irritability, poor concentration, secret online gambling, and escalating conflict. The spouse reports periods when the client sleeps only a few hours, starts multiple projects, spends heavily, and becomes unusually confident. The client says these periods occur only after using stimulants to work late. What should the therapist do next?</w:t>
      </w:r>
    </w:p>
    <w:p>
      <w:pPr>
        <w:keepNext/>
        <w:keepLines/>
        <w:spacing w:after="20"/>
        <w:ind w:left="259"/>
      </w:pPr>
      <w:r>
        <w:t>A. Diagnose gambling disorder and begin couple communication training</w:t>
      </w:r>
    </w:p>
    <w:p>
      <w:pPr>
        <w:keepNext/>
        <w:keepLines/>
        <w:spacing w:after="20"/>
        <w:ind w:left="259"/>
      </w:pPr>
      <w:r>
        <w:t>B. Assess safety and financial risk, clarify the timeline of mood and energy episodes, stimulant use, gambling pattern, symptoms during abstinence, prior depressive episodes, medical and medication factors, functional impairment, and each partner’s observations; obtain appropriate psychiatric or addiction consultation before finalizing the differential</w:t>
      </w:r>
    </w:p>
    <w:p>
      <w:pPr>
        <w:keepNext/>
        <w:keepLines/>
        <w:spacing w:after="20"/>
        <w:ind w:left="259"/>
      </w:pPr>
      <w:r>
        <w:t>C. Diagnose bipolar disorder based on the spouse’s report</w:t>
      </w:r>
    </w:p>
    <w:p>
      <w:pPr>
        <w:keepLines/>
        <w:spacing w:after="20"/>
        <w:ind w:left="259"/>
      </w:pPr>
      <w:r>
        <w:t>D. Diagnose a relationship problem only because the couple is in conflict</w:t>
      </w:r>
    </w:p>
    <w:p>
      <w:pPr>
        <w:spacing w:after="160"/>
      </w:pPr>
      <w:r>
        <w:rPr>
          <w:rFonts w:ascii="Aptos" w:hAnsi="Aptos"/>
          <w:i/>
          <w:color w:val="6B7280"/>
          <w:sz w:val="18"/>
        </w:rPr>
        <w:t>My answer: ______    Confidence: 1  2  3</w:t>
      </w:r>
    </w:p>
    <w:p>
      <w:r>
        <w:br w:type="page"/>
      </w:r>
    </w:p>
    <w:p>
      <w:pPr>
        <w:pStyle w:val="Heading1"/>
      </w:pPr>
      <w:r>
        <w:t>Answer Key and Detailed Rationales</w:t>
      </w:r>
    </w:p>
    <w:tbl>
      <w:tblPr>
        <w:tblW w:type="auto" w:w="0"/>
        <w:jc w:val="center"/>
        <w:tblLayout w:type="fixed"/>
        <w:tblLook w:firstColumn="1" w:firstRow="1" w:lastColumn="0" w:lastRow="0" w:noHBand="0" w:noVBand="1" w:val="04A0"/>
      </w:tblPr>
      <w:tblGrid>
        <w:gridCol w:w="9936"/>
      </w:tblGrid>
      <w:tr>
        <w:trPr>
          <w:cantSplit/>
        </w:trPr>
        <w:tc>
          <w:tcPr>
            <w:tcW w:type="dxa" w:w="10080"/>
            <w:shd w:fill="E7F5F4"/>
            <w:tcMar>
              <w:top w:w="160" w:type="dxa"/>
              <w:start w:w="180" w:type="dxa"/>
              <w:bottom w:w="160" w:type="dxa"/>
              <w:end w:w="180" w:type="dxa"/>
            </w:tcMar>
            <w:vAlign w:val="center"/>
          </w:tcPr>
          <w:p>
            <w:pPr>
              <w:spacing w:after="80"/>
            </w:pPr>
            <w:r>
              <w:rPr>
                <w:b/>
                <w:i w:val="0"/>
                <w:color w:val="0F7C82"/>
              </w:rPr>
              <w:t>How to Review</w:t>
            </w:r>
          </w:p>
          <w:p>
            <w:pPr>
              <w:spacing w:after="0"/>
            </w:pPr>
            <w:r>
              <w:t>For each missed item, identify whether the error came from content knowledge, chronology, question wording, scope, urgency, or premature certainty. Then restate the best-answer rule in your own words.</w:t>
            </w:r>
          </w:p>
        </w:tc>
      </w:tr>
    </w:tbl>
    <w:p>
      <w:pPr>
        <w:spacing w:after="0"/>
      </w:pPr>
    </w:p>
    <w:p>
      <w:pPr>
        <w:pStyle w:val="Heading2"/>
        <w:keepNext/>
        <w:keepLines/>
      </w:pPr>
      <w:r>
        <w:t>Question 1 (LMFT-WB05-Q001)</w:t>
      </w:r>
    </w:p>
    <w:p>
      <w:pPr>
        <w:keepNext/>
        <w:keepLines/>
      </w:pPr>
      <w:r>
        <w:rPr>
          <w:b/>
          <w:i w:val="0"/>
          <w:color w:val="0F7C82"/>
        </w:rPr>
        <w:t>Correct Answer: A</w:t>
      </w:r>
    </w:p>
    <w:p>
      <w:pPr>
        <w:keepNext/>
        <w:keepLines/>
        <w:spacing w:after="40"/>
        <w:ind w:left="173"/>
      </w:pPr>
      <w:r>
        <w:rPr>
          <w:b/>
          <w:i w:val="0"/>
        </w:rPr>
        <w:t>A. Provisional language communicates a supported but not fully confirmed diagnosis.</w:t>
      </w:r>
    </w:p>
    <w:p>
      <w:pPr>
        <w:keepNext/>
        <w:keepLines/>
        <w:spacing w:after="40"/>
        <w:ind w:left="173"/>
      </w:pPr>
      <w:r>
        <w:rPr>
          <w:b/>
          <w:i w:val="0"/>
        </w:rPr>
        <w:t>B. A provisional diagnosis still requires a supported working impression.</w:t>
      </w:r>
    </w:p>
    <w:p>
      <w:pPr>
        <w:keepNext/>
        <w:keepLines/>
        <w:spacing w:after="40"/>
        <w:ind w:left="173"/>
      </w:pPr>
      <w:r>
        <w:rPr>
          <w:b/>
          <w:i w:val="0"/>
        </w:rPr>
        <w:t>C. Client disagreement may require discussion but does not define provisional status.</w:t>
      </w:r>
    </w:p>
    <w:p>
      <w:pPr>
        <w:keepNext/>
        <w:keepLines/>
        <w:spacing w:after="40"/>
        <w:ind w:left="173"/>
      </w:pPr>
      <w:r>
        <w:rPr>
          <w:b/>
          <w:i w:val="0"/>
        </w:rPr>
        <w:t>D. Provisional language is not used to avoid documentation.</w:t>
      </w:r>
    </w:p>
    <w:p>
      <w:pPr>
        <w:keepLines/>
        <w:spacing w:after="120"/>
        <w:ind w:left="173"/>
      </w:pPr>
      <w:r>
        <w:rPr>
          <w:b/>
          <w:i w:val="0"/>
          <w:color w:val="1F4E78"/>
        </w:rPr>
        <w:t xml:space="preserve">Exam Strategy: </w:t>
      </w:r>
      <w:r>
        <w:rPr>
          <w:b w:val="0"/>
          <w:i/>
        </w:rPr>
        <w:t>Match the response to the task in the stem and avoid certainty that exceeds the available evidence.</w:t>
      </w:r>
    </w:p>
    <w:p>
      <w:pPr>
        <w:pStyle w:val="Heading2"/>
        <w:keepNext/>
        <w:keepLines/>
      </w:pPr>
      <w:r>
        <w:t>Question 2 (LMFT-WB05-Q002)</w:t>
      </w:r>
    </w:p>
    <w:p>
      <w:pPr>
        <w:keepNext/>
        <w:keepLines/>
      </w:pPr>
      <w:r>
        <w:rPr>
          <w:b/>
          <w:i w:val="0"/>
          <w:color w:val="0F7C82"/>
        </w:rPr>
        <w:t>Correct Answer: B</w:t>
      </w:r>
    </w:p>
    <w:p>
      <w:pPr>
        <w:keepNext/>
        <w:keepLines/>
        <w:spacing w:after="40"/>
        <w:ind w:left="173"/>
      </w:pPr>
      <w:r>
        <w:rPr>
          <w:b/>
          <w:i w:val="0"/>
        </w:rPr>
        <w:t>A. Relationship conflict is nonspecific.</w:t>
      </w:r>
    </w:p>
    <w:p>
      <w:pPr>
        <w:keepNext/>
        <w:keepLines/>
        <w:spacing w:after="40"/>
        <w:ind w:left="173"/>
      </w:pPr>
      <w:r>
        <w:rPr>
          <w:b/>
          <w:i w:val="0"/>
        </w:rPr>
        <w:t>B. A distinct episode of mood and energy elevation is a central differentiating feature.</w:t>
      </w:r>
    </w:p>
    <w:p>
      <w:pPr>
        <w:keepNext/>
        <w:keepLines/>
        <w:spacing w:after="40"/>
        <w:ind w:left="173"/>
      </w:pPr>
      <w:r>
        <w:rPr>
          <w:b/>
          <w:i w:val="0"/>
        </w:rPr>
        <w:t>C. Treatment preference does not distinguish the diagnoses.</w:t>
      </w:r>
    </w:p>
    <w:p>
      <w:pPr>
        <w:keepNext/>
        <w:keepLines/>
        <w:spacing w:after="40"/>
        <w:ind w:left="173"/>
      </w:pPr>
      <w:r>
        <w:rPr>
          <w:b/>
          <w:i w:val="0"/>
        </w:rPr>
        <w:t>D. A genogram may add context but does not replace episode history.</w:t>
      </w:r>
    </w:p>
    <w:p>
      <w:pPr>
        <w:keepLines/>
        <w:spacing w:after="120"/>
        <w:ind w:left="173"/>
      </w:pPr>
      <w:r>
        <w:rPr>
          <w:b/>
          <w:i w:val="0"/>
          <w:color w:val="1F4E78"/>
        </w:rPr>
        <w:t xml:space="preserve">Exam Strategy: </w:t>
      </w:r>
      <w:r>
        <w:rPr>
          <w:b w:val="0"/>
          <w:i/>
        </w:rPr>
        <w:t>Integrate clinical pattern with context without replacing diagnostic evidence with a relational or environmental explanation.</w:t>
      </w:r>
    </w:p>
    <w:p>
      <w:pPr>
        <w:pStyle w:val="Heading2"/>
        <w:keepNext/>
        <w:keepLines/>
      </w:pPr>
      <w:r>
        <w:t>Question 3 (LMFT-WB05-Q003)</w:t>
      </w:r>
    </w:p>
    <w:p>
      <w:pPr>
        <w:keepNext/>
        <w:keepLines/>
      </w:pPr>
      <w:r>
        <w:rPr>
          <w:b/>
          <w:i w:val="0"/>
          <w:color w:val="0F7C82"/>
        </w:rPr>
        <w:t>Correct Answer: C</w:t>
      </w:r>
    </w:p>
    <w:p>
      <w:pPr>
        <w:keepNext/>
        <w:keepLines/>
        <w:spacing w:after="40"/>
        <w:ind w:left="173"/>
      </w:pPr>
      <w:r>
        <w:rPr>
          <w:b/>
          <w:i w:val="0"/>
        </w:rPr>
        <w:t>A. Gender-diverse identity is not itself a mental disorder.</w:t>
      </w:r>
    </w:p>
    <w:p>
      <w:pPr>
        <w:keepNext/>
        <w:keepLines/>
        <w:spacing w:after="40"/>
        <w:ind w:left="173"/>
      </w:pPr>
      <w:r>
        <w:rPr>
          <w:b/>
          <w:i w:val="0"/>
        </w:rPr>
        <w:t>B. Family conflict may contribute to distress but does not automatically establish a diagnosis.</w:t>
      </w:r>
    </w:p>
    <w:p>
      <w:pPr>
        <w:keepNext/>
        <w:keepLines/>
        <w:spacing w:after="40"/>
        <w:ind w:left="173"/>
      </w:pPr>
      <w:r>
        <w:rPr>
          <w:b/>
          <w:i w:val="0"/>
        </w:rPr>
        <w:t>C. The diagnostic focus is clinically significant distress or impairment, not identity.</w:t>
      </w:r>
    </w:p>
    <w:p>
      <w:pPr>
        <w:keepNext/>
        <w:keepLines/>
        <w:spacing w:after="40"/>
        <w:ind w:left="173"/>
      </w:pPr>
      <w:r>
        <w:rPr>
          <w:b/>
          <w:i w:val="0"/>
        </w:rPr>
        <w:t>D. Co-occurring depression, anxiety, trauma, or other concerns may also require assessment.</w:t>
      </w:r>
    </w:p>
    <w:p>
      <w:pPr>
        <w:keepLines/>
        <w:spacing w:after="120"/>
        <w:ind w:left="173"/>
      </w:pPr>
      <w:r>
        <w:rPr>
          <w:b/>
          <w:i w:val="0"/>
          <w:color w:val="1F4E78"/>
        </w:rPr>
        <w:t xml:space="preserve">Exam Strategy: </w:t>
      </w:r>
      <w:r>
        <w:rPr>
          <w:b w:val="0"/>
          <w:i/>
        </w:rPr>
        <w:t>Match the response to the task in the stem and avoid certainty that exceeds the available evidence.</w:t>
      </w:r>
    </w:p>
    <w:p>
      <w:pPr>
        <w:pStyle w:val="Heading2"/>
        <w:keepNext/>
        <w:keepLines/>
      </w:pPr>
      <w:r>
        <w:t>Question 4 (LMFT-WB05-Q004)</w:t>
      </w:r>
    </w:p>
    <w:p>
      <w:pPr>
        <w:keepNext/>
        <w:keepLines/>
      </w:pPr>
      <w:r>
        <w:rPr>
          <w:b/>
          <w:i w:val="0"/>
          <w:color w:val="0F7C82"/>
        </w:rPr>
        <w:t>Correct Answer: D</w:t>
      </w:r>
    </w:p>
    <w:p>
      <w:pPr>
        <w:keepNext/>
        <w:keepLines/>
        <w:spacing w:after="40"/>
        <w:ind w:left="173"/>
      </w:pPr>
      <w:r>
        <w:rPr>
          <w:b/>
          <w:i w:val="0"/>
        </w:rPr>
        <w:t>A. The scenario does not establish the required trauma exposure or PTSD pattern.</w:t>
      </w:r>
    </w:p>
    <w:p>
      <w:pPr>
        <w:keepNext/>
        <w:keepLines/>
        <w:spacing w:after="40"/>
        <w:ind w:left="173"/>
      </w:pPr>
      <w:r>
        <w:rPr>
          <w:b/>
          <w:i w:val="0"/>
        </w:rPr>
        <w:t>B. Worry alone does not establish generalized anxiety disorder.</w:t>
      </w:r>
    </w:p>
    <w:p>
      <w:pPr>
        <w:keepNext/>
        <w:keepLines/>
        <w:spacing w:after="40"/>
        <w:ind w:left="173"/>
      </w:pPr>
      <w:r>
        <w:rPr>
          <w:b/>
          <w:i w:val="0"/>
        </w:rPr>
        <w:t>C. No trauma-memory presentation has been established.</w:t>
      </w:r>
    </w:p>
    <w:p>
      <w:pPr>
        <w:keepNext/>
        <w:keepLines/>
        <w:spacing w:after="40"/>
        <w:ind w:left="173"/>
      </w:pPr>
      <w:r>
        <w:rPr>
          <w:b/>
          <w:i w:val="0"/>
        </w:rPr>
        <w:t>D. This compares plausible stress- and anxiety-related explanations and gathers missing information.</w:t>
      </w:r>
    </w:p>
    <w:p>
      <w:pPr>
        <w:keepLines/>
        <w:spacing w:after="120"/>
        <w:ind w:left="173"/>
      </w:pPr>
      <w:r>
        <w:rPr>
          <w:b/>
          <w:i w:val="0"/>
          <w:color w:val="1F4E78"/>
        </w:rPr>
        <w:t xml:space="preserve">Exam Strategy: </w:t>
      </w:r>
      <w:r>
        <w:rPr>
          <w:b w:val="0"/>
          <w:i/>
        </w:rPr>
        <w:t>Match the response to the task in the stem and avoid certainty that exceeds the available evidence.</w:t>
      </w:r>
    </w:p>
    <w:p>
      <w:pPr>
        <w:pStyle w:val="Heading2"/>
        <w:keepNext/>
        <w:keepLines/>
      </w:pPr>
      <w:r>
        <w:t>Question 5 (LMFT-WB05-Q005)</w:t>
      </w:r>
    </w:p>
    <w:p>
      <w:pPr>
        <w:keepNext/>
        <w:keepLines/>
      </w:pPr>
      <w:r>
        <w:rPr>
          <w:b/>
          <w:i w:val="0"/>
          <w:color w:val="0F7C82"/>
        </w:rPr>
        <w:t>Correct Answer: A</w:t>
      </w:r>
    </w:p>
    <w:p>
      <w:pPr>
        <w:keepNext/>
        <w:keepLines/>
        <w:spacing w:after="40"/>
        <w:ind w:left="173"/>
      </w:pPr>
      <w:r>
        <w:rPr>
          <w:b/>
          <w:i w:val="0"/>
        </w:rPr>
        <w:t>A. Intrusive thoughts linked to repetitive behavior intended to reduce distress are most consistent with an obsessive-compulsive pattern.</w:t>
      </w:r>
    </w:p>
    <w:p>
      <w:pPr>
        <w:keepNext/>
        <w:keepLines/>
        <w:spacing w:after="40"/>
        <w:ind w:left="173"/>
      </w:pPr>
      <w:r>
        <w:rPr>
          <w:b/>
          <w:i w:val="0"/>
        </w:rPr>
        <w:t>B. Generalized worry is broader and is not typically organized around a ritualized compulsion.</w:t>
      </w:r>
    </w:p>
    <w:p>
      <w:pPr>
        <w:keepNext/>
        <w:keepLines/>
        <w:spacing w:after="40"/>
        <w:ind w:left="173"/>
      </w:pPr>
      <w:r>
        <w:rPr>
          <w:b/>
          <w:i w:val="0"/>
        </w:rPr>
        <w:t>C. The client’s intrusive images and checking do not by themselves indicate psychosis.</w:t>
      </w:r>
    </w:p>
    <w:p>
      <w:pPr>
        <w:keepNext/>
        <w:keepLines/>
        <w:spacing w:after="40"/>
        <w:ind w:left="173"/>
      </w:pPr>
      <w:r>
        <w:rPr>
          <w:b/>
          <w:i w:val="0"/>
        </w:rPr>
        <w:t>D. The scenario does not describe a pervasive dependency pattern.</w:t>
      </w:r>
    </w:p>
    <w:p>
      <w:pPr>
        <w:keepLines/>
        <w:spacing w:after="120"/>
        <w:ind w:left="173"/>
      </w:pPr>
      <w:r>
        <w:rPr>
          <w:b/>
          <w:i w:val="0"/>
          <w:color w:val="1F4E78"/>
        </w:rPr>
        <w:t xml:space="preserve">Exam Strategy: </w:t>
      </w:r>
      <w:r>
        <w:rPr>
          <w:b w:val="0"/>
          <w:i/>
        </w:rPr>
        <w:t>Match the response to the task in the stem and avoid certainty that exceeds the available evidence.</w:t>
      </w:r>
    </w:p>
    <w:p>
      <w:pPr>
        <w:pStyle w:val="Heading2"/>
        <w:keepNext/>
        <w:keepLines/>
      </w:pPr>
      <w:r>
        <w:t>Question 6 (LMFT-WB05-Q006)</w:t>
      </w:r>
    </w:p>
    <w:p>
      <w:pPr>
        <w:keepNext/>
        <w:keepLines/>
      </w:pPr>
      <w:r>
        <w:rPr>
          <w:b/>
          <w:i w:val="0"/>
          <w:color w:val="0F7C82"/>
        </w:rPr>
        <w:t>Correct Answer: B</w:t>
      </w:r>
    </w:p>
    <w:p>
      <w:pPr>
        <w:keepNext/>
        <w:keepLines/>
        <w:spacing w:after="40"/>
        <w:ind w:left="173"/>
      </w:pPr>
      <w:r>
        <w:rPr>
          <w:b/>
          <w:i w:val="0"/>
        </w:rPr>
        <w:t>A. Conflict and criticism do not establish a personality disorder.</w:t>
      </w:r>
    </w:p>
    <w:p>
      <w:pPr>
        <w:keepNext/>
        <w:keepLines/>
        <w:spacing w:after="40"/>
        <w:ind w:left="173"/>
      </w:pPr>
      <w:r>
        <w:rPr>
          <w:b/>
          <w:i w:val="0"/>
        </w:rPr>
        <w:t>B. Relational and socioeconomic conditions may appropriately be the focus of treatment without forcing a mental-disorder diagnosis.</w:t>
      </w:r>
    </w:p>
    <w:p>
      <w:pPr>
        <w:keepNext/>
        <w:keepLines/>
        <w:spacing w:after="40"/>
        <w:ind w:left="173"/>
      </w:pPr>
      <w:r>
        <w:rPr>
          <w:b/>
          <w:i w:val="0"/>
        </w:rPr>
        <w:t>C. An identifiable stressor does not automatically establish adjustment disorder in each person.</w:t>
      </w:r>
    </w:p>
    <w:p>
      <w:pPr>
        <w:keepNext/>
        <w:keepLines/>
        <w:spacing w:after="40"/>
        <w:ind w:left="173"/>
      </w:pPr>
      <w:r>
        <w:rPr>
          <w:b/>
          <w:i w:val="0"/>
        </w:rPr>
        <w:t>D. Clinically significant contextual and relational problems can be documented and treated.</w:t>
      </w:r>
    </w:p>
    <w:p>
      <w:pPr>
        <w:keepLines/>
        <w:spacing w:after="120"/>
        <w:ind w:left="173"/>
      </w:pPr>
      <w:r>
        <w:rPr>
          <w:b/>
          <w:i w:val="0"/>
          <w:color w:val="1F4E78"/>
        </w:rPr>
        <w:t xml:space="preserve">Exam Strategy: </w:t>
      </w:r>
      <w:r>
        <w:rPr>
          <w:b w:val="0"/>
          <w:i/>
        </w:rPr>
        <w:t>Integrate clinical pattern with context without replacing diagnostic evidence with a relational or environmental explanation.</w:t>
      </w:r>
    </w:p>
    <w:p>
      <w:pPr>
        <w:pStyle w:val="Heading2"/>
        <w:keepNext/>
        <w:keepLines/>
      </w:pPr>
      <w:r>
        <w:t>Question 7 (LMFT-WB05-Q007)</w:t>
      </w:r>
    </w:p>
    <w:p>
      <w:pPr>
        <w:keepNext/>
        <w:keepLines/>
      </w:pPr>
      <w:r>
        <w:rPr>
          <w:b/>
          <w:i w:val="0"/>
          <w:color w:val="0F7C82"/>
        </w:rPr>
        <w:t>Correct Answer: C</w:t>
      </w:r>
    </w:p>
    <w:p>
      <w:pPr>
        <w:keepNext/>
        <w:keepLines/>
        <w:spacing w:after="40"/>
        <w:ind w:left="173"/>
      </w:pPr>
      <w:r>
        <w:rPr>
          <w:b/>
          <w:i w:val="0"/>
        </w:rPr>
        <w:t>A. Current use is relevant but does not fully explain the prior abstinent episode.</w:t>
      </w:r>
    </w:p>
    <w:p>
      <w:pPr>
        <w:keepNext/>
        <w:keepLines/>
        <w:spacing w:after="40"/>
        <w:ind w:left="173"/>
      </w:pPr>
      <w:r>
        <w:rPr>
          <w:b/>
          <w:i w:val="0"/>
        </w:rPr>
        <w:t>B. A prior psychotic episode alone does not establish schizophrenia without broader course and exclusion data.</w:t>
      </w:r>
    </w:p>
    <w:p>
      <w:pPr>
        <w:keepNext/>
        <w:keepLines/>
        <w:spacing w:after="40"/>
        <w:ind w:left="173"/>
      </w:pPr>
      <w:r>
        <w:rPr>
          <w:b/>
          <w:i w:val="0"/>
        </w:rPr>
        <w:t>C. This addresses safety, chronology, records, and the central primary-versus-substance-induced differential.</w:t>
      </w:r>
    </w:p>
    <w:p>
      <w:pPr>
        <w:keepNext/>
        <w:keepLines/>
        <w:spacing w:after="40"/>
        <w:ind w:left="173"/>
      </w:pPr>
      <w:r>
        <w:rPr>
          <w:b/>
          <w:i w:val="0"/>
        </w:rPr>
        <w:t>D. Family treatment may later support care but does not resolve the urgent diagnostic question.</w:t>
      </w:r>
    </w:p>
    <w:p>
      <w:pPr>
        <w:keepLines/>
        <w:spacing w:after="120"/>
        <w:ind w:left="173"/>
      </w:pPr>
      <w:r>
        <w:rPr>
          <w:b/>
          <w:i w:val="0"/>
          <w:color w:val="1F4E78"/>
        </w:rPr>
        <w:t xml:space="preserve">Exam Strategy: </w:t>
      </w:r>
      <w:r>
        <w:rPr>
          <w:b w:val="0"/>
          <w:i/>
        </w:rPr>
        <w:t>Use chronology to separate primary, substance-related, medication-related, stress-linked, and episodic explanations.</w:t>
      </w:r>
    </w:p>
    <w:p>
      <w:pPr>
        <w:pStyle w:val="Heading2"/>
        <w:keepNext/>
        <w:keepLines/>
      </w:pPr>
      <w:r>
        <w:t>Question 8 (LMFT-WB05-Q008)</w:t>
      </w:r>
    </w:p>
    <w:p>
      <w:pPr>
        <w:keepNext/>
        <w:keepLines/>
      </w:pPr>
      <w:r>
        <w:rPr>
          <w:b/>
          <w:i w:val="0"/>
          <w:color w:val="0F7C82"/>
        </w:rPr>
        <w:t>Correct Answer: D</w:t>
      </w:r>
    </w:p>
    <w:p>
      <w:pPr>
        <w:keepNext/>
        <w:keepLines/>
        <w:spacing w:after="40"/>
        <w:ind w:left="173"/>
      </w:pPr>
      <w:r>
        <w:rPr>
          <w:b/>
          <w:i w:val="0"/>
        </w:rPr>
        <w:t>A. The scenario does not establish a longstanding conduct pattern.</w:t>
      </w:r>
    </w:p>
    <w:p>
      <w:pPr>
        <w:keepNext/>
        <w:keepLines/>
        <w:spacing w:after="40"/>
        <w:ind w:left="173"/>
      </w:pPr>
      <w:r>
        <w:rPr>
          <w:b/>
          <w:i w:val="0"/>
        </w:rPr>
        <w:t>B. Defiance is present, but onset after a major disruption requires broader differential assessment.</w:t>
      </w:r>
    </w:p>
    <w:p>
      <w:pPr>
        <w:keepNext/>
        <w:keepLines/>
        <w:spacing w:after="40"/>
        <w:ind w:left="173"/>
      </w:pPr>
      <w:r>
        <w:rPr>
          <w:b/>
          <w:i w:val="0"/>
        </w:rPr>
        <w:t>C. The impairment across settings warrants assessment.</w:t>
      </w:r>
    </w:p>
    <w:p>
      <w:pPr>
        <w:keepNext/>
        <w:keepLines/>
        <w:spacing w:after="40"/>
        <w:ind w:left="173"/>
      </w:pPr>
      <w:r>
        <w:rPr>
          <w:b/>
          <w:i w:val="0"/>
        </w:rPr>
        <w:t>D. This evaluates development, context, settings, and plausible adjustment, trauma, disruptive, or other explanations.</w:t>
      </w:r>
    </w:p>
    <w:p>
      <w:pPr>
        <w:keepLines/>
        <w:spacing w:after="120"/>
        <w:ind w:left="173"/>
      </w:pPr>
      <w:r>
        <w:rPr>
          <w:b/>
          <w:i w:val="0"/>
          <w:color w:val="1F4E78"/>
        </w:rPr>
        <w:t xml:space="preserve">Exam Strategy: </w:t>
      </w:r>
      <w:r>
        <w:rPr>
          <w:b w:val="0"/>
          <w:i/>
        </w:rPr>
        <w:t>Integrate clinical pattern with context without replacing diagnostic evidence with a relational or environmental explanation.</w:t>
      </w:r>
    </w:p>
    <w:p>
      <w:pPr>
        <w:pStyle w:val="Heading2"/>
        <w:keepNext/>
        <w:keepLines/>
      </w:pPr>
      <w:r>
        <w:t>Question 9 (LMFT-WB05-Q009)</w:t>
      </w:r>
    </w:p>
    <w:p>
      <w:pPr>
        <w:keepNext/>
        <w:keepLines/>
      </w:pPr>
      <w:r>
        <w:rPr>
          <w:b/>
          <w:i w:val="0"/>
          <w:color w:val="0F7C82"/>
        </w:rPr>
        <w:t>Correct Answer: A</w:t>
      </w:r>
    </w:p>
    <w:p>
      <w:pPr>
        <w:keepNext/>
        <w:keepLines/>
        <w:spacing w:after="40"/>
        <w:ind w:left="173"/>
      </w:pPr>
      <w:r>
        <w:rPr>
          <w:b/>
          <w:i w:val="0"/>
        </w:rPr>
        <w:t>A. This compares trauma, personality, mood, dissociation, and substance possibilities and allows comorbidity when supported.</w:t>
      </w:r>
    </w:p>
    <w:p>
      <w:pPr>
        <w:keepNext/>
        <w:keepLines/>
        <w:spacing w:after="40"/>
        <w:ind w:left="173"/>
      </w:pPr>
      <w:r>
        <w:rPr>
          <w:b/>
          <w:i w:val="0"/>
        </w:rPr>
        <w:t>B. One feature does not establish a pervasive personality pattern.</w:t>
      </w:r>
    </w:p>
    <w:p>
      <w:pPr>
        <w:keepNext/>
        <w:keepLines/>
        <w:spacing w:after="40"/>
        <w:ind w:left="173"/>
      </w:pPr>
      <w:r>
        <w:rPr>
          <w:b/>
          <w:i w:val="0"/>
        </w:rPr>
        <w:t>C. Trauma history alone does not explain every symptom or exclude comorbidity.</w:t>
      </w:r>
    </w:p>
    <w:p>
      <w:pPr>
        <w:keepNext/>
        <w:keepLines/>
        <w:spacing w:after="40"/>
        <w:ind w:left="173"/>
      </w:pPr>
      <w:r>
        <w:rPr>
          <w:b/>
          <w:i w:val="0"/>
        </w:rPr>
        <w:t>D. A partner cannot determine the diagnosis.</w:t>
      </w:r>
    </w:p>
    <w:p>
      <w:pPr>
        <w:keepLines/>
        <w:spacing w:after="120"/>
        <w:ind w:left="173"/>
      </w:pPr>
      <w:r>
        <w:rPr>
          <w:b/>
          <w:i w:val="0"/>
          <w:color w:val="1F4E78"/>
        </w:rPr>
        <w:t xml:space="preserve">Exam Strategy: </w:t>
      </w:r>
      <w:r>
        <w:rPr>
          <w:b w:val="0"/>
          <w:i/>
        </w:rPr>
        <w:t>Match the response to the task in the stem and avoid certainty that exceeds the available evidence.</w:t>
      </w:r>
    </w:p>
    <w:p>
      <w:pPr>
        <w:pStyle w:val="Heading2"/>
        <w:keepNext/>
        <w:keepLines/>
      </w:pPr>
      <w:r>
        <w:t>Question 10 (LMFT-WB05-Q010)</w:t>
      </w:r>
    </w:p>
    <w:p>
      <w:pPr>
        <w:keepNext/>
        <w:keepLines/>
      </w:pPr>
      <w:r>
        <w:rPr>
          <w:b/>
          <w:i w:val="0"/>
          <w:color w:val="0F7C82"/>
        </w:rPr>
        <w:t>Correct Answer: B</w:t>
      </w:r>
    </w:p>
    <w:p>
      <w:pPr>
        <w:keepNext/>
        <w:keepLines/>
        <w:spacing w:after="40"/>
        <w:ind w:left="173"/>
      </w:pPr>
      <w:r>
        <w:rPr>
          <w:b/>
          <w:i w:val="0"/>
        </w:rPr>
        <w:t>A. Gambling may require diagnosis and intervention, but the mood and stimulant differential remains unresolved.</w:t>
      </w:r>
    </w:p>
    <w:p>
      <w:pPr>
        <w:keepNext/>
        <w:keepLines/>
        <w:spacing w:after="40"/>
        <w:ind w:left="173"/>
      </w:pPr>
      <w:r>
        <w:rPr>
          <w:b/>
          <w:i w:val="0"/>
        </w:rPr>
        <w:t>B. This integrates bipolar, substance-induced, gambling, depressive, medical, safety, financial, and relational factors.</w:t>
      </w:r>
    </w:p>
    <w:p>
      <w:pPr>
        <w:keepNext/>
        <w:keepLines/>
        <w:spacing w:after="40"/>
        <w:ind w:left="173"/>
      </w:pPr>
      <w:r>
        <w:rPr>
          <w:b/>
          <w:i w:val="0"/>
        </w:rPr>
        <w:t>C. Collateral information is important but not sufficient by itself for diagnosis.</w:t>
      </w:r>
    </w:p>
    <w:p>
      <w:pPr>
        <w:keepNext/>
        <w:keepLines/>
        <w:spacing w:after="40"/>
        <w:ind w:left="173"/>
      </w:pPr>
      <w:r>
        <w:rPr>
          <w:b/>
          <w:i w:val="0"/>
        </w:rPr>
        <w:t>D. Relationship conflict does not explain the full clinical presentation.</w:t>
      </w:r>
    </w:p>
    <w:p>
      <w:pPr>
        <w:keepLines/>
        <w:spacing w:after="120"/>
        <w:ind w:left="173"/>
      </w:pPr>
      <w:r>
        <w:rPr>
          <w:b/>
          <w:i w:val="0"/>
          <w:color w:val="1F4E78"/>
        </w:rPr>
        <w:t xml:space="preserve">Exam Strategy: </w:t>
      </w:r>
      <w:r>
        <w:rPr>
          <w:b w:val="0"/>
          <w:i/>
        </w:rPr>
        <w:t>Integrate clinical pattern with context without replacing diagnostic evidence with a relational or environmental explanation.</w:t>
      </w:r>
    </w:p>
    <w:p>
      <w:r>
        <w:br w:type="page"/>
      </w:r>
    </w:p>
    <w:p>
      <w:pPr>
        <w:pStyle w:val="Heading1"/>
      </w:pPr>
      <w:r>
        <w:t>Score and Study Plan</w:t>
      </w:r>
    </w:p>
    <w:tbl>
      <w:tblPr>
        <w:tblStyle w:val="TableGrid"/>
        <w:tblW w:type="auto" w:w="0"/>
        <w:jc w:val="center"/>
        <w:tblLayout w:type="fixed"/>
        <w:tblLook w:firstColumn="1" w:firstRow="1" w:lastColumn="0" w:lastRow="0" w:noHBand="0" w:noVBand="1" w:val="04A0"/>
      </w:tblPr>
      <w:tblGrid>
        <w:gridCol w:w="1728"/>
        <w:gridCol w:w="2880"/>
        <w:gridCol w:w="5328"/>
      </w:tblGrid>
      <w:tr>
        <w:trPr>
          <w:tblHeader w:val="true"/>
          <w:cantSplit/>
        </w:trPr>
        <w:tc>
          <w:tcPr>
            <w:tcW w:type="dxa" w:w="3360"/>
            <w:shd w:fill="17365D"/>
            <w:tcMar>
              <w:top w:w="100" w:type="dxa"/>
              <w:start w:w="120" w:type="dxa"/>
              <w:bottom w:w="100" w:type="dxa"/>
              <w:end w:w="120" w:type="dxa"/>
            </w:tcMar>
          </w:tcPr>
          <w:p>
            <w:pPr>
              <w:spacing w:after="0"/>
            </w:pPr>
            <w:r>
              <w:rPr>
                <w:b/>
                <w:color w:val="FFFFFF"/>
                <w:sz w:val="18"/>
              </w:rPr>
              <w:t>Score Range</w:t>
            </w:r>
          </w:p>
        </w:tc>
        <w:tc>
          <w:tcPr>
            <w:tcW w:type="dxa" w:w="3360"/>
            <w:shd w:fill="17365D"/>
            <w:tcMar>
              <w:top w:w="100" w:type="dxa"/>
              <w:start w:w="120" w:type="dxa"/>
              <w:bottom w:w="100" w:type="dxa"/>
              <w:end w:w="120" w:type="dxa"/>
            </w:tcMar>
          </w:tcPr>
          <w:p>
            <w:pPr>
              <w:spacing w:after="0"/>
            </w:pPr>
            <w:r>
              <w:rPr>
                <w:b/>
                <w:color w:val="FFFFFF"/>
                <w:sz w:val="18"/>
              </w:rPr>
              <w:t>Meaning</w:t>
            </w:r>
          </w:p>
        </w:tc>
        <w:tc>
          <w:tcPr>
            <w:tcW w:type="dxa" w:w="3360"/>
            <w:shd w:fill="17365D"/>
            <w:tcMar>
              <w:top w:w="100" w:type="dxa"/>
              <w:start w:w="120" w:type="dxa"/>
              <w:bottom w:w="100" w:type="dxa"/>
              <w:end w:w="120" w:type="dxa"/>
            </w:tcMar>
          </w:tcPr>
          <w:p>
            <w:pPr>
              <w:spacing w:after="0"/>
            </w:pPr>
            <w:r>
              <w:rPr>
                <w:b/>
                <w:color w:val="FFFFFF"/>
                <w:sz w:val="18"/>
              </w:rPr>
              <w:t>Recommended Next Step</w:t>
            </w:r>
          </w:p>
        </w:tc>
      </w:tr>
      <w:tr>
        <w:trPr>
          <w:cantSplit/>
        </w:trPr>
        <w:tc>
          <w:tcPr>
            <w:tcW w:type="dxa" w:w="1728"/>
            <w:tcMar>
              <w:top w:w="100" w:type="dxa"/>
              <w:start w:w="120" w:type="dxa"/>
              <w:bottom w:w="100" w:type="dxa"/>
              <w:end w:w="120" w:type="dxa"/>
            </w:tcMar>
          </w:tcPr>
          <w:p>
            <w:pPr>
              <w:spacing w:after="0"/>
            </w:pPr>
            <w:r>
              <w:rPr>
                <w:sz w:val="18"/>
              </w:rPr>
              <w:t>9-10</w:t>
            </w:r>
          </w:p>
        </w:tc>
        <w:tc>
          <w:tcPr>
            <w:tcW w:type="dxa" w:w="2880"/>
            <w:tcMar>
              <w:top w:w="100" w:type="dxa"/>
              <w:start w:w="120" w:type="dxa"/>
              <w:bottom w:w="100" w:type="dxa"/>
              <w:end w:w="120" w:type="dxa"/>
            </w:tcMar>
          </w:tcPr>
          <w:p>
            <w:pPr>
              <w:spacing w:after="0"/>
            </w:pPr>
            <w:r>
              <w:rPr>
                <w:sz w:val="18"/>
              </w:rPr>
              <w:t>Strong diagnostic reasoning</w:t>
            </w:r>
          </w:p>
        </w:tc>
        <w:tc>
          <w:tcPr>
            <w:tcW w:type="dxa" w:w="5328"/>
            <w:tcMar>
              <w:top w:w="100" w:type="dxa"/>
              <w:start w:w="120" w:type="dxa"/>
              <w:bottom w:w="100" w:type="dxa"/>
              <w:end w:w="120" w:type="dxa"/>
            </w:tcMar>
          </w:tcPr>
          <w:p>
            <w:pPr>
              <w:spacing w:after="0"/>
            </w:pPr>
            <w:r>
              <w:rPr>
                <w:sz w:val="18"/>
              </w:rPr>
              <w:t>Review only missed or low-confidence items; then practice mixed vignettes.</w:t>
            </w:r>
          </w:p>
        </w:tc>
      </w:tr>
      <w:tr>
        <w:trPr>
          <w:cantSplit/>
        </w:trPr>
        <w:tc>
          <w:tcPr>
            <w:tcW w:type="dxa" w:w="1728"/>
            <w:tcMar>
              <w:top w:w="100" w:type="dxa"/>
              <w:start w:w="120" w:type="dxa"/>
              <w:bottom w:w="100" w:type="dxa"/>
              <w:end w:w="120" w:type="dxa"/>
            </w:tcMar>
            <w:shd w:fill="F7F8FA"/>
          </w:tcPr>
          <w:p>
            <w:pPr>
              <w:spacing w:after="0"/>
            </w:pPr>
            <w:r>
              <w:rPr>
                <w:sz w:val="18"/>
              </w:rPr>
              <w:t>7-8</w:t>
            </w:r>
          </w:p>
        </w:tc>
        <w:tc>
          <w:tcPr>
            <w:tcW w:type="dxa" w:w="2880"/>
            <w:tcMar>
              <w:top w:w="100" w:type="dxa"/>
              <w:start w:w="120" w:type="dxa"/>
              <w:bottom w:w="100" w:type="dxa"/>
              <w:end w:w="120" w:type="dxa"/>
            </w:tcMar>
            <w:shd w:fill="F7F8FA"/>
          </w:tcPr>
          <w:p>
            <w:pPr>
              <w:spacing w:after="0"/>
            </w:pPr>
            <w:r>
              <w:rPr>
                <w:sz w:val="18"/>
              </w:rPr>
              <w:t>Developing consistency</w:t>
            </w:r>
          </w:p>
        </w:tc>
        <w:tc>
          <w:tcPr>
            <w:tcW w:type="dxa" w:w="5328"/>
            <w:tcMar>
              <w:top w:w="100" w:type="dxa"/>
              <w:start w:w="120" w:type="dxa"/>
              <w:bottom w:w="100" w:type="dxa"/>
              <w:end w:w="120" w:type="dxa"/>
            </w:tcMar>
            <w:shd w:fill="F7F8FA"/>
          </w:tcPr>
          <w:p>
            <w:pPr>
              <w:spacing w:after="0"/>
            </w:pPr>
            <w:r>
              <w:rPr>
                <w:sz w:val="18"/>
              </w:rPr>
              <w:t>Revisit chronology, exclusions, and question-task matching before retesting.</w:t>
            </w:r>
          </w:p>
        </w:tc>
      </w:tr>
      <w:tr>
        <w:trPr>
          <w:cantSplit/>
        </w:trPr>
        <w:tc>
          <w:tcPr>
            <w:tcW w:type="dxa" w:w="1728"/>
            <w:tcMar>
              <w:top w:w="100" w:type="dxa"/>
              <w:start w:w="120" w:type="dxa"/>
              <w:bottom w:w="100" w:type="dxa"/>
              <w:end w:w="120" w:type="dxa"/>
            </w:tcMar>
          </w:tcPr>
          <w:p>
            <w:pPr>
              <w:spacing w:after="0"/>
            </w:pPr>
            <w:r>
              <w:rPr>
                <w:sz w:val="18"/>
              </w:rPr>
              <w:t>5-6</w:t>
            </w:r>
          </w:p>
        </w:tc>
        <w:tc>
          <w:tcPr>
            <w:tcW w:type="dxa" w:w="2880"/>
            <w:tcMar>
              <w:top w:w="100" w:type="dxa"/>
              <w:start w:w="120" w:type="dxa"/>
              <w:bottom w:w="100" w:type="dxa"/>
              <w:end w:w="120" w:type="dxa"/>
            </w:tcMar>
          </w:tcPr>
          <w:p>
            <w:pPr>
              <w:spacing w:after="0"/>
            </w:pPr>
            <w:r>
              <w:rPr>
                <w:sz w:val="18"/>
              </w:rPr>
              <w:t>Content and sequencing gaps</w:t>
            </w:r>
          </w:p>
        </w:tc>
        <w:tc>
          <w:tcPr>
            <w:tcW w:type="dxa" w:w="5328"/>
            <w:tcMar>
              <w:top w:w="100" w:type="dxa"/>
              <w:start w:w="120" w:type="dxa"/>
              <w:bottom w:w="100" w:type="dxa"/>
              <w:end w:w="120" w:type="dxa"/>
            </w:tcMar>
          </w:tcPr>
          <w:p>
            <w:pPr>
              <w:spacing w:after="0"/>
            </w:pPr>
            <w:r>
              <w:rPr>
                <w:sz w:val="18"/>
              </w:rPr>
              <w:t>Review the diagnostic sequence and high-yield family comparison table; rewrite missed-item rules.</w:t>
            </w:r>
          </w:p>
        </w:tc>
      </w:tr>
      <w:tr>
        <w:trPr>
          <w:cantSplit/>
        </w:trPr>
        <w:tc>
          <w:tcPr>
            <w:tcW w:type="dxa" w:w="1728"/>
            <w:tcMar>
              <w:top w:w="100" w:type="dxa"/>
              <w:start w:w="120" w:type="dxa"/>
              <w:bottom w:w="100" w:type="dxa"/>
              <w:end w:w="120" w:type="dxa"/>
            </w:tcMar>
            <w:shd w:fill="F7F8FA"/>
          </w:tcPr>
          <w:p>
            <w:pPr>
              <w:spacing w:after="0"/>
            </w:pPr>
            <w:r>
              <w:rPr>
                <w:sz w:val="18"/>
              </w:rPr>
              <w:t>0-4</w:t>
            </w:r>
          </w:p>
        </w:tc>
        <w:tc>
          <w:tcPr>
            <w:tcW w:type="dxa" w:w="2880"/>
            <w:tcMar>
              <w:top w:w="100" w:type="dxa"/>
              <w:start w:w="120" w:type="dxa"/>
              <w:bottom w:w="100" w:type="dxa"/>
              <w:end w:w="120" w:type="dxa"/>
            </w:tcMar>
            <w:shd w:fill="F7F8FA"/>
          </w:tcPr>
          <w:p>
            <w:pPr>
              <w:spacing w:after="0"/>
            </w:pPr>
            <w:r>
              <w:rPr>
                <w:sz w:val="18"/>
              </w:rPr>
              <w:t>Foundation needs reinforcement</w:t>
            </w:r>
          </w:p>
        </w:tc>
        <w:tc>
          <w:tcPr>
            <w:tcW w:type="dxa" w:w="5328"/>
            <w:tcMar>
              <w:top w:w="100" w:type="dxa"/>
              <w:start w:w="120" w:type="dxa"/>
              <w:bottom w:w="100" w:type="dxa"/>
              <w:end w:w="120" w:type="dxa"/>
            </w:tcMar>
            <w:shd w:fill="F7F8FA"/>
          </w:tcPr>
          <w:p>
            <w:pPr>
              <w:spacing w:after="0"/>
            </w:pPr>
            <w:r>
              <w:rPr>
                <w:sz w:val="18"/>
              </w:rPr>
              <w:t>Study the workbook in sections and complete a second untimed attempt before advancing.</w:t>
            </w:r>
          </w:p>
        </w:tc>
      </w:tr>
    </w:tbl>
    <w:p>
      <w:pPr>
        <w:spacing w:after="0"/>
      </w:pPr>
    </w:p>
    <w:p>
      <w:pPr>
        <w:pStyle w:val="Heading2"/>
      </w:pPr>
      <w:r>
        <w:t>My Error Patterns</w:t>
      </w:r>
    </w:p>
    <w:tbl>
      <w:tblPr>
        <w:tblStyle w:val="TableGrid"/>
        <w:tblW w:type="auto" w:w="0"/>
        <w:jc w:val="center"/>
        <w:tblLayout w:type="fixed"/>
        <w:tblLook w:firstColumn="1" w:firstRow="1" w:lastColumn="0" w:lastRow="0" w:noHBand="0" w:noVBand="1" w:val="04A0"/>
      </w:tblPr>
      <w:tblGrid>
        <w:gridCol w:w="2016"/>
        <w:gridCol w:w="3024"/>
        <w:gridCol w:w="4896"/>
      </w:tblGrid>
      <w:tr>
        <w:trPr>
          <w:tblHeader w:val="true"/>
          <w:cantSplit/>
        </w:trPr>
        <w:tc>
          <w:tcPr>
            <w:tcW w:type="dxa" w:w="3360"/>
            <w:shd w:fill="17365D"/>
            <w:tcMar>
              <w:top w:w="100" w:type="dxa"/>
              <w:start w:w="120" w:type="dxa"/>
              <w:bottom w:w="100" w:type="dxa"/>
              <w:end w:w="120" w:type="dxa"/>
            </w:tcMar>
          </w:tcPr>
          <w:p>
            <w:pPr>
              <w:spacing w:after="0"/>
            </w:pPr>
            <w:r>
              <w:rPr>
                <w:b/>
                <w:color w:val="FFFFFF"/>
                <w:sz w:val="18"/>
              </w:rPr>
              <w:t>Question(s)</w:t>
            </w:r>
          </w:p>
        </w:tc>
        <w:tc>
          <w:tcPr>
            <w:tcW w:type="dxa" w:w="3360"/>
            <w:shd w:fill="17365D"/>
            <w:tcMar>
              <w:top w:w="100" w:type="dxa"/>
              <w:start w:w="120" w:type="dxa"/>
              <w:bottom w:w="100" w:type="dxa"/>
              <w:end w:w="120" w:type="dxa"/>
            </w:tcMar>
          </w:tcPr>
          <w:p>
            <w:pPr>
              <w:spacing w:after="0"/>
            </w:pPr>
            <w:r>
              <w:rPr>
                <w:b/>
                <w:color w:val="FFFFFF"/>
                <w:sz w:val="18"/>
              </w:rPr>
              <w:t>Error Type</w:t>
            </w:r>
          </w:p>
        </w:tc>
        <w:tc>
          <w:tcPr>
            <w:tcW w:type="dxa" w:w="3360"/>
            <w:shd w:fill="17365D"/>
            <w:tcMar>
              <w:top w:w="100" w:type="dxa"/>
              <w:start w:w="120" w:type="dxa"/>
              <w:bottom w:w="100" w:type="dxa"/>
              <w:end w:w="120" w:type="dxa"/>
            </w:tcMar>
          </w:tcPr>
          <w:p>
            <w:pPr>
              <w:spacing w:after="0"/>
            </w:pPr>
            <w:r>
              <w:rPr>
                <w:b/>
                <w:color w:val="FFFFFF"/>
                <w:sz w:val="18"/>
              </w:rPr>
              <w:t>Rule I Will Use Next Time</w:t>
            </w:r>
          </w:p>
        </w:tc>
      </w:tr>
      <w:tr>
        <w:trPr>
          <w:cantSplit/>
        </w:trPr>
        <w:tc>
          <w:tcPr>
            <w:tcW w:type="dxa" w:w="2016"/>
            <w:tcMar>
              <w:top w:w="100" w:type="dxa"/>
              <w:start w:w="120" w:type="dxa"/>
              <w:bottom w:w="100" w:type="dxa"/>
              <w:end w:w="120" w:type="dxa"/>
            </w:tcMar>
          </w:tcPr>
          <w:p>
            <w:pPr>
              <w:spacing w:after="0"/>
            </w:pPr>
            <w:r>
              <w:rPr>
                <w:sz w:val="18"/>
              </w:rPr>
            </w:r>
          </w:p>
        </w:tc>
        <w:tc>
          <w:tcPr>
            <w:tcW w:type="dxa" w:w="3024"/>
            <w:tcMar>
              <w:top w:w="100" w:type="dxa"/>
              <w:start w:w="120" w:type="dxa"/>
              <w:bottom w:w="100" w:type="dxa"/>
              <w:end w:w="120" w:type="dxa"/>
            </w:tcMar>
          </w:tcPr>
          <w:p>
            <w:pPr>
              <w:spacing w:after="0"/>
            </w:pPr>
            <w:r>
              <w:rPr>
                <w:sz w:val="18"/>
              </w:rPr>
            </w:r>
          </w:p>
        </w:tc>
        <w:tc>
          <w:tcPr>
            <w:tcW w:type="dxa" w:w="4896"/>
            <w:tcMar>
              <w:top w:w="100" w:type="dxa"/>
              <w:start w:w="120" w:type="dxa"/>
              <w:bottom w:w="100" w:type="dxa"/>
              <w:end w:w="120" w:type="dxa"/>
            </w:tcMar>
          </w:tcPr>
          <w:p>
            <w:pPr>
              <w:spacing w:after="0"/>
            </w:pPr>
            <w:r>
              <w:rPr>
                <w:sz w:val="18"/>
              </w:rPr>
            </w:r>
          </w:p>
        </w:tc>
      </w:tr>
      <w:tr>
        <w:trPr>
          <w:cantSplit/>
        </w:trPr>
        <w:tc>
          <w:tcPr>
            <w:tcW w:type="dxa" w:w="2016"/>
            <w:tcMar>
              <w:top w:w="100" w:type="dxa"/>
              <w:start w:w="120" w:type="dxa"/>
              <w:bottom w:w="100" w:type="dxa"/>
              <w:end w:w="120" w:type="dxa"/>
            </w:tcMar>
            <w:shd w:fill="F7F8FA"/>
          </w:tcPr>
          <w:p>
            <w:pPr>
              <w:spacing w:after="0"/>
            </w:pPr>
            <w:r>
              <w:rPr>
                <w:sz w:val="18"/>
              </w:rPr>
            </w:r>
          </w:p>
        </w:tc>
        <w:tc>
          <w:tcPr>
            <w:tcW w:type="dxa" w:w="3024"/>
            <w:tcMar>
              <w:top w:w="100" w:type="dxa"/>
              <w:start w:w="120" w:type="dxa"/>
              <w:bottom w:w="100" w:type="dxa"/>
              <w:end w:w="120" w:type="dxa"/>
            </w:tcMar>
            <w:shd w:fill="F7F8FA"/>
          </w:tcPr>
          <w:p>
            <w:pPr>
              <w:spacing w:after="0"/>
            </w:pPr>
            <w:r>
              <w:rPr>
                <w:sz w:val="18"/>
              </w:rPr>
            </w:r>
          </w:p>
        </w:tc>
        <w:tc>
          <w:tcPr>
            <w:tcW w:type="dxa" w:w="4896"/>
            <w:tcMar>
              <w:top w:w="100" w:type="dxa"/>
              <w:start w:w="120" w:type="dxa"/>
              <w:bottom w:w="100" w:type="dxa"/>
              <w:end w:w="120" w:type="dxa"/>
            </w:tcMar>
            <w:shd w:fill="F7F8FA"/>
          </w:tcPr>
          <w:p>
            <w:pPr>
              <w:spacing w:after="0"/>
            </w:pPr>
            <w:r>
              <w:rPr>
                <w:sz w:val="18"/>
              </w:rPr>
            </w:r>
          </w:p>
        </w:tc>
      </w:tr>
      <w:tr>
        <w:trPr>
          <w:cantSplit/>
        </w:trPr>
        <w:tc>
          <w:tcPr>
            <w:tcW w:type="dxa" w:w="2016"/>
            <w:tcMar>
              <w:top w:w="100" w:type="dxa"/>
              <w:start w:w="120" w:type="dxa"/>
              <w:bottom w:w="100" w:type="dxa"/>
              <w:end w:w="120" w:type="dxa"/>
            </w:tcMar>
          </w:tcPr>
          <w:p>
            <w:pPr>
              <w:spacing w:after="0"/>
            </w:pPr>
            <w:r>
              <w:rPr>
                <w:sz w:val="18"/>
              </w:rPr>
            </w:r>
          </w:p>
        </w:tc>
        <w:tc>
          <w:tcPr>
            <w:tcW w:type="dxa" w:w="3024"/>
            <w:tcMar>
              <w:top w:w="100" w:type="dxa"/>
              <w:start w:w="120" w:type="dxa"/>
              <w:bottom w:w="100" w:type="dxa"/>
              <w:end w:w="120" w:type="dxa"/>
            </w:tcMar>
          </w:tcPr>
          <w:p>
            <w:pPr>
              <w:spacing w:after="0"/>
            </w:pPr>
            <w:r>
              <w:rPr>
                <w:sz w:val="18"/>
              </w:rPr>
            </w:r>
          </w:p>
        </w:tc>
        <w:tc>
          <w:tcPr>
            <w:tcW w:type="dxa" w:w="4896"/>
            <w:tcMar>
              <w:top w:w="100" w:type="dxa"/>
              <w:start w:w="120" w:type="dxa"/>
              <w:bottom w:w="100" w:type="dxa"/>
              <w:end w:w="120" w:type="dxa"/>
            </w:tcMar>
          </w:tcPr>
          <w:p>
            <w:pPr>
              <w:spacing w:after="0"/>
            </w:pPr>
            <w:r>
              <w:rPr>
                <w:sz w:val="18"/>
              </w:rPr>
            </w:r>
          </w:p>
        </w:tc>
      </w:tr>
      <w:tr>
        <w:trPr>
          <w:cantSplit/>
        </w:trPr>
        <w:tc>
          <w:tcPr>
            <w:tcW w:type="dxa" w:w="2016"/>
            <w:tcMar>
              <w:top w:w="100" w:type="dxa"/>
              <w:start w:w="120" w:type="dxa"/>
              <w:bottom w:w="100" w:type="dxa"/>
              <w:end w:w="120" w:type="dxa"/>
            </w:tcMar>
            <w:shd w:fill="F7F8FA"/>
          </w:tcPr>
          <w:p>
            <w:pPr>
              <w:spacing w:after="0"/>
            </w:pPr>
            <w:r>
              <w:rPr>
                <w:sz w:val="18"/>
              </w:rPr>
            </w:r>
          </w:p>
        </w:tc>
        <w:tc>
          <w:tcPr>
            <w:tcW w:type="dxa" w:w="3024"/>
            <w:tcMar>
              <w:top w:w="100" w:type="dxa"/>
              <w:start w:w="120" w:type="dxa"/>
              <w:bottom w:w="100" w:type="dxa"/>
              <w:end w:w="120" w:type="dxa"/>
            </w:tcMar>
            <w:shd w:fill="F7F8FA"/>
          </w:tcPr>
          <w:p>
            <w:pPr>
              <w:spacing w:after="0"/>
            </w:pPr>
            <w:r>
              <w:rPr>
                <w:sz w:val="18"/>
              </w:rPr>
            </w:r>
          </w:p>
        </w:tc>
        <w:tc>
          <w:tcPr>
            <w:tcW w:type="dxa" w:w="4896"/>
            <w:tcMar>
              <w:top w:w="100" w:type="dxa"/>
              <w:start w:w="120" w:type="dxa"/>
              <w:bottom w:w="100" w:type="dxa"/>
              <w:end w:w="120" w:type="dxa"/>
            </w:tcMar>
            <w:shd w:fill="F7F8FA"/>
          </w:tcPr>
          <w:p>
            <w:pPr>
              <w:spacing w:after="0"/>
            </w:pPr>
            <w:r>
              <w:rPr>
                <w:sz w:val="18"/>
              </w:rPr>
            </w:r>
          </w:p>
        </w:tc>
      </w:tr>
    </w:tbl>
    <w:p>
      <w:pPr>
        <w:spacing w:after="0"/>
      </w:pPr>
    </w:p>
    <w:p>
      <w:pPr>
        <w:pStyle w:val="Heading2"/>
      </w:pPr>
      <w:r>
        <w:t>My Diagnostic Review Checklist</w:t>
      </w:r>
    </w:p>
    <w:p>
      <w:pPr>
        <w:pStyle w:val="ListBullet"/>
      </w:pPr>
      <w:r>
        <w:t>Did I define the full symptom pattern instead of anchoring on one dramatic feature?</w:t>
      </w:r>
    </w:p>
    <w:p>
      <w:pPr>
        <w:pStyle w:val="ListBullet"/>
      </w:pPr>
      <w:r>
        <w:t>Did I clarify onset, duration, episodes, baseline, and timing relative to stressors, substances, medications, sleep, illness, or injury?</w:t>
      </w:r>
    </w:p>
    <w:p>
      <w:pPr>
        <w:pStyle w:val="ListBullet"/>
      </w:pPr>
      <w:r>
        <w:t>Did I assess impairment, distress, safety, and the client’s developmental and cultural context?</w:t>
      </w:r>
    </w:p>
    <w:p>
      <w:pPr>
        <w:pStyle w:val="ListBullet"/>
      </w:pPr>
      <w:r>
        <w:t>Did I separate reported information, collateral information, records, observation, and clinical inference?</w:t>
      </w:r>
    </w:p>
    <w:p>
      <w:pPr>
        <w:pStyle w:val="ListBullet"/>
      </w:pPr>
      <w:r>
        <w:t>Did I choose diagnosis, further assessment, consultation, referral, or intervention based on what the stem actually asked?</w:t>
      </w:r>
    </w:p>
    <w:p>
      <w:pPr>
        <w:pStyle w:val="Heading1"/>
      </w:pPr>
      <w:r>
        <w:t>Sources and Currency Note</w:t>
      </w:r>
    </w:p>
    <w:p>
      <w:pPr>
        <w:pStyle w:val="ListBullet"/>
      </w:pPr>
      <w:r>
        <w:t>California Board of Behavioral Sciences. Licensed Marriage and Family Therapist Written Clinical Examination Outline, effective January 1, 2021, Developing a Diagnostic Impression tasks.</w:t>
      </w:r>
    </w:p>
    <w:p>
      <w:pPr>
        <w:pStyle w:val="ListBullet"/>
      </w:pPr>
      <w:r>
        <w:t>American Psychiatric Association. Diagnostic and Statistical Manual of Mental Disorders, Fifth Edition, Text Revision (DSM-5-TR), 2022. Diagnostic concepts are summarized rather than reproduced.</w:t>
      </w:r>
    </w:p>
    <w:p>
      <w:pPr>
        <w:pStyle w:val="ListBullet"/>
      </w:pPr>
      <w:r>
        <w:t>Official examination outlines, diagnostic references, and professional requirements may change. Verify current BBS and testing-vendor information before testing.</w:t>
      </w:r>
    </w:p>
    <w:p>
      <w:pPr/>
      <w:r>
        <w:t>All practice questions are original CTA items. This workbook is an educational review resource and does not replace the DSM-5-TR, medical or psychiatric consultation, or current official examination guidance.</w:t>
      </w:r>
    </w:p>
    <w:sectPr w:rsidR="00FC693F" w:rsidRPr="0006063C" w:rsidSect="00034616">
      <w:headerReference w:type="first" r:id="rId10"/>
      <w:footerReference w:type="first" r:id="rId11"/>
      <w:headerReference w:type="default" r:id="rId12"/>
      <w:footerReference w:type="default" r:id="rId13"/>
      <w:pgSz w:w="12240" w:h="15840"/>
      <w:pgMar w:top="936" w:right="1080" w:bottom="936" w:left="1080" w:header="360"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5040"/>
      <w:gridCol w:w="5040"/>
    </w:tblGrid>
    <w:tr>
      <w:tc>
        <w:tcPr>
          <w:tcW w:type="dxa" w:w="5040"/>
        </w:tcPr>
        <w:p>
          <w:r>
            <w:rPr>
              <w:rFonts w:ascii="Aptos" w:hAnsi="Aptos"/>
              <w:color w:val="6B7280"/>
              <w:sz w:val="16"/>
            </w:rPr>
            <w:t>Clinical Training Academy • Student Workbook</w:t>
          </w:r>
        </w:p>
      </w:tc>
      <w:tc>
        <w:tcPr>
          <w:tcW w:type="dxa" w:w="5040"/>
        </w:tcPr>
        <w:p>
          <w:pPr>
            <w:jc w:val="right"/>
          </w:pPr>
          <w:r>
            <w:rPr>
              <w:rFonts w:ascii="Aptos" w:hAnsi="Aptos"/>
              <w:color w:val="6B7280"/>
              <w:sz w:val="16"/>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667085"/>
        <w:sz w:val="18"/>
      </w:rPr>
      <w:t xml:space="preserve">   CTA LMFT Workbook 5 - Diagnosis and Differential Diagnosis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E749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Caps">
    <w:name w:val="CTA Small Caps"/>
    <w:pPr>
      <w:spacing w:after="40"/>
    </w:pPr>
    <w:rPr>
      <w:rFonts w:ascii="Aptos" w:hAnsi="Aptos"/>
      <w:b/>
      <w:color w:val="0E749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Workbook 5: Diagnosis and Differential Diagnosis</dc:title>
  <dc:subject>Student-facing exam preparation workbook</dc:subject>
  <dc:creator>Clinical Training Academy</dc:creator>
  <cp:keywords/>
  <dc:description>Version 1.0 - July 2026</dc:description>
  <cp:lastModifiedBy>Clinical Training Academy</cp:lastModifiedBy>
  <cp:revision>1</cp:revision>
  <dcterms:created xsi:type="dcterms:W3CDTF">2013-12-23T23:15:00Z</dcterms:created>
  <dcterms:modified xsi:type="dcterms:W3CDTF">2013-12-23T23:15:00Z</dcterms:modified>
  <cp:category/>
</cp:coreProperties>
</file>