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EXAM PREPARATION PROGRAM</w:t>
      </w:r>
    </w:p>
    <w:p>
      <w:pPr>
        <w:spacing w:after="240"/>
        <w:jc w:val="center"/>
      </w:pPr>
      <w:r>
        <w:rPr>
          <w:b/>
          <w:i w:val="0"/>
          <w:color w:val="C17C00"/>
          <w:sz w:val="30"/>
        </w:rPr>
        <w:t>Student Workbook</w:t>
      </w:r>
    </w:p>
    <w:p>
      <w:pPr>
        <w:pStyle w:val="Title"/>
        <w:spacing w:after="160"/>
        <w:jc w:val="center"/>
      </w:pPr>
      <w:r>
        <w:t>CTA LMFT Workbook 12: California Legal, Ethical, and Professional Practice</w:t>
      </w:r>
    </w:p>
    <w:p>
      <w:pPr>
        <w:spacing w:after="240"/>
        <w:jc w:val="center"/>
      </w:pPr>
      <w:r>
        <w:rPr>
          <w:b w:val="0"/>
          <w:i/>
          <w:color w:val="5B6573"/>
          <w:sz w:val="24"/>
        </w:rPr>
        <w:t>How to resolve professional-practice questions involving consent, confidentiality, multi-client treatment, records, boundaries, competence, technology, third parties, and continuity</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Clinical and Legal Scope Notice</w:t>
            </w:r>
            <w:r>
              <w:br/>
              <w:t>The material is provided for examination preparation and professional education. It is not legal advice, clinical supervision, diagnosis, treatment, or a substitute for consultation with qualified legal, clinical, regulatory, or professional experts. California examination and professional-practice references were reviewed against current official sources on July 24, 2026. Candidates should verify current Board requirements and setting-specific procedures.</w:t>
            </w:r>
          </w:p>
        </w:tc>
      </w:tr>
    </w:tbl>
    <w:p>
      <w:pPr>
        <w:pStyle w:val="Heading1"/>
      </w:pPr>
      <w:r>
        <w:t>How to Use This Workbook</w:t>
      </w:r>
    </w:p>
    <w:p>
      <w:r>
        <w:rPr>
          <w:i w:val="0"/>
        </w:rPr>
        <w:t>Use this workbook as a California professional-practice decision guide, not as a substitute for the separate Law and Ethics examination or legal counsel. Read the sections in order, practice the PROTECT sequence, complete the worksheet, answer all 10 original questions, and review every rationale—including the options you did not select.</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Core Exam Principle</w:t>
            </w:r>
          </w:p>
          <w:p>
            <w:pPr>
              <w:spacing w:after="0"/>
            </w:pPr>
            <w:r>
              <w:t>The best answer protects client welfare while following the controlling duty. The most restrictive or legally sounding response is not automatically the correct response.</w:t>
            </w:r>
          </w:p>
        </w:tc>
      </w:tr>
    </w:tbl>
    <w:p>
      <w:pPr>
        <w:spacing w:after="0"/>
      </w:pPr>
    </w:p>
    <w:p>
      <w:pPr>
        <w:pStyle w:val="Heading1"/>
      </w:pPr>
      <w:r>
        <w:t>Learning Objectives</w:t>
      </w:r>
    </w:p>
    <w:p>
      <w:pPr>
        <w:pStyle w:val="ListBullet"/>
      </w:pPr>
      <w:r>
        <w:t>Distinguish controlling law and regulation from professional ethics, organizational policy, clinical judgment, and personal preference while identifying the client or client system and the LMFT role.</w:t>
      </w:r>
    </w:p>
    <w:p>
      <w:pPr>
        <w:pStyle w:val="ListBullet"/>
      </w:pPr>
      <w:r>
        <w:t>Apply informed consent as an ongoing process and clarify client status, treatment-unit expectations, confidentiality structure, individual contacts, records, fees, technology, and third-party participation.</w:t>
      </w:r>
    </w:p>
    <w:p>
      <w:pPr>
        <w:pStyle w:val="ListBullet"/>
      </w:pPr>
      <w:r>
        <w:t>Use a disciplined process for authorization, privilege, subpoenas, court involvement, legal exceptions, minimum relevant disclosure, consultation, and documentation.</w:t>
      </w:r>
    </w:p>
    <w:p>
      <w:pPr>
        <w:pStyle w:val="ListBullet"/>
      </w:pPr>
      <w:r>
        <w:t>Protect record integrity, privacy, boundaries, competence, objectivity, telehealth jurisdiction, and client welfare when documentation, technology, gifts, conflicts, impairment, or specialty services create risk.</w:t>
      </w:r>
    </w:p>
    <w:p>
      <w:pPr>
        <w:pStyle w:val="ListBullet"/>
      </w:pPr>
      <w:r>
        <w:t>Plan ethical termination, transfer, coverage, records access, referral, and follow-up so that changes in services do not create avoidable abandonment or loss of continuity.</w:t>
      </w:r>
    </w:p>
    <w:p>
      <w:pPr>
        <w:pStyle w:val="Heading1"/>
      </w:pPr>
      <w:r>
        <w:t>Why This Topic Matters</w:t>
      </w:r>
    </w:p>
    <w:p>
      <w:r>
        <w:rPr>
          <w:i w:val="0"/>
        </w:rPr>
        <w:t>Professional-practice vignettes often contain several plausible duties at once. One option may sound clinically empathic, another legally cautious, and another administratively convenient. Strong reasoning identifies who the client is, what role the therapist is performing, which authority controls the immediate decision, what information or risk is actually present, and how to preserve continuity.</w:t>
      </w:r>
    </w:p>
    <w:p>
      <w:pPr>
        <w:pStyle w:val="Heading1"/>
      </w:pPr>
      <w:r>
        <w:t>1. The PROTECT Decision Sequence</w:t>
      </w:r>
    </w:p>
    <w:tbl>
      <w:tblPr>
        <w:tblStyle w:val="TableGrid"/>
        <w:tblW w:type="auto" w:w="0"/>
        <w:jc w:val="center"/>
        <w:tblLayout w:type="fixed"/>
        <w:tblLook w:firstColumn="1" w:firstRow="1" w:lastColumn="0" w:lastRow="0" w:noHBand="0" w:noVBand="1" w:val="04A0"/>
      </w:tblPr>
      <w:tblGrid>
        <w:gridCol w:w="2304"/>
        <w:gridCol w:w="7632"/>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Step</w:t>
            </w:r>
          </w:p>
        </w:tc>
        <w:tc>
          <w:tcPr>
            <w:tcW w:type="dxa" w:w="5040"/>
            <w:shd w:fill="17365D"/>
            <w:tcMar>
              <w:top w:w="100" w:type="dxa"/>
              <w:start w:w="120" w:type="dxa"/>
              <w:bottom w:w="100" w:type="dxa"/>
              <w:end w:w="120" w:type="dxa"/>
            </w:tcMar>
          </w:tcPr>
          <w:p>
            <w:pPr>
              <w:spacing w:after="0"/>
            </w:pPr>
            <w:r>
              <w:rPr>
                <w:b/>
                <w:color w:val="FFFFFF"/>
                <w:sz w:val="16"/>
              </w:rPr>
              <w:t>Exam Question</w:t>
            </w:r>
          </w:p>
        </w:tc>
      </w:tr>
      <w:tr>
        <w:trPr>
          <w:cantSplit/>
        </w:trPr>
        <w:tc>
          <w:tcPr>
            <w:tcW w:type="dxa" w:w="2304"/>
            <w:tcMar>
              <w:top w:w="100" w:type="dxa"/>
              <w:start w:w="120" w:type="dxa"/>
              <w:bottom w:w="100" w:type="dxa"/>
              <w:end w:w="120" w:type="dxa"/>
            </w:tcMar>
          </w:tcPr>
          <w:p>
            <w:pPr>
              <w:spacing w:after="0"/>
            </w:pPr>
            <w:r>
              <w:rPr>
                <w:sz w:val="16"/>
              </w:rPr>
              <w:t>P — Problem and people</w:t>
            </w:r>
          </w:p>
        </w:tc>
        <w:tc>
          <w:tcPr>
            <w:tcW w:type="dxa" w:w="7632"/>
            <w:tcMar>
              <w:top w:w="100" w:type="dxa"/>
              <w:start w:w="120" w:type="dxa"/>
              <w:bottom w:w="100" w:type="dxa"/>
              <w:end w:w="120" w:type="dxa"/>
            </w:tcMar>
          </w:tcPr>
          <w:p>
            <w:pPr>
              <w:spacing w:after="0"/>
            </w:pPr>
            <w:r>
              <w:rPr>
                <w:sz w:val="16"/>
              </w:rPr>
              <w:t>What is the exact professional-practice issue, and who is the client or client system?</w:t>
            </w:r>
          </w:p>
        </w:tc>
      </w:tr>
      <w:tr>
        <w:trPr>
          <w:cantSplit/>
        </w:trPr>
        <w:tc>
          <w:tcPr>
            <w:tcW w:type="dxa" w:w="2304"/>
            <w:tcMar>
              <w:top w:w="100" w:type="dxa"/>
              <w:start w:w="120" w:type="dxa"/>
              <w:bottom w:w="100" w:type="dxa"/>
              <w:end w:w="120" w:type="dxa"/>
            </w:tcMar>
            <w:shd w:fill="F7F8FA"/>
          </w:tcPr>
          <w:p>
            <w:pPr>
              <w:spacing w:after="0"/>
            </w:pPr>
            <w:r>
              <w:rPr>
                <w:sz w:val="16"/>
              </w:rPr>
              <w:t>R — Role and rules</w:t>
            </w:r>
          </w:p>
        </w:tc>
        <w:tc>
          <w:tcPr>
            <w:tcW w:type="dxa" w:w="7632"/>
            <w:tcMar>
              <w:top w:w="100" w:type="dxa"/>
              <w:start w:w="120" w:type="dxa"/>
              <w:bottom w:w="100" w:type="dxa"/>
              <w:end w:w="120" w:type="dxa"/>
            </w:tcMar>
            <w:shd w:fill="F7F8FA"/>
          </w:tcPr>
          <w:p>
            <w:pPr>
              <w:spacing w:after="0"/>
            </w:pPr>
            <w:r>
              <w:rPr>
                <w:sz w:val="16"/>
              </w:rPr>
              <w:t>Is the LMFT acting as therapist, evaluator, consultant, supervisor, record custodian, or another role? Which law, regulation, ethics rule, or policy applies?</w:t>
            </w:r>
          </w:p>
        </w:tc>
      </w:tr>
      <w:tr>
        <w:trPr>
          <w:cantSplit/>
        </w:trPr>
        <w:tc>
          <w:tcPr>
            <w:tcW w:type="dxa" w:w="2304"/>
            <w:tcMar>
              <w:top w:w="100" w:type="dxa"/>
              <w:start w:w="120" w:type="dxa"/>
              <w:bottom w:w="100" w:type="dxa"/>
              <w:end w:w="120" w:type="dxa"/>
            </w:tcMar>
          </w:tcPr>
          <w:p>
            <w:pPr>
              <w:spacing w:after="0"/>
            </w:pPr>
            <w:r>
              <w:rPr>
                <w:sz w:val="16"/>
              </w:rPr>
              <w:t>O — Obtain facts</w:t>
            </w:r>
          </w:p>
        </w:tc>
        <w:tc>
          <w:tcPr>
            <w:tcW w:type="dxa" w:w="7632"/>
            <w:tcMar>
              <w:top w:w="100" w:type="dxa"/>
              <w:start w:w="120" w:type="dxa"/>
              <w:bottom w:w="100" w:type="dxa"/>
              <w:end w:w="120" w:type="dxa"/>
            </w:tcMar>
          </w:tcPr>
          <w:p>
            <w:pPr>
              <w:spacing w:after="0"/>
            </w:pPr>
            <w:r>
              <w:rPr>
                <w:sz w:val="16"/>
              </w:rPr>
              <w:t>What consent, authorization, privilege, risk, capacity, location, contract, record, or third-party fact is missing?</w:t>
            </w:r>
          </w:p>
        </w:tc>
      </w:tr>
      <w:tr>
        <w:trPr>
          <w:cantSplit/>
        </w:trPr>
        <w:tc>
          <w:tcPr>
            <w:tcW w:type="dxa" w:w="2304"/>
            <w:tcMar>
              <w:top w:w="100" w:type="dxa"/>
              <w:start w:w="120" w:type="dxa"/>
              <w:bottom w:w="100" w:type="dxa"/>
              <w:end w:w="120" w:type="dxa"/>
            </w:tcMar>
            <w:shd w:fill="F7F8FA"/>
          </w:tcPr>
          <w:p>
            <w:pPr>
              <w:spacing w:after="0"/>
            </w:pPr>
            <w:r>
              <w:rPr>
                <w:sz w:val="16"/>
              </w:rPr>
              <w:t>T — Threat and urgency</w:t>
            </w:r>
          </w:p>
        </w:tc>
        <w:tc>
          <w:tcPr>
            <w:tcW w:type="dxa" w:w="7632"/>
            <w:tcMar>
              <w:top w:w="100" w:type="dxa"/>
              <w:start w:w="120" w:type="dxa"/>
              <w:bottom w:w="100" w:type="dxa"/>
              <w:end w:w="120" w:type="dxa"/>
            </w:tcMar>
            <w:shd w:fill="F7F8FA"/>
          </w:tcPr>
          <w:p>
            <w:pPr>
              <w:spacing w:after="0"/>
            </w:pPr>
            <w:r>
              <w:rPr>
                <w:sz w:val="16"/>
              </w:rPr>
              <w:t>Does immediate safety, mandated action, medical urgency, or a time-sensitive legal process alter the usual sequence?</w:t>
            </w:r>
          </w:p>
        </w:tc>
      </w:tr>
      <w:tr>
        <w:trPr>
          <w:cantSplit/>
        </w:trPr>
        <w:tc>
          <w:tcPr>
            <w:tcW w:type="dxa" w:w="2304"/>
            <w:tcMar>
              <w:top w:w="100" w:type="dxa"/>
              <w:start w:w="120" w:type="dxa"/>
              <w:bottom w:w="100" w:type="dxa"/>
              <w:end w:w="120" w:type="dxa"/>
            </w:tcMar>
          </w:tcPr>
          <w:p>
            <w:pPr>
              <w:spacing w:after="0"/>
            </w:pPr>
            <w:r>
              <w:rPr>
                <w:sz w:val="16"/>
              </w:rPr>
              <w:t>E — Ethical options</w:t>
            </w:r>
          </w:p>
        </w:tc>
        <w:tc>
          <w:tcPr>
            <w:tcW w:type="dxa" w:w="7632"/>
            <w:tcMar>
              <w:top w:w="100" w:type="dxa"/>
              <w:start w:w="120" w:type="dxa"/>
              <w:bottom w:w="100" w:type="dxa"/>
              <w:end w:w="120" w:type="dxa"/>
            </w:tcMar>
          </w:tcPr>
          <w:p>
            <w:pPr>
              <w:spacing w:after="0"/>
            </w:pPr>
            <w:r>
              <w:rPr>
                <w:sz w:val="16"/>
              </w:rPr>
              <w:t>Which lawful options protect autonomy, privacy, fairness, culture, competence, and client welfare?</w:t>
            </w:r>
          </w:p>
        </w:tc>
      </w:tr>
      <w:tr>
        <w:trPr>
          <w:cantSplit/>
        </w:trPr>
        <w:tc>
          <w:tcPr>
            <w:tcW w:type="dxa" w:w="2304"/>
            <w:tcMar>
              <w:top w:w="100" w:type="dxa"/>
              <w:start w:w="120" w:type="dxa"/>
              <w:bottom w:w="100" w:type="dxa"/>
              <w:end w:w="120" w:type="dxa"/>
            </w:tcMar>
            <w:shd w:fill="F7F8FA"/>
          </w:tcPr>
          <w:p>
            <w:pPr>
              <w:spacing w:after="0"/>
            </w:pPr>
            <w:r>
              <w:rPr>
                <w:sz w:val="16"/>
              </w:rPr>
              <w:t>C — Consult and contain</w:t>
            </w:r>
          </w:p>
        </w:tc>
        <w:tc>
          <w:tcPr>
            <w:tcW w:type="dxa" w:w="7632"/>
            <w:tcMar>
              <w:top w:w="100" w:type="dxa"/>
              <w:start w:w="120" w:type="dxa"/>
              <w:bottom w:w="100" w:type="dxa"/>
              <w:end w:w="120" w:type="dxa"/>
            </w:tcMar>
            <w:shd w:fill="F7F8FA"/>
          </w:tcPr>
          <w:p>
            <w:pPr>
              <w:spacing w:after="0"/>
            </w:pPr>
            <w:r>
              <w:rPr>
                <w:sz w:val="16"/>
              </w:rPr>
              <w:t>Is supervision, legal consultation, BBS guidance, risk management, or another qualified consultation needed? Share only what is necessary.</w:t>
            </w:r>
          </w:p>
        </w:tc>
      </w:tr>
      <w:tr>
        <w:trPr>
          <w:cantSplit/>
        </w:trPr>
        <w:tc>
          <w:tcPr>
            <w:tcW w:type="dxa" w:w="2304"/>
            <w:tcMar>
              <w:top w:w="100" w:type="dxa"/>
              <w:start w:w="120" w:type="dxa"/>
              <w:bottom w:w="100" w:type="dxa"/>
              <w:end w:w="120" w:type="dxa"/>
            </w:tcMar>
          </w:tcPr>
          <w:p>
            <w:pPr>
              <w:spacing w:after="0"/>
            </w:pPr>
            <w:r>
              <w:rPr>
                <w:sz w:val="16"/>
              </w:rPr>
              <w:t>T — Take action and track</w:t>
            </w:r>
          </w:p>
        </w:tc>
        <w:tc>
          <w:tcPr>
            <w:tcW w:type="dxa" w:w="7632"/>
            <w:tcMar>
              <w:top w:w="100" w:type="dxa"/>
              <w:start w:w="120" w:type="dxa"/>
              <w:bottom w:w="100" w:type="dxa"/>
              <w:end w:w="120" w:type="dxa"/>
            </w:tcMar>
          </w:tcPr>
          <w:p>
            <w:pPr>
              <w:spacing w:after="0"/>
            </w:pPr>
            <w:r>
              <w:rPr>
                <w:sz w:val="16"/>
              </w:rPr>
              <w:t>Act, explain as appropriate, document the reasoning and consultation, and arrange follow-up or continuity.</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PROTECT: Problem → Role → Obtain facts → Threat → Ethical options → Consult → Take action and track</w:t>
            </w:r>
          </w:p>
        </w:tc>
      </w:tr>
    </w:tbl>
    <w:p>
      <w:pPr>
        <w:spacing w:after="0"/>
      </w:pPr>
    </w:p>
    <w:p>
      <w:pPr>
        <w:pStyle w:val="Heading1"/>
      </w:pPr>
      <w:r>
        <w:t>2. Informed Consent Is Ongoing</w:t>
      </w:r>
    </w:p>
    <w:p>
      <w:r>
        <w:rPr>
          <w:i w:val="0"/>
        </w:rPr>
        <w:t>A signature begins—not ends—the consent process. Revisit consent when the treatment unit changes, a partner or family member joins, individual contacts are introduced, collateral information is requested, telehealth or recording is added, fees or payer expectations change, a referral source requests reports, or the therapist’s role shifts from treatment toward evaluation.</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Consent Element</w:t>
            </w:r>
          </w:p>
        </w:tc>
        <w:tc>
          <w:tcPr>
            <w:tcW w:type="dxa" w:w="5040"/>
            <w:shd w:fill="17365D"/>
            <w:tcMar>
              <w:top w:w="100" w:type="dxa"/>
              <w:start w:w="120" w:type="dxa"/>
              <w:bottom w:w="100" w:type="dxa"/>
              <w:end w:w="120" w:type="dxa"/>
            </w:tcMar>
          </w:tcPr>
          <w:p>
            <w:pPr>
              <w:spacing w:after="0"/>
            </w:pPr>
            <w:r>
              <w:rPr>
                <w:b/>
                <w:color w:val="FFFFFF"/>
                <w:sz w:val="16"/>
              </w:rPr>
              <w:t>Questions to Clarify</w:t>
            </w:r>
          </w:p>
        </w:tc>
      </w:tr>
      <w:tr>
        <w:trPr>
          <w:cantSplit/>
        </w:trPr>
        <w:tc>
          <w:tcPr>
            <w:tcW w:type="dxa" w:w="2448"/>
            <w:tcMar>
              <w:top w:w="100" w:type="dxa"/>
              <w:start w:w="120" w:type="dxa"/>
              <w:bottom w:w="100" w:type="dxa"/>
              <w:end w:w="120" w:type="dxa"/>
            </w:tcMar>
          </w:tcPr>
          <w:p>
            <w:pPr>
              <w:spacing w:after="0"/>
            </w:pPr>
            <w:r>
              <w:rPr>
                <w:sz w:val="16"/>
              </w:rPr>
              <w:t>Client and role</w:t>
            </w:r>
          </w:p>
        </w:tc>
        <w:tc>
          <w:tcPr>
            <w:tcW w:type="dxa" w:w="7488"/>
            <w:tcMar>
              <w:top w:w="100" w:type="dxa"/>
              <w:start w:w="120" w:type="dxa"/>
              <w:bottom w:w="100" w:type="dxa"/>
              <w:end w:w="120" w:type="dxa"/>
            </w:tcMar>
          </w:tcPr>
          <w:p>
            <w:pPr>
              <w:spacing w:after="0"/>
            </w:pPr>
            <w:r>
              <w:rPr>
                <w:sz w:val="16"/>
              </w:rPr>
              <w:t>Who is receiving the service, and is the LMFT treating, evaluating, consulting, supervising, or coordinating?</w:t>
            </w:r>
          </w:p>
        </w:tc>
      </w:tr>
      <w:tr>
        <w:trPr>
          <w:cantSplit/>
        </w:trPr>
        <w:tc>
          <w:tcPr>
            <w:tcW w:type="dxa" w:w="2448"/>
            <w:tcMar>
              <w:top w:w="100" w:type="dxa"/>
              <w:start w:w="120" w:type="dxa"/>
              <w:bottom w:w="100" w:type="dxa"/>
              <w:end w:w="120" w:type="dxa"/>
            </w:tcMar>
            <w:shd w:fill="F7F8FA"/>
          </w:tcPr>
          <w:p>
            <w:pPr>
              <w:spacing w:after="0"/>
            </w:pPr>
            <w:r>
              <w:rPr>
                <w:sz w:val="16"/>
              </w:rPr>
              <w:t>Purpose and method</w:t>
            </w:r>
          </w:p>
        </w:tc>
        <w:tc>
          <w:tcPr>
            <w:tcW w:type="dxa" w:w="7488"/>
            <w:tcMar>
              <w:top w:w="100" w:type="dxa"/>
              <w:start w:w="120" w:type="dxa"/>
              <w:bottom w:w="100" w:type="dxa"/>
              <w:end w:w="120" w:type="dxa"/>
            </w:tcMar>
            <w:shd w:fill="F7F8FA"/>
          </w:tcPr>
          <w:p>
            <w:pPr>
              <w:spacing w:after="0"/>
            </w:pPr>
            <w:r>
              <w:rPr>
                <w:sz w:val="16"/>
              </w:rPr>
              <w:t>What are the goals, foreseeable risks and benefits, alternatives, and limits of the proposed service?</w:t>
            </w:r>
          </w:p>
        </w:tc>
      </w:tr>
      <w:tr>
        <w:trPr>
          <w:cantSplit/>
        </w:trPr>
        <w:tc>
          <w:tcPr>
            <w:tcW w:type="dxa" w:w="2448"/>
            <w:tcMar>
              <w:top w:w="100" w:type="dxa"/>
              <w:start w:w="120" w:type="dxa"/>
              <w:bottom w:w="100" w:type="dxa"/>
              <w:end w:w="120" w:type="dxa"/>
            </w:tcMar>
          </w:tcPr>
          <w:p>
            <w:pPr>
              <w:spacing w:after="0"/>
            </w:pPr>
            <w:r>
              <w:rPr>
                <w:sz w:val="16"/>
              </w:rPr>
              <w:t>Confidentiality</w:t>
            </w:r>
          </w:p>
        </w:tc>
        <w:tc>
          <w:tcPr>
            <w:tcW w:type="dxa" w:w="7488"/>
            <w:tcMar>
              <w:top w:w="100" w:type="dxa"/>
              <w:start w:w="120" w:type="dxa"/>
              <w:bottom w:w="100" w:type="dxa"/>
              <w:end w:w="120" w:type="dxa"/>
            </w:tcMar>
          </w:tcPr>
          <w:p>
            <w:pPr>
              <w:spacing w:after="0"/>
            </w:pPr>
            <w:r>
              <w:rPr>
                <w:sz w:val="16"/>
              </w:rPr>
              <w:t>What are the limits, who may receive information, and how will multi-client or collateral information be handled?</w:t>
            </w:r>
          </w:p>
        </w:tc>
      </w:tr>
      <w:tr>
        <w:trPr>
          <w:cantSplit/>
        </w:trPr>
        <w:tc>
          <w:tcPr>
            <w:tcW w:type="dxa" w:w="2448"/>
            <w:tcMar>
              <w:top w:w="100" w:type="dxa"/>
              <w:start w:w="120" w:type="dxa"/>
              <w:bottom w:w="100" w:type="dxa"/>
              <w:end w:w="120" w:type="dxa"/>
            </w:tcMar>
            <w:shd w:fill="F7F8FA"/>
          </w:tcPr>
          <w:p>
            <w:pPr>
              <w:spacing w:after="0"/>
            </w:pPr>
            <w:r>
              <w:rPr>
                <w:sz w:val="16"/>
              </w:rPr>
              <w:t>Fees and third parties</w:t>
            </w:r>
          </w:p>
        </w:tc>
        <w:tc>
          <w:tcPr>
            <w:tcW w:type="dxa" w:w="7488"/>
            <w:tcMar>
              <w:top w:w="100" w:type="dxa"/>
              <w:start w:w="120" w:type="dxa"/>
              <w:bottom w:w="100" w:type="dxa"/>
              <w:end w:w="120" w:type="dxa"/>
            </w:tcMar>
            <w:shd w:fill="F7F8FA"/>
          </w:tcPr>
          <w:p>
            <w:pPr>
              <w:spacing w:after="0"/>
            </w:pPr>
            <w:r>
              <w:rPr>
                <w:sz w:val="16"/>
              </w:rPr>
              <w:t>Who pays, what is authorized, what reports are expected, and what happens if payment or coverage changes?</w:t>
            </w:r>
          </w:p>
        </w:tc>
      </w:tr>
      <w:tr>
        <w:trPr>
          <w:cantSplit/>
        </w:trPr>
        <w:tc>
          <w:tcPr>
            <w:tcW w:type="dxa" w:w="2448"/>
            <w:tcMar>
              <w:top w:w="100" w:type="dxa"/>
              <w:start w:w="120" w:type="dxa"/>
              <w:bottom w:w="100" w:type="dxa"/>
              <w:end w:w="120" w:type="dxa"/>
            </w:tcMar>
          </w:tcPr>
          <w:p>
            <w:pPr>
              <w:spacing w:after="0"/>
            </w:pPr>
            <w:r>
              <w:rPr>
                <w:sz w:val="16"/>
              </w:rPr>
              <w:t>Technology and access</w:t>
            </w:r>
          </w:p>
        </w:tc>
        <w:tc>
          <w:tcPr>
            <w:tcW w:type="dxa" w:w="7488"/>
            <w:tcMar>
              <w:top w:w="100" w:type="dxa"/>
              <w:start w:w="120" w:type="dxa"/>
              <w:bottom w:w="100" w:type="dxa"/>
              <w:end w:w="120" w:type="dxa"/>
            </w:tcMar>
          </w:tcPr>
          <w:p>
            <w:pPr>
              <w:spacing w:after="0"/>
            </w:pPr>
            <w:r>
              <w:rPr>
                <w:sz w:val="16"/>
              </w:rPr>
              <w:t>What platform, messaging, response-time, privacy, accessibility, identity, location, and emergency procedures apply?</w:t>
            </w:r>
          </w:p>
        </w:tc>
      </w:tr>
      <w:tr>
        <w:trPr>
          <w:cantSplit/>
        </w:trPr>
        <w:tc>
          <w:tcPr>
            <w:tcW w:type="dxa" w:w="2448"/>
            <w:tcMar>
              <w:top w:w="100" w:type="dxa"/>
              <w:start w:w="120" w:type="dxa"/>
              <w:bottom w:w="100" w:type="dxa"/>
              <w:end w:w="120" w:type="dxa"/>
            </w:tcMar>
            <w:shd w:fill="F7F8FA"/>
          </w:tcPr>
          <w:p>
            <w:pPr>
              <w:spacing w:after="0"/>
            </w:pPr>
            <w:r>
              <w:rPr>
                <w:sz w:val="16"/>
              </w:rPr>
              <w:t>Understanding and choice</w:t>
            </w:r>
          </w:p>
        </w:tc>
        <w:tc>
          <w:tcPr>
            <w:tcW w:type="dxa" w:w="7488"/>
            <w:tcMar>
              <w:top w:w="100" w:type="dxa"/>
              <w:start w:w="120" w:type="dxa"/>
              <w:bottom w:w="100" w:type="dxa"/>
              <w:end w:w="120" w:type="dxa"/>
            </w:tcMar>
            <w:shd w:fill="F7F8FA"/>
          </w:tcPr>
          <w:p>
            <w:pPr>
              <w:spacing w:after="0"/>
            </w:pPr>
            <w:r>
              <w:rPr>
                <w:sz w:val="16"/>
              </w:rPr>
              <w:t>Does the client understand and participate voluntarily, with language and disability access as needed?</w:t>
            </w:r>
          </w:p>
        </w:tc>
      </w:tr>
    </w:tbl>
    <w:p>
      <w:pPr>
        <w:spacing w:after="0"/>
      </w:pPr>
    </w:p>
    <w:p>
      <w:pPr>
        <w:pStyle w:val="Heading1"/>
      </w:pPr>
      <w:r>
        <w:t>3. Multi-Client and Relational Treatment</w:t>
      </w:r>
    </w:p>
    <w:p>
      <w:r>
        <w:rPr>
          <w:i w:val="0"/>
        </w:rPr>
        <w:t>LMFT practice may involve individuals, couples, families, groups, children, caregivers, collateral participants, payers, and referral sources. Participation does not automatically establish client status or authority over the record. The therapist clarifies the treatment unit, who may authorize disclosure, whether the record is joint, how individual contacts and secrets will be handled, and what happens if participants separate or disagree.</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Exam Trap</w:t>
            </w:r>
          </w:p>
          <w:p>
            <w:pPr>
              <w:spacing w:after="0"/>
            </w:pPr>
            <w:r>
              <w:t>Do not assume that the person who pays, attends, refers, or complains is automatically the client or automatically entitled to records.</w:t>
            </w:r>
          </w:p>
        </w:tc>
      </w:tr>
    </w:tbl>
    <w:p>
      <w:pPr>
        <w:spacing w:after="0"/>
      </w:pPr>
    </w:p>
    <w:p>
      <w:pPr>
        <w:pStyle w:val="Heading1"/>
      </w:pPr>
      <w:r>
        <w:t>4. Confidentiality, Privacy, Privilege, and Disclosure</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Concept</w:t>
            </w:r>
          </w:p>
        </w:tc>
        <w:tc>
          <w:tcPr>
            <w:tcW w:type="dxa" w:w="5040"/>
            <w:shd w:fill="17365D"/>
            <w:tcMar>
              <w:top w:w="100" w:type="dxa"/>
              <w:start w:w="120" w:type="dxa"/>
              <w:bottom w:w="100" w:type="dxa"/>
              <w:end w:w="120" w:type="dxa"/>
            </w:tcMar>
          </w:tcPr>
          <w:p>
            <w:pPr>
              <w:spacing w:after="0"/>
            </w:pPr>
            <w:r>
              <w:rPr>
                <w:b/>
                <w:color w:val="FFFFFF"/>
                <w:sz w:val="16"/>
              </w:rPr>
              <w:t>Exam-Level Meaning</w:t>
            </w:r>
          </w:p>
        </w:tc>
      </w:tr>
      <w:tr>
        <w:trPr>
          <w:cantSplit/>
        </w:trPr>
        <w:tc>
          <w:tcPr>
            <w:tcW w:type="dxa" w:w="2448"/>
            <w:tcMar>
              <w:top w:w="100" w:type="dxa"/>
              <w:start w:w="120" w:type="dxa"/>
              <w:bottom w:w="100" w:type="dxa"/>
              <w:end w:w="120" w:type="dxa"/>
            </w:tcMar>
          </w:tcPr>
          <w:p>
            <w:pPr>
              <w:spacing w:after="0"/>
            </w:pPr>
            <w:r>
              <w:rPr>
                <w:sz w:val="16"/>
              </w:rPr>
              <w:t>Confidentiality</w:t>
            </w:r>
          </w:p>
        </w:tc>
        <w:tc>
          <w:tcPr>
            <w:tcW w:type="dxa" w:w="7488"/>
            <w:tcMar>
              <w:top w:w="100" w:type="dxa"/>
              <w:start w:w="120" w:type="dxa"/>
              <w:bottom w:w="100" w:type="dxa"/>
              <w:end w:w="120" w:type="dxa"/>
            </w:tcMar>
          </w:tcPr>
          <w:p>
            <w:pPr>
              <w:spacing w:after="0"/>
            </w:pPr>
            <w:r>
              <w:rPr>
                <w:sz w:val="16"/>
              </w:rPr>
              <w:t>The professional duty to protect information and disclose only with an appropriate basis.</w:t>
            </w:r>
          </w:p>
        </w:tc>
      </w:tr>
      <w:tr>
        <w:trPr>
          <w:cantSplit/>
        </w:trPr>
        <w:tc>
          <w:tcPr>
            <w:tcW w:type="dxa" w:w="2448"/>
            <w:tcMar>
              <w:top w:w="100" w:type="dxa"/>
              <w:start w:w="120" w:type="dxa"/>
              <w:bottom w:w="100" w:type="dxa"/>
              <w:end w:w="120" w:type="dxa"/>
            </w:tcMar>
            <w:shd w:fill="F7F8FA"/>
          </w:tcPr>
          <w:p>
            <w:pPr>
              <w:spacing w:after="0"/>
            </w:pPr>
            <w:r>
              <w:rPr>
                <w:sz w:val="16"/>
              </w:rPr>
              <w:t>Privacy</w:t>
            </w:r>
          </w:p>
        </w:tc>
        <w:tc>
          <w:tcPr>
            <w:tcW w:type="dxa" w:w="7488"/>
            <w:tcMar>
              <w:top w:w="100" w:type="dxa"/>
              <w:start w:w="120" w:type="dxa"/>
              <w:bottom w:w="100" w:type="dxa"/>
              <w:end w:w="120" w:type="dxa"/>
            </w:tcMar>
            <w:shd w:fill="F7F8FA"/>
          </w:tcPr>
          <w:p>
            <w:pPr>
              <w:spacing w:after="0"/>
            </w:pPr>
            <w:r>
              <w:rPr>
                <w:sz w:val="16"/>
              </w:rPr>
              <w:t>The client’s interest in controlling personal information, spaces, and access.</w:t>
            </w:r>
          </w:p>
        </w:tc>
      </w:tr>
      <w:tr>
        <w:trPr>
          <w:cantSplit/>
        </w:trPr>
        <w:tc>
          <w:tcPr>
            <w:tcW w:type="dxa" w:w="2448"/>
            <w:tcMar>
              <w:top w:w="100" w:type="dxa"/>
              <w:start w:w="120" w:type="dxa"/>
              <w:bottom w:w="100" w:type="dxa"/>
              <w:end w:w="120" w:type="dxa"/>
            </w:tcMar>
          </w:tcPr>
          <w:p>
            <w:pPr>
              <w:spacing w:after="0"/>
            </w:pPr>
            <w:r>
              <w:rPr>
                <w:sz w:val="16"/>
              </w:rPr>
              <w:t>Privilege</w:t>
            </w:r>
          </w:p>
        </w:tc>
        <w:tc>
          <w:tcPr>
            <w:tcW w:type="dxa" w:w="7488"/>
            <w:tcMar>
              <w:top w:w="100" w:type="dxa"/>
              <w:start w:w="120" w:type="dxa"/>
              <w:bottom w:w="100" w:type="dxa"/>
              <w:end w:w="120" w:type="dxa"/>
            </w:tcMar>
          </w:tcPr>
          <w:p>
            <w:pPr>
              <w:spacing w:after="0"/>
            </w:pPr>
            <w:r>
              <w:rPr>
                <w:sz w:val="16"/>
              </w:rPr>
              <w:t>An evidentiary protection in legal proceedings that may be held, asserted, or waived by someone other than the clinician.</w:t>
            </w:r>
          </w:p>
        </w:tc>
      </w:tr>
      <w:tr>
        <w:trPr>
          <w:cantSplit/>
        </w:trPr>
        <w:tc>
          <w:tcPr>
            <w:tcW w:type="dxa" w:w="2448"/>
            <w:tcMar>
              <w:top w:w="100" w:type="dxa"/>
              <w:start w:w="120" w:type="dxa"/>
              <w:bottom w:w="100" w:type="dxa"/>
              <w:end w:w="120" w:type="dxa"/>
            </w:tcMar>
            <w:shd w:fill="F7F8FA"/>
          </w:tcPr>
          <w:p>
            <w:pPr>
              <w:spacing w:after="0"/>
            </w:pPr>
            <w:r>
              <w:rPr>
                <w:sz w:val="16"/>
              </w:rPr>
              <w:t>Authorization</w:t>
            </w:r>
          </w:p>
        </w:tc>
        <w:tc>
          <w:tcPr>
            <w:tcW w:type="dxa" w:w="7488"/>
            <w:tcMar>
              <w:top w:w="100" w:type="dxa"/>
              <w:start w:w="120" w:type="dxa"/>
              <w:bottom w:w="100" w:type="dxa"/>
              <w:end w:w="120" w:type="dxa"/>
            </w:tcMar>
            <w:shd w:fill="F7F8FA"/>
          </w:tcPr>
          <w:p>
            <w:pPr>
              <w:spacing w:after="0"/>
            </w:pPr>
            <w:r>
              <w:rPr>
                <w:sz w:val="16"/>
              </w:rPr>
              <w:t>A client-controlled permission that should identify recipient, information, purpose, duration, and revocation conditions.</w:t>
            </w:r>
          </w:p>
        </w:tc>
      </w:tr>
      <w:tr>
        <w:trPr>
          <w:cantSplit/>
        </w:trPr>
        <w:tc>
          <w:tcPr>
            <w:tcW w:type="dxa" w:w="2448"/>
            <w:tcMar>
              <w:top w:w="100" w:type="dxa"/>
              <w:start w:w="120" w:type="dxa"/>
              <w:bottom w:w="100" w:type="dxa"/>
              <w:end w:w="120" w:type="dxa"/>
            </w:tcMar>
          </w:tcPr>
          <w:p>
            <w:pPr>
              <w:spacing w:after="0"/>
            </w:pPr>
            <w:r>
              <w:rPr>
                <w:sz w:val="16"/>
              </w:rPr>
              <w:t>Legal exception or required disclosure</w:t>
            </w:r>
          </w:p>
        </w:tc>
        <w:tc>
          <w:tcPr>
            <w:tcW w:type="dxa" w:w="7488"/>
            <w:tcMar>
              <w:top w:w="100" w:type="dxa"/>
              <w:start w:w="120" w:type="dxa"/>
              <w:bottom w:w="100" w:type="dxa"/>
              <w:end w:w="120" w:type="dxa"/>
            </w:tcMar>
          </w:tcPr>
          <w:p>
            <w:pPr>
              <w:spacing w:after="0"/>
            </w:pPr>
            <w:r>
              <w:rPr>
                <w:sz w:val="16"/>
              </w:rPr>
              <w:t>A separate legal basis that must be analyzed and documented; it is not the same as a routine release.</w:t>
            </w:r>
          </w:p>
        </w:tc>
      </w:tr>
      <w:tr>
        <w:trPr>
          <w:cantSplit/>
        </w:trPr>
        <w:tc>
          <w:tcPr>
            <w:tcW w:type="dxa" w:w="2448"/>
            <w:tcMar>
              <w:top w:w="100" w:type="dxa"/>
              <w:start w:w="120" w:type="dxa"/>
              <w:bottom w:w="100" w:type="dxa"/>
              <w:end w:w="120" w:type="dxa"/>
            </w:tcMar>
            <w:shd w:fill="F7F8FA"/>
          </w:tcPr>
          <w:p>
            <w:pPr>
              <w:spacing w:after="0"/>
            </w:pPr>
            <w:r>
              <w:rPr>
                <w:sz w:val="16"/>
              </w:rPr>
              <w:t>Minimum relevant information</w:t>
            </w:r>
          </w:p>
        </w:tc>
        <w:tc>
          <w:tcPr>
            <w:tcW w:type="dxa" w:w="7488"/>
            <w:tcMar>
              <w:top w:w="100" w:type="dxa"/>
              <w:start w:w="120" w:type="dxa"/>
              <w:bottom w:w="100" w:type="dxa"/>
              <w:end w:w="120" w:type="dxa"/>
            </w:tcMar>
            <w:shd w:fill="F7F8FA"/>
          </w:tcPr>
          <w:p>
            <w:pPr>
              <w:spacing w:after="0"/>
            </w:pPr>
            <w:r>
              <w:rPr>
                <w:sz w:val="16"/>
              </w:rPr>
              <w:t>Limit disclosure to what is needed for the authorized or legally permitted purpose.</w:t>
            </w:r>
          </w:p>
        </w:tc>
      </w:tr>
    </w:tbl>
    <w:p>
      <w:pPr>
        <w:spacing w:after="0"/>
      </w:pPr>
    </w:p>
    <w:p>
      <w:pPr>
        <w:pStyle w:val="ListNumber"/>
      </w:pPr>
      <w:r>
        <w:t>Identify the requester, purpose, and exact information requested.</w:t>
      </w:r>
    </w:p>
    <w:p>
      <w:pPr>
        <w:pStyle w:val="ListNumber"/>
      </w:pPr>
      <w:r>
        <w:t>Determine the client or client system and who controls authorization or privilege.</w:t>
      </w:r>
    </w:p>
    <w:p>
      <w:pPr>
        <w:pStyle w:val="ListNumber"/>
      </w:pPr>
      <w:r>
        <w:t>Review the authorization, legal process, exception, notice, and time requirements.</w:t>
      </w:r>
    </w:p>
    <w:p>
      <w:pPr>
        <w:pStyle w:val="ListNumber"/>
      </w:pPr>
      <w:r>
        <w:t>Consult when the demand, privilege, subpoena, court order, or competing duty is unclear.</w:t>
      </w:r>
    </w:p>
    <w:p>
      <w:pPr>
        <w:pStyle w:val="ListNumber"/>
      </w:pPr>
      <w:r>
        <w:t>Disclose only the information supported by the valid basis and document the action.</w:t>
      </w:r>
    </w:p>
    <w:p>
      <w:pPr>
        <w:pStyle w:val="Heading1"/>
      </w:pPr>
      <w:r>
        <w:t>5. Documentation and Record Integrity</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Strong Documentation</w:t>
            </w:r>
          </w:p>
        </w:tc>
        <w:tc>
          <w:tcPr>
            <w:tcW w:type="dxa" w:w="5040"/>
            <w:shd w:fill="17365D"/>
            <w:tcMar>
              <w:top w:w="100" w:type="dxa"/>
              <w:start w:w="120" w:type="dxa"/>
              <w:bottom w:w="100" w:type="dxa"/>
              <w:end w:w="120" w:type="dxa"/>
            </w:tcMar>
          </w:tcPr>
          <w:p>
            <w:pPr>
              <w:spacing w:after="0"/>
            </w:pPr>
            <w:r>
              <w:rPr>
                <w:b/>
                <w:color w:val="FFFFFF"/>
                <w:sz w:val="16"/>
              </w:rPr>
              <w:t>Avoid</w:t>
            </w:r>
          </w:p>
        </w:tc>
      </w:tr>
      <w:tr>
        <w:trPr>
          <w:cantSplit/>
        </w:trPr>
        <w:tc>
          <w:tcPr>
            <w:tcW w:type="dxa" w:w="4968"/>
            <w:tcMar>
              <w:top w:w="100" w:type="dxa"/>
              <w:start w:w="120" w:type="dxa"/>
              <w:bottom w:w="100" w:type="dxa"/>
              <w:end w:w="120" w:type="dxa"/>
            </w:tcMar>
          </w:tcPr>
          <w:p>
            <w:pPr>
              <w:spacing w:after="0"/>
            </w:pPr>
            <w:r>
              <w:rPr>
                <w:sz w:val="16"/>
              </w:rPr>
              <w:t>Timely, accurate, relevant, objective, respectful, and clinically useful.</w:t>
            </w:r>
          </w:p>
        </w:tc>
        <w:tc>
          <w:tcPr>
            <w:tcW w:type="dxa" w:w="4968"/>
            <w:tcMar>
              <w:top w:w="100" w:type="dxa"/>
              <w:start w:w="120" w:type="dxa"/>
              <w:bottom w:w="100" w:type="dxa"/>
              <w:end w:w="120" w:type="dxa"/>
            </w:tcMar>
          </w:tcPr>
          <w:p>
            <w:pPr>
              <w:spacing w:after="0"/>
            </w:pPr>
            <w:r>
              <w:rPr>
                <w:sz w:val="16"/>
              </w:rPr>
              <w:t>Copied or unsupported statements, stigmatizing language, and unnecessary sensitive detail.</w:t>
            </w:r>
          </w:p>
        </w:tc>
      </w:tr>
      <w:tr>
        <w:trPr>
          <w:cantSplit/>
        </w:trPr>
        <w:tc>
          <w:tcPr>
            <w:tcW w:type="dxa" w:w="4968"/>
            <w:tcMar>
              <w:top w:w="100" w:type="dxa"/>
              <w:start w:w="120" w:type="dxa"/>
              <w:bottom w:w="100" w:type="dxa"/>
              <w:end w:w="120" w:type="dxa"/>
            </w:tcMar>
            <w:shd w:fill="F7F8FA"/>
          </w:tcPr>
          <w:p>
            <w:pPr>
              <w:spacing w:after="0"/>
            </w:pPr>
            <w:r>
              <w:rPr>
                <w:sz w:val="16"/>
              </w:rPr>
              <w:t>Separates observation, client report, collateral report, clinical inference, and plan.</w:t>
            </w:r>
          </w:p>
        </w:tc>
        <w:tc>
          <w:tcPr>
            <w:tcW w:type="dxa" w:w="4968"/>
            <w:tcMar>
              <w:top w:w="100" w:type="dxa"/>
              <w:start w:w="120" w:type="dxa"/>
              <w:bottom w:w="100" w:type="dxa"/>
              <w:end w:w="120" w:type="dxa"/>
            </w:tcMar>
            <w:shd w:fill="F7F8FA"/>
          </w:tcPr>
          <w:p>
            <w:pPr>
              <w:spacing w:after="0"/>
            </w:pPr>
            <w:r>
              <w:rPr>
                <w:sz w:val="16"/>
              </w:rPr>
              <w:t>Presenting assumptions as facts.</w:t>
            </w:r>
          </w:p>
        </w:tc>
      </w:tr>
      <w:tr>
        <w:trPr>
          <w:cantSplit/>
        </w:trPr>
        <w:tc>
          <w:tcPr>
            <w:tcW w:type="dxa" w:w="4968"/>
            <w:tcMar>
              <w:top w:w="100" w:type="dxa"/>
              <w:start w:w="120" w:type="dxa"/>
              <w:bottom w:w="100" w:type="dxa"/>
              <w:end w:w="120" w:type="dxa"/>
            </w:tcMar>
          </w:tcPr>
          <w:p>
            <w:pPr>
              <w:spacing w:after="0"/>
            </w:pPr>
            <w:r>
              <w:rPr>
                <w:sz w:val="16"/>
              </w:rPr>
              <w:t>Records consent, risk assessment, consultation, disposition, disclosure, and follow-up.</w:t>
            </w:r>
          </w:p>
        </w:tc>
        <w:tc>
          <w:tcPr>
            <w:tcW w:type="dxa" w:w="4968"/>
            <w:tcMar>
              <w:top w:w="100" w:type="dxa"/>
              <w:start w:w="120" w:type="dxa"/>
              <w:bottom w:w="100" w:type="dxa"/>
              <w:end w:w="120" w:type="dxa"/>
            </w:tcMar>
          </w:tcPr>
          <w:p>
            <w:pPr>
              <w:spacing w:after="0"/>
            </w:pPr>
            <w:r>
              <w:rPr>
                <w:sz w:val="16"/>
              </w:rPr>
              <w:t>Omitting the reason for a high-stakes decision.</w:t>
            </w:r>
          </w:p>
        </w:tc>
      </w:tr>
      <w:tr>
        <w:trPr>
          <w:cantSplit/>
        </w:trPr>
        <w:tc>
          <w:tcPr>
            <w:tcW w:type="dxa" w:w="4968"/>
            <w:tcMar>
              <w:top w:w="100" w:type="dxa"/>
              <w:start w:w="120" w:type="dxa"/>
              <w:bottom w:w="100" w:type="dxa"/>
              <w:end w:w="120" w:type="dxa"/>
            </w:tcMar>
            <w:shd w:fill="F7F8FA"/>
          </w:tcPr>
          <w:p>
            <w:pPr>
              <w:spacing w:after="0"/>
            </w:pPr>
            <w:r>
              <w:rPr>
                <w:sz w:val="16"/>
              </w:rPr>
              <w:t>Uses dated corrections or addenda that preserve the original record’s integrity.</w:t>
            </w:r>
          </w:p>
        </w:tc>
        <w:tc>
          <w:tcPr>
            <w:tcW w:type="dxa" w:w="4968"/>
            <w:tcMar>
              <w:top w:w="100" w:type="dxa"/>
              <w:start w:w="120" w:type="dxa"/>
              <w:bottom w:w="100" w:type="dxa"/>
              <w:end w:w="120" w:type="dxa"/>
            </w:tcMar>
            <w:shd w:fill="F7F8FA"/>
          </w:tcPr>
          <w:p>
            <w:pPr>
              <w:spacing w:after="0"/>
            </w:pPr>
            <w:r>
              <w:rPr>
                <w:sz w:val="16"/>
              </w:rPr>
              <w:t>Silent deletion, replacement, backdating, or altering records to improve appearance.</w:t>
            </w:r>
          </w:p>
        </w:tc>
      </w:tr>
      <w:tr>
        <w:trPr>
          <w:cantSplit/>
        </w:trPr>
        <w:tc>
          <w:tcPr>
            <w:tcW w:type="dxa" w:w="4968"/>
            <w:tcMar>
              <w:top w:w="100" w:type="dxa"/>
              <w:start w:w="120" w:type="dxa"/>
              <w:bottom w:w="100" w:type="dxa"/>
              <w:end w:w="120" w:type="dxa"/>
            </w:tcMar>
          </w:tcPr>
          <w:p>
            <w:pPr>
              <w:spacing w:after="0"/>
            </w:pPr>
            <w:r>
              <w:rPr>
                <w:sz w:val="16"/>
              </w:rPr>
              <w:t>Supports continuity, billing accuracy, and lawful access and retention.</w:t>
            </w:r>
          </w:p>
        </w:tc>
        <w:tc>
          <w:tcPr>
            <w:tcW w:type="dxa" w:w="4968"/>
            <w:tcMar>
              <w:top w:w="100" w:type="dxa"/>
              <w:start w:w="120" w:type="dxa"/>
              <w:bottom w:w="100" w:type="dxa"/>
              <w:end w:w="120" w:type="dxa"/>
            </w:tcMar>
          </w:tcPr>
          <w:p>
            <w:pPr>
              <w:spacing w:after="0"/>
            </w:pPr>
            <w:r>
              <w:rPr>
                <w:sz w:val="16"/>
              </w:rPr>
              <w:t>Documenting services not provided or diagnoses not supported.</w:t>
            </w:r>
          </w:p>
        </w:tc>
      </w:tr>
    </w:tbl>
    <w:p>
      <w:pPr>
        <w:spacing w:after="0"/>
      </w:pPr>
    </w:p>
    <w:p>
      <w:pPr>
        <w:pStyle w:val="Heading1"/>
      </w:pPr>
      <w:r>
        <w:t>6. Boundaries, Gifts, Self-Disclosure, and Electronic Relationships</w:t>
      </w:r>
    </w:p>
    <w:p>
      <w:r>
        <w:rPr>
          <w:i w:val="0"/>
        </w:rPr>
        <w:t>Boundary analysis should consider power, client vulnerability, clinical purpose, culture, community context, value, exploitation risk, objectivity, alternatives, agency policy, confidentiality, and ongoing impact. A modest culturally meaningful gift is not analyzed the same way as a financial relationship, sexual conduct, or a social-media connection that publicly exposes the treatment relationship.</w:t>
      </w:r>
    </w:p>
    <w:tbl>
      <w:tblPr>
        <w:tblStyle w:val="TableGrid"/>
        <w:tblW w:type="auto" w:w="0"/>
        <w:jc w:val="center"/>
        <w:tblLayout w:type="fixed"/>
        <w:tblLook w:firstColumn="1" w:firstRow="1" w:lastColumn="0" w:lastRow="0" w:noHBand="0" w:noVBand="1" w:val="04A0"/>
      </w:tblPr>
      <w:tblGrid>
        <w:gridCol w:w="3168"/>
        <w:gridCol w:w="676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Question</w:t>
            </w:r>
          </w:p>
        </w:tc>
        <w:tc>
          <w:tcPr>
            <w:tcW w:type="dxa" w:w="5040"/>
            <w:shd w:fill="17365D"/>
            <w:tcMar>
              <w:top w:w="100" w:type="dxa"/>
              <w:start w:w="120" w:type="dxa"/>
              <w:bottom w:w="100" w:type="dxa"/>
              <w:end w:w="120" w:type="dxa"/>
            </w:tcMar>
          </w:tcPr>
          <w:p>
            <w:pPr>
              <w:spacing w:after="0"/>
            </w:pPr>
            <w:r>
              <w:rPr>
                <w:b/>
                <w:color w:val="FFFFFF"/>
                <w:sz w:val="16"/>
              </w:rPr>
              <w:t>Strong Reasoning</w:t>
            </w:r>
          </w:p>
        </w:tc>
      </w:tr>
      <w:tr>
        <w:trPr>
          <w:cantSplit/>
        </w:trPr>
        <w:tc>
          <w:tcPr>
            <w:tcW w:type="dxa" w:w="3168"/>
            <w:tcMar>
              <w:top w:w="100" w:type="dxa"/>
              <w:start w:w="120" w:type="dxa"/>
              <w:bottom w:w="100" w:type="dxa"/>
              <w:end w:w="120" w:type="dxa"/>
            </w:tcMar>
          </w:tcPr>
          <w:p>
            <w:pPr>
              <w:spacing w:after="0"/>
            </w:pPr>
            <w:r>
              <w:rPr>
                <w:sz w:val="16"/>
              </w:rPr>
              <w:t>Whose need does the action serve?</w:t>
            </w:r>
          </w:p>
        </w:tc>
        <w:tc>
          <w:tcPr>
            <w:tcW w:type="dxa" w:w="6768"/>
            <w:tcMar>
              <w:top w:w="100" w:type="dxa"/>
              <w:start w:w="120" w:type="dxa"/>
              <w:bottom w:w="100" w:type="dxa"/>
              <w:end w:w="120" w:type="dxa"/>
            </w:tcMar>
          </w:tcPr>
          <w:p>
            <w:pPr>
              <w:spacing w:after="0"/>
            </w:pPr>
            <w:r>
              <w:rPr>
                <w:sz w:val="16"/>
              </w:rPr>
              <w:t>A clinically purposeful action should benefit treatment rather than relieve the therapist’s loneliness, guilt, curiosity, or financial interest.</w:t>
            </w:r>
          </w:p>
        </w:tc>
      </w:tr>
      <w:tr>
        <w:trPr>
          <w:cantSplit/>
        </w:trPr>
        <w:tc>
          <w:tcPr>
            <w:tcW w:type="dxa" w:w="3168"/>
            <w:tcMar>
              <w:top w:w="100" w:type="dxa"/>
              <w:start w:w="120" w:type="dxa"/>
              <w:bottom w:w="100" w:type="dxa"/>
              <w:end w:w="120" w:type="dxa"/>
            </w:tcMar>
            <w:shd w:fill="F7F8FA"/>
          </w:tcPr>
          <w:p>
            <w:pPr>
              <w:spacing w:after="0"/>
            </w:pPr>
            <w:r>
              <w:rPr>
                <w:sz w:val="16"/>
              </w:rPr>
              <w:t>What is the power and exploitation risk?</w:t>
            </w:r>
          </w:p>
        </w:tc>
        <w:tc>
          <w:tcPr>
            <w:tcW w:type="dxa" w:w="6768"/>
            <w:tcMar>
              <w:top w:w="100" w:type="dxa"/>
              <w:start w:w="120" w:type="dxa"/>
              <w:bottom w:w="100" w:type="dxa"/>
              <w:end w:w="120" w:type="dxa"/>
            </w:tcMar>
            <w:shd w:fill="F7F8FA"/>
          </w:tcPr>
          <w:p>
            <w:pPr>
              <w:spacing w:after="0"/>
            </w:pPr>
            <w:r>
              <w:rPr>
                <w:sz w:val="16"/>
              </w:rPr>
              <w:t>The client may feel pressure to agree, give, disclose, endorse, or continue treatment.</w:t>
            </w:r>
          </w:p>
        </w:tc>
      </w:tr>
      <w:tr>
        <w:trPr>
          <w:cantSplit/>
        </w:trPr>
        <w:tc>
          <w:tcPr>
            <w:tcW w:type="dxa" w:w="3168"/>
            <w:tcMar>
              <w:top w:w="100" w:type="dxa"/>
              <w:start w:w="120" w:type="dxa"/>
              <w:bottom w:w="100" w:type="dxa"/>
              <w:end w:w="120" w:type="dxa"/>
            </w:tcMar>
          </w:tcPr>
          <w:p>
            <w:pPr>
              <w:spacing w:after="0"/>
            </w:pPr>
            <w:r>
              <w:rPr>
                <w:sz w:val="16"/>
              </w:rPr>
              <w:t>What are the cultural and community meanings?</w:t>
            </w:r>
          </w:p>
        </w:tc>
        <w:tc>
          <w:tcPr>
            <w:tcW w:type="dxa" w:w="6768"/>
            <w:tcMar>
              <w:top w:w="100" w:type="dxa"/>
              <w:start w:w="120" w:type="dxa"/>
              <w:bottom w:w="100" w:type="dxa"/>
              <w:end w:w="120" w:type="dxa"/>
            </w:tcMar>
          </w:tcPr>
          <w:p>
            <w:pPr>
              <w:spacing w:after="0"/>
            </w:pPr>
            <w:r>
              <w:rPr>
                <w:sz w:val="16"/>
              </w:rPr>
              <w:t>Context matters, but culture does not eliminate the need to assess harm and power.</w:t>
            </w:r>
          </w:p>
        </w:tc>
      </w:tr>
      <w:tr>
        <w:trPr>
          <w:cantSplit/>
        </w:trPr>
        <w:tc>
          <w:tcPr>
            <w:tcW w:type="dxa" w:w="3168"/>
            <w:tcMar>
              <w:top w:w="100" w:type="dxa"/>
              <w:start w:w="120" w:type="dxa"/>
              <w:bottom w:w="100" w:type="dxa"/>
              <w:end w:w="120" w:type="dxa"/>
            </w:tcMar>
            <w:shd w:fill="F7F8FA"/>
          </w:tcPr>
          <w:p>
            <w:pPr>
              <w:spacing w:after="0"/>
            </w:pPr>
            <w:r>
              <w:rPr>
                <w:sz w:val="16"/>
              </w:rPr>
              <w:t>Can the boundary be explained and monitored?</w:t>
            </w:r>
          </w:p>
        </w:tc>
        <w:tc>
          <w:tcPr>
            <w:tcW w:type="dxa" w:w="6768"/>
            <w:tcMar>
              <w:top w:w="100" w:type="dxa"/>
              <w:start w:w="120" w:type="dxa"/>
              <w:bottom w:w="100" w:type="dxa"/>
              <w:end w:w="120" w:type="dxa"/>
            </w:tcMar>
            <w:shd w:fill="F7F8FA"/>
          </w:tcPr>
          <w:p>
            <w:pPr>
              <w:spacing w:after="0"/>
            </w:pPr>
            <w:r>
              <w:rPr>
                <w:sz w:val="16"/>
              </w:rPr>
              <w:t>Transparent discussion, consultation, documentation, and review may reduce risk.</w:t>
            </w:r>
          </w:p>
        </w:tc>
      </w:tr>
      <w:tr>
        <w:trPr>
          <w:cantSplit/>
        </w:trPr>
        <w:tc>
          <w:tcPr>
            <w:tcW w:type="dxa" w:w="3168"/>
            <w:tcMar>
              <w:top w:w="100" w:type="dxa"/>
              <w:start w:w="120" w:type="dxa"/>
              <w:bottom w:w="100" w:type="dxa"/>
              <w:end w:w="120" w:type="dxa"/>
            </w:tcMar>
          </w:tcPr>
          <w:p>
            <w:pPr>
              <w:spacing w:after="0"/>
            </w:pPr>
            <w:r>
              <w:rPr>
                <w:sz w:val="16"/>
              </w:rPr>
              <w:t>Would a reasonable alternative better protect the client?</w:t>
            </w:r>
          </w:p>
        </w:tc>
        <w:tc>
          <w:tcPr>
            <w:tcW w:type="dxa" w:w="6768"/>
            <w:tcMar>
              <w:top w:w="100" w:type="dxa"/>
              <w:start w:w="120" w:type="dxa"/>
              <w:bottom w:w="100" w:type="dxa"/>
              <w:end w:w="120" w:type="dxa"/>
            </w:tcMar>
          </w:tcPr>
          <w:p>
            <w:pPr>
              <w:spacing w:after="0"/>
            </w:pPr>
            <w:r>
              <w:rPr>
                <w:sz w:val="16"/>
              </w:rPr>
              <w:t>Choose the less risky option when it preserves access and treatment goals.</w:t>
            </w:r>
          </w:p>
        </w:tc>
      </w:tr>
    </w:tbl>
    <w:p>
      <w:pPr>
        <w:spacing w:after="0"/>
      </w:pPr>
    </w:p>
    <w:p>
      <w:pPr>
        <w:pStyle w:val="Heading1"/>
      </w:pPr>
      <w:r>
        <w:t>7. Competence, Consultation, Countertransference, and Impairment</w:t>
      </w:r>
    </w:p>
    <w:p>
      <w:r>
        <w:rPr>
          <w:i w:val="0"/>
        </w:rPr>
        <w:t>Competence includes education, training, supervised experience, current knowledge, cultural responsiveness, and the ability to recognize limits. Consultation helps the therapist improve care but does not transfer professional responsibility. When personal reactions or impairment affect objectivity, reliability, or safety, the therapist should recognize the problem, contain its effect, consult, adjust practice, and arrange referral or coverage when competent care cannot be maintained.</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Do Not Confuse</w:t>
            </w:r>
          </w:p>
          <w:p>
            <w:pPr>
              <w:spacing w:after="0"/>
            </w:pPr>
            <w:r>
              <w:t>Client consent does not create clinician competence. Self-care does not excuse unsafe care. Referral should protect continuity rather than function as avoidance of ordinary discomfort or difference.</w:t>
            </w:r>
          </w:p>
        </w:tc>
      </w:tr>
    </w:tbl>
    <w:p>
      <w:pPr>
        <w:spacing w:after="0"/>
      </w:pPr>
    </w:p>
    <w:p>
      <w:pPr>
        <w:pStyle w:val="Heading1"/>
      </w:pPr>
      <w:r>
        <w:t>8. Telehealth, Messaging, Social Media, and Emerging Technology</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Issue</w:t>
            </w:r>
          </w:p>
        </w:tc>
        <w:tc>
          <w:tcPr>
            <w:tcW w:type="dxa" w:w="5040"/>
            <w:shd w:fill="17365D"/>
            <w:tcMar>
              <w:top w:w="100" w:type="dxa"/>
              <w:start w:w="120" w:type="dxa"/>
              <w:bottom w:w="100" w:type="dxa"/>
              <w:end w:w="120" w:type="dxa"/>
            </w:tcMar>
          </w:tcPr>
          <w:p>
            <w:pPr>
              <w:spacing w:after="0"/>
            </w:pPr>
            <w:r>
              <w:rPr>
                <w:b/>
                <w:color w:val="FFFFFF"/>
                <w:sz w:val="16"/>
              </w:rPr>
              <w:t>Clinical and Professional Questions</w:t>
            </w:r>
          </w:p>
        </w:tc>
      </w:tr>
      <w:tr>
        <w:trPr>
          <w:cantSplit/>
        </w:trPr>
        <w:tc>
          <w:tcPr>
            <w:tcW w:type="dxa" w:w="2592"/>
            <w:tcMar>
              <w:top w:w="100" w:type="dxa"/>
              <w:start w:w="120" w:type="dxa"/>
              <w:bottom w:w="100" w:type="dxa"/>
              <w:end w:w="120" w:type="dxa"/>
            </w:tcMar>
          </w:tcPr>
          <w:p>
            <w:pPr>
              <w:spacing w:after="0"/>
            </w:pPr>
            <w:r>
              <w:rPr>
                <w:sz w:val="16"/>
              </w:rPr>
              <w:t>Jurisdiction and location</w:t>
            </w:r>
          </w:p>
        </w:tc>
        <w:tc>
          <w:tcPr>
            <w:tcW w:type="dxa" w:w="7344"/>
            <w:tcMar>
              <w:top w:w="100" w:type="dxa"/>
              <w:start w:w="120" w:type="dxa"/>
              <w:bottom w:w="100" w:type="dxa"/>
              <w:end w:w="120" w:type="dxa"/>
            </w:tcMar>
          </w:tcPr>
          <w:p>
            <w:pPr>
              <w:spacing w:after="0"/>
            </w:pPr>
            <w:r>
              <w:rPr>
                <w:sz w:val="16"/>
              </w:rPr>
              <w:t>Where is the client physically located, may the LMFT practice there, and what emergency resources are available?</w:t>
            </w:r>
          </w:p>
        </w:tc>
      </w:tr>
      <w:tr>
        <w:trPr>
          <w:cantSplit/>
        </w:trPr>
        <w:tc>
          <w:tcPr>
            <w:tcW w:type="dxa" w:w="2592"/>
            <w:tcMar>
              <w:top w:w="100" w:type="dxa"/>
              <w:start w:w="120" w:type="dxa"/>
              <w:bottom w:w="100" w:type="dxa"/>
              <w:end w:w="120" w:type="dxa"/>
            </w:tcMar>
            <w:shd w:fill="F7F8FA"/>
          </w:tcPr>
          <w:p>
            <w:pPr>
              <w:spacing w:after="0"/>
            </w:pPr>
            <w:r>
              <w:rPr>
                <w:sz w:val="16"/>
              </w:rPr>
              <w:t>Identity and privacy</w:t>
            </w:r>
          </w:p>
        </w:tc>
        <w:tc>
          <w:tcPr>
            <w:tcW w:type="dxa" w:w="7344"/>
            <w:tcMar>
              <w:top w:w="100" w:type="dxa"/>
              <w:start w:w="120" w:type="dxa"/>
              <w:bottom w:w="100" w:type="dxa"/>
              <w:end w:w="120" w:type="dxa"/>
            </w:tcMar>
            <w:shd w:fill="F7F8FA"/>
          </w:tcPr>
          <w:p>
            <w:pPr>
              <w:spacing w:after="0"/>
            </w:pPr>
            <w:r>
              <w:rPr>
                <w:sz w:val="16"/>
              </w:rPr>
              <w:t>Can the parties be identified, is the setting private, and are platform and device risks understood?</w:t>
            </w:r>
          </w:p>
        </w:tc>
      </w:tr>
      <w:tr>
        <w:trPr>
          <w:cantSplit/>
        </w:trPr>
        <w:tc>
          <w:tcPr>
            <w:tcW w:type="dxa" w:w="2592"/>
            <w:tcMar>
              <w:top w:w="100" w:type="dxa"/>
              <w:start w:w="120" w:type="dxa"/>
              <w:bottom w:w="100" w:type="dxa"/>
              <w:end w:w="120" w:type="dxa"/>
            </w:tcMar>
          </w:tcPr>
          <w:p>
            <w:pPr>
              <w:spacing w:after="0"/>
            </w:pPr>
            <w:r>
              <w:rPr>
                <w:sz w:val="16"/>
              </w:rPr>
              <w:t>Consent and accessibility</w:t>
            </w:r>
          </w:p>
        </w:tc>
        <w:tc>
          <w:tcPr>
            <w:tcW w:type="dxa" w:w="7344"/>
            <w:tcMar>
              <w:top w:w="100" w:type="dxa"/>
              <w:start w:w="120" w:type="dxa"/>
              <w:bottom w:w="100" w:type="dxa"/>
              <w:end w:w="120" w:type="dxa"/>
            </w:tcMar>
          </w:tcPr>
          <w:p>
            <w:pPr>
              <w:spacing w:after="0"/>
            </w:pPr>
            <w:r>
              <w:rPr>
                <w:sz w:val="16"/>
              </w:rPr>
              <w:t>Does the client understand the method, limitations, alternatives, and accessibility needs?</w:t>
            </w:r>
          </w:p>
        </w:tc>
      </w:tr>
      <w:tr>
        <w:trPr>
          <w:cantSplit/>
        </w:trPr>
        <w:tc>
          <w:tcPr>
            <w:tcW w:type="dxa" w:w="2592"/>
            <w:tcMar>
              <w:top w:w="100" w:type="dxa"/>
              <w:start w:w="120" w:type="dxa"/>
              <w:bottom w:w="100" w:type="dxa"/>
              <w:end w:w="120" w:type="dxa"/>
            </w:tcMar>
            <w:shd w:fill="F7F8FA"/>
          </w:tcPr>
          <w:p>
            <w:pPr>
              <w:spacing w:after="0"/>
            </w:pPr>
            <w:r>
              <w:rPr>
                <w:sz w:val="16"/>
              </w:rPr>
              <w:t>Messaging and response time</w:t>
            </w:r>
          </w:p>
        </w:tc>
        <w:tc>
          <w:tcPr>
            <w:tcW w:type="dxa" w:w="7344"/>
            <w:tcMar>
              <w:top w:w="100" w:type="dxa"/>
              <w:start w:w="120" w:type="dxa"/>
              <w:bottom w:w="100" w:type="dxa"/>
              <w:end w:w="120" w:type="dxa"/>
            </w:tcMar>
            <w:shd w:fill="F7F8FA"/>
          </w:tcPr>
          <w:p>
            <w:pPr>
              <w:spacing w:after="0"/>
            </w:pPr>
            <w:r>
              <w:rPr>
                <w:sz w:val="16"/>
              </w:rPr>
              <w:t>What is monitored, what belongs in the record, and what should the client do in an emergency?</w:t>
            </w:r>
          </w:p>
        </w:tc>
      </w:tr>
      <w:tr>
        <w:trPr>
          <w:cantSplit/>
        </w:trPr>
        <w:tc>
          <w:tcPr>
            <w:tcW w:type="dxa" w:w="2592"/>
            <w:tcMar>
              <w:top w:w="100" w:type="dxa"/>
              <w:start w:w="120" w:type="dxa"/>
              <w:bottom w:w="100" w:type="dxa"/>
              <w:end w:w="120" w:type="dxa"/>
            </w:tcMar>
          </w:tcPr>
          <w:p>
            <w:pPr>
              <w:spacing w:after="0"/>
            </w:pPr>
            <w:r>
              <w:rPr>
                <w:sz w:val="16"/>
              </w:rPr>
              <w:t>Social media and public communication</w:t>
            </w:r>
          </w:p>
        </w:tc>
        <w:tc>
          <w:tcPr>
            <w:tcW w:type="dxa" w:w="7344"/>
            <w:tcMar>
              <w:top w:w="100" w:type="dxa"/>
              <w:start w:w="120" w:type="dxa"/>
              <w:bottom w:w="100" w:type="dxa"/>
              <w:end w:w="120" w:type="dxa"/>
            </w:tcMar>
          </w:tcPr>
          <w:p>
            <w:pPr>
              <w:spacing w:after="0"/>
            </w:pPr>
            <w:r>
              <w:rPr>
                <w:sz w:val="16"/>
              </w:rPr>
              <w:t>Could an interaction reveal client status, blur roles, solicit testimonials, or create an appearance of personal relationship?</w:t>
            </w:r>
          </w:p>
        </w:tc>
      </w:tr>
      <w:tr>
        <w:trPr>
          <w:cantSplit/>
        </w:trPr>
        <w:tc>
          <w:tcPr>
            <w:tcW w:type="dxa" w:w="2592"/>
            <w:tcMar>
              <w:top w:w="100" w:type="dxa"/>
              <w:start w:w="120" w:type="dxa"/>
              <w:bottom w:w="100" w:type="dxa"/>
              <w:end w:w="120" w:type="dxa"/>
            </w:tcMar>
            <w:shd w:fill="F7F8FA"/>
          </w:tcPr>
          <w:p>
            <w:pPr>
              <w:spacing w:after="0"/>
            </w:pPr>
            <w:r>
              <w:rPr>
                <w:sz w:val="16"/>
              </w:rPr>
              <w:t>Recording, transcription, or AI tools</w:t>
            </w:r>
          </w:p>
        </w:tc>
        <w:tc>
          <w:tcPr>
            <w:tcW w:type="dxa" w:w="7344"/>
            <w:tcMar>
              <w:top w:w="100" w:type="dxa"/>
              <w:start w:w="120" w:type="dxa"/>
              <w:bottom w:w="100" w:type="dxa"/>
              <w:end w:w="120" w:type="dxa"/>
            </w:tcMar>
            <w:shd w:fill="F7F8FA"/>
          </w:tcPr>
          <w:p>
            <w:pPr>
              <w:spacing w:after="0"/>
            </w:pPr>
            <w:r>
              <w:rPr>
                <w:sz w:val="16"/>
              </w:rPr>
              <w:t>What consent, confidentiality, security, accuracy, record, and vendor issues must be resolved before use?</w:t>
            </w:r>
          </w:p>
        </w:tc>
      </w:tr>
    </w:tbl>
    <w:p>
      <w:pPr>
        <w:spacing w:after="0"/>
      </w:pPr>
    </w:p>
    <w:p>
      <w:pPr>
        <w:pStyle w:val="Heading1"/>
      </w:pPr>
      <w:r>
        <w:t>9. Third Parties, Payers, Attorneys, Employers, and Courts</w:t>
      </w:r>
    </w:p>
    <w:p>
      <w:r>
        <w:rPr>
          <w:i w:val="0"/>
        </w:rPr>
        <w:t>A third party may pay, refer, authorize, request, investigate, or receive a limited report without becoming the clinical client. The therapist should clarify the contract, purpose, client status, role, expected reports, confidentiality limits, authorization, conflicts, and whether the requested opinion requires a separate forensic or evaluative role and competence.</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Role Warning</w:t>
            </w:r>
          </w:p>
          <w:p>
            <w:pPr>
              <w:spacing w:after="0"/>
            </w:pPr>
            <w:r>
              <w:t>Treatment and forensic evaluation use different purposes, methods, consent, neutrality, and records. Do not casually convert a therapeutic relationship into a litigation opinion.</w:t>
            </w:r>
          </w:p>
        </w:tc>
      </w:tr>
    </w:tbl>
    <w:p>
      <w:pPr>
        <w:spacing w:after="0"/>
      </w:pPr>
    </w:p>
    <w:p>
      <w:pPr>
        <w:pStyle w:val="Heading1"/>
      </w:pPr>
      <w:r>
        <w:t>10. Termination, Transfer, Coverage, and Continuity</w:t>
      </w:r>
    </w:p>
    <w:p>
      <w:pPr>
        <w:spacing w:after="20"/>
        <w:ind w:left="288" w:hanging="288"/>
      </w:pPr>
      <w:r>
        <w:rPr>
          <w:b/>
          <w:i w:val="0"/>
        </w:rPr>
        <w:t xml:space="preserve">1. </w:t>
      </w:r>
      <w:r>
        <w:rPr>
          <w:b w:val="0"/>
          <w:i w:val="0"/>
        </w:rPr>
        <w:t>Assess current risk, dependence, treatment needs, and timing.</w:t>
      </w:r>
    </w:p>
    <w:p>
      <w:pPr>
        <w:spacing w:after="20"/>
        <w:ind w:left="288" w:hanging="288"/>
      </w:pPr>
      <w:r>
        <w:rPr>
          <w:b/>
          <w:i w:val="0"/>
        </w:rPr>
        <w:t xml:space="preserve">2. </w:t>
      </w:r>
      <w:r>
        <w:rPr>
          <w:b w:val="0"/>
          <w:i w:val="0"/>
        </w:rPr>
        <w:t>Explain the reason for change or termination as appropriate and provide reasonable notice when possible.</w:t>
      </w:r>
    </w:p>
    <w:p>
      <w:pPr>
        <w:spacing w:after="20"/>
        <w:ind w:left="288" w:hanging="288"/>
      </w:pPr>
      <w:r>
        <w:rPr>
          <w:b/>
          <w:i w:val="0"/>
        </w:rPr>
        <w:t xml:space="preserve">3. </w:t>
      </w:r>
      <w:r>
        <w:rPr>
          <w:b w:val="0"/>
          <w:i w:val="0"/>
        </w:rPr>
        <w:t>Offer clinically appropriate referrals, transfer, coverage, emergency information, and records coordination.</w:t>
      </w:r>
    </w:p>
    <w:p>
      <w:pPr>
        <w:spacing w:after="20"/>
        <w:ind w:left="288" w:hanging="288"/>
      </w:pPr>
      <w:r>
        <w:rPr>
          <w:b/>
          <w:i w:val="0"/>
        </w:rPr>
        <w:t xml:space="preserve">4. </w:t>
      </w:r>
      <w:r>
        <w:rPr>
          <w:b w:val="0"/>
          <w:i w:val="0"/>
        </w:rPr>
        <w:t>Address fees, pending reports, medication or medical coordination, and other unfinished responsibilities.</w:t>
      </w:r>
    </w:p>
    <w:p>
      <w:pPr>
        <w:spacing w:after="20"/>
        <w:ind w:left="288" w:hanging="288"/>
      </w:pPr>
      <w:r>
        <w:rPr>
          <w:b/>
          <w:i w:val="0"/>
        </w:rPr>
        <w:t xml:space="preserve">5. </w:t>
      </w:r>
      <w:r>
        <w:rPr>
          <w:b w:val="0"/>
          <w:i w:val="0"/>
        </w:rPr>
        <w:t>Document outreach, client response, referrals, transfer information, and follow-up.</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Exam Trap</w:t>
            </w:r>
          </w:p>
          <w:p>
            <w:pPr>
              <w:spacing w:after="0"/>
            </w:pPr>
            <w:r>
              <w:t>Nonpayment, relocation, therapist stress, organizational change, or client conflict may justify a change in services, but they do not eliminate risk assessment and continuity duties.</w:t>
            </w:r>
          </w:p>
        </w:tc>
      </w:tr>
    </w:tbl>
    <w:p>
      <w:pPr>
        <w:spacing w:after="0"/>
      </w:pPr>
    </w:p>
    <w:p>
      <w:pPr>
        <w:pStyle w:val="Heading1"/>
      </w:pPr>
      <w:r>
        <w:t>11. Common Exam Traps</w:t>
      </w:r>
    </w:p>
    <w:tbl>
      <w:tblPr>
        <w:tblStyle w:val="TableGrid"/>
        <w:tblW w:type="auto" w:w="0"/>
        <w:jc w:val="center"/>
        <w:tblLayout w:type="fixed"/>
        <w:tblLook w:firstColumn="1" w:firstRow="1" w:lastColumn="0" w:lastRow="0" w:noHBand="0" w:noVBand="1" w:val="04A0"/>
      </w:tblPr>
      <w:tblGrid>
        <w:gridCol w:w="4320"/>
        <w:gridCol w:w="56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Trap</w:t>
            </w:r>
          </w:p>
        </w:tc>
        <w:tc>
          <w:tcPr>
            <w:tcW w:type="dxa" w:w="5040"/>
            <w:shd w:fill="17365D"/>
            <w:tcMar>
              <w:top w:w="100" w:type="dxa"/>
              <w:start w:w="120" w:type="dxa"/>
              <w:bottom w:w="100" w:type="dxa"/>
              <w:end w:w="120" w:type="dxa"/>
            </w:tcMar>
          </w:tcPr>
          <w:p>
            <w:pPr>
              <w:spacing w:after="0"/>
            </w:pPr>
            <w:r>
              <w:rPr>
                <w:b/>
                <w:color w:val="FFFFFF"/>
                <w:sz w:val="16"/>
              </w:rPr>
              <w:t>Correction</w:t>
            </w:r>
          </w:p>
        </w:tc>
      </w:tr>
      <w:tr>
        <w:trPr>
          <w:cantSplit/>
        </w:trPr>
        <w:tc>
          <w:tcPr>
            <w:tcW w:type="dxa" w:w="4320"/>
            <w:tcMar>
              <w:top w:w="100" w:type="dxa"/>
              <w:start w:w="120" w:type="dxa"/>
              <w:bottom w:w="100" w:type="dxa"/>
              <w:end w:w="120" w:type="dxa"/>
            </w:tcMar>
          </w:tcPr>
          <w:p>
            <w:pPr>
              <w:spacing w:after="0"/>
            </w:pPr>
            <w:r>
              <w:rPr>
                <w:sz w:val="16"/>
              </w:rPr>
              <w:t>Choosing the most restrictive answer because it sounds legally safe</w:t>
            </w:r>
          </w:p>
        </w:tc>
        <w:tc>
          <w:tcPr>
            <w:tcW w:type="dxa" w:w="5616"/>
            <w:tcMar>
              <w:top w:w="100" w:type="dxa"/>
              <w:start w:w="120" w:type="dxa"/>
              <w:bottom w:w="100" w:type="dxa"/>
              <w:end w:w="120" w:type="dxa"/>
            </w:tcMar>
          </w:tcPr>
          <w:p>
            <w:pPr>
              <w:spacing w:after="0"/>
            </w:pPr>
            <w:r>
              <w:rPr>
                <w:sz w:val="16"/>
              </w:rPr>
              <w:t>Identify the actual controlling duty and use the least intrusive lawful response.</w:t>
            </w:r>
          </w:p>
        </w:tc>
      </w:tr>
      <w:tr>
        <w:trPr>
          <w:cantSplit/>
        </w:trPr>
        <w:tc>
          <w:tcPr>
            <w:tcW w:type="dxa" w:w="4320"/>
            <w:tcMar>
              <w:top w:w="100" w:type="dxa"/>
              <w:start w:w="120" w:type="dxa"/>
              <w:bottom w:w="100" w:type="dxa"/>
              <w:end w:w="120" w:type="dxa"/>
            </w:tcMar>
            <w:shd w:fill="F7F8FA"/>
          </w:tcPr>
          <w:p>
            <w:pPr>
              <w:spacing w:after="0"/>
            </w:pPr>
            <w:r>
              <w:rPr>
                <w:sz w:val="16"/>
              </w:rPr>
              <w:t>Treating a signed form as proof of understanding</w:t>
            </w:r>
          </w:p>
        </w:tc>
        <w:tc>
          <w:tcPr>
            <w:tcW w:type="dxa" w:w="5616"/>
            <w:tcMar>
              <w:top w:w="100" w:type="dxa"/>
              <w:start w:w="120" w:type="dxa"/>
              <w:bottom w:w="100" w:type="dxa"/>
              <w:end w:w="120" w:type="dxa"/>
            </w:tcMar>
            <w:shd w:fill="F7F8FA"/>
          </w:tcPr>
          <w:p>
            <w:pPr>
              <w:spacing w:after="0"/>
            </w:pPr>
            <w:r>
              <w:rPr>
                <w:sz w:val="16"/>
              </w:rPr>
              <w:t>Consent is ongoing and should be revisited when circumstances change.</w:t>
            </w:r>
          </w:p>
        </w:tc>
      </w:tr>
      <w:tr>
        <w:trPr>
          <w:cantSplit/>
        </w:trPr>
        <w:tc>
          <w:tcPr>
            <w:tcW w:type="dxa" w:w="4320"/>
            <w:tcMar>
              <w:top w:w="100" w:type="dxa"/>
              <w:start w:w="120" w:type="dxa"/>
              <w:bottom w:w="100" w:type="dxa"/>
              <w:end w:w="120" w:type="dxa"/>
            </w:tcMar>
          </w:tcPr>
          <w:p>
            <w:pPr>
              <w:spacing w:after="0"/>
            </w:pPr>
            <w:r>
              <w:rPr>
                <w:sz w:val="16"/>
              </w:rPr>
              <w:t>Assuming a subpoena, payer, attorney, or team automatically receives the full record</w:t>
            </w:r>
          </w:p>
        </w:tc>
        <w:tc>
          <w:tcPr>
            <w:tcW w:type="dxa" w:w="5616"/>
            <w:tcMar>
              <w:top w:w="100" w:type="dxa"/>
              <w:start w:w="120" w:type="dxa"/>
              <w:bottom w:w="100" w:type="dxa"/>
              <w:end w:w="120" w:type="dxa"/>
            </w:tcMar>
          </w:tcPr>
          <w:p>
            <w:pPr>
              <w:spacing w:after="0"/>
            </w:pPr>
            <w:r>
              <w:rPr>
                <w:sz w:val="16"/>
              </w:rPr>
              <w:t>Clarify authority, privilege, authorization, purpose, and scope.</w:t>
            </w:r>
          </w:p>
        </w:tc>
      </w:tr>
      <w:tr>
        <w:trPr>
          <w:cantSplit/>
        </w:trPr>
        <w:tc>
          <w:tcPr>
            <w:tcW w:type="dxa" w:w="4320"/>
            <w:tcMar>
              <w:top w:w="100" w:type="dxa"/>
              <w:start w:w="120" w:type="dxa"/>
              <w:bottom w:w="100" w:type="dxa"/>
              <w:end w:w="120" w:type="dxa"/>
            </w:tcMar>
            <w:shd w:fill="F7F8FA"/>
          </w:tcPr>
          <w:p>
            <w:pPr>
              <w:spacing w:after="0"/>
            </w:pPr>
            <w:r>
              <w:rPr>
                <w:sz w:val="16"/>
              </w:rPr>
              <w:t>Referring immediately for every boundary or countertransference concern</w:t>
            </w:r>
          </w:p>
        </w:tc>
        <w:tc>
          <w:tcPr>
            <w:tcW w:type="dxa" w:w="5616"/>
            <w:tcMar>
              <w:top w:w="100" w:type="dxa"/>
              <w:start w:w="120" w:type="dxa"/>
              <w:bottom w:w="100" w:type="dxa"/>
              <w:end w:w="120" w:type="dxa"/>
            </w:tcMar>
            <w:shd w:fill="F7F8FA"/>
          </w:tcPr>
          <w:p>
            <w:pPr>
              <w:spacing w:after="0"/>
            </w:pPr>
            <w:r>
              <w:rPr>
                <w:sz w:val="16"/>
              </w:rPr>
              <w:t>Use consultation and boundary management when competent care can be preserved.</w:t>
            </w:r>
          </w:p>
        </w:tc>
      </w:tr>
      <w:tr>
        <w:trPr>
          <w:cantSplit/>
        </w:trPr>
        <w:tc>
          <w:tcPr>
            <w:tcW w:type="dxa" w:w="4320"/>
            <w:tcMar>
              <w:top w:w="100" w:type="dxa"/>
              <w:start w:w="120" w:type="dxa"/>
              <w:bottom w:w="100" w:type="dxa"/>
              <w:end w:w="120" w:type="dxa"/>
            </w:tcMar>
          </w:tcPr>
          <w:p>
            <w:pPr>
              <w:spacing w:after="0"/>
            </w:pPr>
            <w:r>
              <w:rPr>
                <w:sz w:val="16"/>
              </w:rPr>
              <w:t>Following agency policy when it requires false records or improper disclosure</w:t>
            </w:r>
          </w:p>
        </w:tc>
        <w:tc>
          <w:tcPr>
            <w:tcW w:type="dxa" w:w="5616"/>
            <w:tcMar>
              <w:top w:w="100" w:type="dxa"/>
              <w:start w:w="120" w:type="dxa"/>
              <w:bottom w:w="100" w:type="dxa"/>
              <w:end w:w="120" w:type="dxa"/>
            </w:tcMar>
          </w:tcPr>
          <w:p>
            <w:pPr>
              <w:spacing w:after="0"/>
            </w:pPr>
            <w:r>
              <w:rPr>
                <w:sz w:val="16"/>
              </w:rPr>
              <w:t>Law, ethics, accuracy, and client welfare are not replaced by policy.</w:t>
            </w:r>
          </w:p>
        </w:tc>
      </w:tr>
      <w:tr>
        <w:trPr>
          <w:cantSplit/>
        </w:trPr>
        <w:tc>
          <w:tcPr>
            <w:tcW w:type="dxa" w:w="4320"/>
            <w:tcMar>
              <w:top w:w="100" w:type="dxa"/>
              <w:start w:w="120" w:type="dxa"/>
              <w:bottom w:w="100" w:type="dxa"/>
              <w:end w:w="120" w:type="dxa"/>
            </w:tcMar>
            <w:shd w:fill="F7F8FA"/>
          </w:tcPr>
          <w:p>
            <w:pPr>
              <w:spacing w:after="0"/>
            </w:pPr>
            <w:r>
              <w:rPr>
                <w:sz w:val="16"/>
              </w:rPr>
              <w:t>Continuing telehealth after learning the client is in an unverified jurisdiction</w:t>
            </w:r>
          </w:p>
        </w:tc>
        <w:tc>
          <w:tcPr>
            <w:tcW w:type="dxa" w:w="5616"/>
            <w:tcMar>
              <w:top w:w="100" w:type="dxa"/>
              <w:start w:w="120" w:type="dxa"/>
              <w:bottom w:w="100" w:type="dxa"/>
              <w:end w:w="120" w:type="dxa"/>
            </w:tcMar>
            <w:shd w:fill="F7F8FA"/>
          </w:tcPr>
          <w:p>
            <w:pPr>
              <w:spacing w:after="0"/>
            </w:pPr>
            <w:r>
              <w:rPr>
                <w:sz w:val="16"/>
              </w:rPr>
              <w:t>Verify lawful practice before routine continuation.</w:t>
            </w:r>
          </w:p>
        </w:tc>
      </w:tr>
      <w:tr>
        <w:trPr>
          <w:cantSplit/>
        </w:trPr>
        <w:tc>
          <w:tcPr>
            <w:tcW w:type="dxa" w:w="4320"/>
            <w:tcMar>
              <w:top w:w="100" w:type="dxa"/>
              <w:start w:w="120" w:type="dxa"/>
              <w:bottom w:w="100" w:type="dxa"/>
              <w:end w:w="120" w:type="dxa"/>
            </w:tcMar>
          </w:tcPr>
          <w:p>
            <w:pPr>
              <w:spacing w:after="0"/>
            </w:pPr>
            <w:r>
              <w:rPr>
                <w:sz w:val="16"/>
              </w:rPr>
              <w:t>Ending treatment abruptly when services become difficult</w:t>
            </w:r>
          </w:p>
        </w:tc>
        <w:tc>
          <w:tcPr>
            <w:tcW w:type="dxa" w:w="5616"/>
            <w:tcMar>
              <w:top w:w="100" w:type="dxa"/>
              <w:start w:w="120" w:type="dxa"/>
              <w:bottom w:w="100" w:type="dxa"/>
              <w:end w:w="120" w:type="dxa"/>
            </w:tcMar>
          </w:tcPr>
          <w:p>
            <w:pPr>
              <w:spacing w:after="0"/>
            </w:pPr>
            <w:r>
              <w:rPr>
                <w:sz w:val="16"/>
              </w:rPr>
              <w:t>Assess risk and arrange reasonable continuity.</w:t>
            </w:r>
          </w:p>
        </w:tc>
      </w:tr>
    </w:tbl>
    <w:p>
      <w:pPr>
        <w:spacing w:after="0"/>
      </w:pPr>
    </w:p>
    <w:p>
      <w:pPr>
        <w:pStyle w:val="Heading1"/>
      </w:pPr>
      <w:r>
        <w:t>Worked Example 1: Disclosure Request</w:t>
      </w:r>
    </w:p>
    <w:p>
      <w:r>
        <w:rPr>
          <w:i w:val="0"/>
        </w:rPr>
        <w:t>A parent pays for an adult child’s therapy and asks for weekly updates. The therapist first identifies the adult child as the client, reviews the consent and authorization, clarifies the parent’s role, and discusses with the client what—if anything—may be shared. Payment alone does not create access to treatment information.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Client status and authorization come before the requester’s preference.</w:t>
            </w:r>
          </w:p>
        </w:tc>
      </w:tr>
    </w:tbl>
    <w:p>
      <w:pPr>
        <w:spacing w:after="0"/>
      </w:pPr>
    </w:p>
    <w:p>
      <w:pPr>
        <w:pStyle w:val="Heading1"/>
      </w:pPr>
      <w:r>
        <w:t>Worked Example 2: Competence and Continuity</w:t>
      </w:r>
    </w:p>
    <w:p>
      <w:r>
        <w:rPr>
          <w:i w:val="0"/>
        </w:rPr>
        <w:t>A client requests a highly specialized intervention outside the therapist’s training. The therapist explains the limit, consults, identifies qualified services, discusses whether to continue supportive treatment, and coordinates transfer or adjunctive care with consent. The therapist does not experiment merely because the client requests it, and does not abandon the client when referral is indicated.</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Protect both competence and continuity; they are complementary duties.</w:t>
            </w:r>
          </w:p>
        </w:tc>
      </w:tr>
    </w:tbl>
    <w:p>
      <w:pPr>
        <w:spacing w:after="0"/>
      </w:pPr>
    </w:p>
    <w:p>
      <w:pPr>
        <w:pStyle w:val="Heading1"/>
      </w:pPr>
      <w:r>
        <w:t>Professional-Practice Decision Worksheet</w:t>
      </w:r>
    </w:p>
    <w:tbl>
      <w:tblPr>
        <w:tblStyle w:val="TableGrid"/>
        <w:tblW w:type="auto" w:w="0"/>
        <w:jc w:val="center"/>
        <w:tblLayout w:type="fixed"/>
        <w:tblLook w:firstColumn="1" w:firstRow="1" w:lastColumn="0" w:lastRow="0" w:noHBand="0" w:noVBand="1" w:val="04A0"/>
      </w:tblPr>
      <w:tblGrid>
        <w:gridCol w:w="5904"/>
        <w:gridCol w:w="4032"/>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Prompt</w:t>
            </w:r>
          </w:p>
        </w:tc>
        <w:tc>
          <w:tcPr>
            <w:tcW w:type="dxa" w:w="5040"/>
            <w:shd w:fill="17365D"/>
            <w:tcMar>
              <w:top w:w="100" w:type="dxa"/>
              <w:start w:w="120" w:type="dxa"/>
              <w:bottom w:w="100" w:type="dxa"/>
              <w:end w:w="120" w:type="dxa"/>
            </w:tcMar>
          </w:tcPr>
          <w:p>
            <w:pPr>
              <w:spacing w:after="0"/>
            </w:pPr>
            <w:r>
              <w:rPr>
                <w:b/>
                <w:color w:val="FFFFFF"/>
                <w:sz w:val="16"/>
              </w:rPr>
              <w:t>Notes</w:t>
            </w:r>
          </w:p>
        </w:tc>
      </w:tr>
      <w:tr>
        <w:trPr>
          <w:cantSplit/>
        </w:trPr>
        <w:tc>
          <w:tcPr>
            <w:tcW w:type="dxa" w:w="5904"/>
            <w:tcMar>
              <w:top w:w="100" w:type="dxa"/>
              <w:start w:w="120" w:type="dxa"/>
              <w:bottom w:w="100" w:type="dxa"/>
              <w:end w:w="120" w:type="dxa"/>
            </w:tcMar>
          </w:tcPr>
          <w:p>
            <w:pPr>
              <w:spacing w:after="0"/>
            </w:pPr>
            <w:r>
              <w:rPr>
                <w:sz w:val="16"/>
              </w:rPr>
              <w:t>Exact problem and urgency; client or client system</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LMFT role and third-party roles</w:t>
            </w:r>
          </w:p>
        </w:tc>
        <w:tc>
          <w:tcPr>
            <w:tcW w:type="dxa" w:w="4032"/>
            <w:tcMar>
              <w:top w:w="100" w:type="dxa"/>
              <w:start w:w="120" w:type="dxa"/>
              <w:bottom w:w="100" w:type="dxa"/>
              <w:end w:w="120" w:type="dxa"/>
            </w:tcMar>
            <w:shd w:fill="F7F8FA"/>
          </w:tcPr>
          <w:p>
            <w:pPr>
              <w:spacing w:after="0"/>
            </w:pPr>
            <w:r>
              <w:rPr>
                <w:sz w:val="16"/>
              </w:rPr>
            </w:r>
          </w:p>
        </w:tc>
      </w:tr>
      <w:tr>
        <w:trPr>
          <w:cantSplit/>
        </w:trPr>
        <w:tc>
          <w:tcPr>
            <w:tcW w:type="dxa" w:w="5904"/>
            <w:tcMar>
              <w:top w:w="100" w:type="dxa"/>
              <w:start w:w="120" w:type="dxa"/>
              <w:bottom w:w="100" w:type="dxa"/>
              <w:end w:w="120" w:type="dxa"/>
            </w:tcMar>
          </w:tcPr>
          <w:p>
            <w:pPr>
              <w:spacing w:after="0"/>
            </w:pPr>
            <w:r>
              <w:rPr>
                <w:sz w:val="16"/>
              </w:rPr>
              <w:t>Relevant law, regulation, ethics, policy, contract, or professional standard</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Consent, authorization, privilege, confidentiality, or record issue</w:t>
            </w:r>
          </w:p>
        </w:tc>
        <w:tc>
          <w:tcPr>
            <w:tcW w:type="dxa" w:w="4032"/>
            <w:tcMar>
              <w:top w:w="100" w:type="dxa"/>
              <w:start w:w="120" w:type="dxa"/>
              <w:bottom w:w="100" w:type="dxa"/>
              <w:end w:w="120" w:type="dxa"/>
            </w:tcMar>
            <w:shd w:fill="F7F8FA"/>
          </w:tcPr>
          <w:p>
            <w:pPr>
              <w:spacing w:after="0"/>
            </w:pPr>
            <w:r>
              <w:rPr>
                <w:sz w:val="16"/>
              </w:rPr>
            </w:r>
          </w:p>
        </w:tc>
      </w:tr>
      <w:tr>
        <w:trPr>
          <w:cantSplit/>
        </w:trPr>
        <w:tc>
          <w:tcPr>
            <w:tcW w:type="dxa" w:w="5904"/>
            <w:tcMar>
              <w:top w:w="100" w:type="dxa"/>
              <w:start w:w="120" w:type="dxa"/>
              <w:bottom w:w="100" w:type="dxa"/>
              <w:end w:w="120" w:type="dxa"/>
            </w:tcMar>
          </w:tcPr>
          <w:p>
            <w:pPr>
              <w:spacing w:after="0"/>
            </w:pPr>
            <w:r>
              <w:rPr>
                <w:sz w:val="16"/>
              </w:rPr>
              <w:t>Safety, mandated duty, medical urgency, deadline, or jurisdiction concern</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Power, culture, access, boundary, conflict, competence, or impairment concern</w:t>
            </w:r>
          </w:p>
        </w:tc>
        <w:tc>
          <w:tcPr>
            <w:tcW w:type="dxa" w:w="4032"/>
            <w:tcMar>
              <w:top w:w="100" w:type="dxa"/>
              <w:start w:w="120" w:type="dxa"/>
              <w:bottom w:w="100" w:type="dxa"/>
              <w:end w:w="120" w:type="dxa"/>
            </w:tcMar>
            <w:shd w:fill="F7F8FA"/>
          </w:tcPr>
          <w:p>
            <w:pPr>
              <w:spacing w:after="0"/>
            </w:pPr>
            <w:r>
              <w:rPr>
                <w:sz w:val="16"/>
              </w:rPr>
            </w:r>
          </w:p>
        </w:tc>
      </w:tr>
      <w:tr>
        <w:trPr>
          <w:cantSplit/>
        </w:trPr>
        <w:tc>
          <w:tcPr>
            <w:tcW w:type="dxa" w:w="5904"/>
            <w:tcMar>
              <w:top w:w="100" w:type="dxa"/>
              <w:start w:w="120" w:type="dxa"/>
              <w:bottom w:w="100" w:type="dxa"/>
              <w:end w:w="120" w:type="dxa"/>
            </w:tcMar>
          </w:tcPr>
          <w:p>
            <w:pPr>
              <w:spacing w:after="0"/>
            </w:pPr>
            <w:r>
              <w:rPr>
                <w:sz w:val="16"/>
              </w:rPr>
              <w:t>Consultation needed and information that may be shared</w:t>
            </w:r>
          </w:p>
        </w:tc>
        <w:tc>
          <w:tcPr>
            <w:tcW w:type="dxa" w:w="4032"/>
            <w:tcMar>
              <w:top w:w="100" w:type="dxa"/>
              <w:start w:w="120" w:type="dxa"/>
              <w:bottom w:w="100" w:type="dxa"/>
              <w:end w:w="120" w:type="dxa"/>
            </w:tcMar>
          </w:tcPr>
          <w:p>
            <w:pPr>
              <w:spacing w:after="0"/>
            </w:pPr>
            <w:r>
              <w:rPr>
                <w:sz w:val="16"/>
              </w:rPr>
            </w:r>
          </w:p>
        </w:tc>
      </w:tr>
      <w:tr>
        <w:trPr>
          <w:cantSplit/>
        </w:trPr>
        <w:tc>
          <w:tcPr>
            <w:tcW w:type="dxa" w:w="5904"/>
            <w:tcMar>
              <w:top w:w="100" w:type="dxa"/>
              <w:start w:w="120" w:type="dxa"/>
              <w:bottom w:w="100" w:type="dxa"/>
              <w:end w:w="120" w:type="dxa"/>
            </w:tcMar>
            <w:shd w:fill="F7F8FA"/>
          </w:tcPr>
          <w:p>
            <w:pPr>
              <w:spacing w:after="0"/>
            </w:pPr>
            <w:r>
              <w:rPr>
                <w:sz w:val="16"/>
              </w:rPr>
              <w:t>Least intrusive lawful action; explanation to client</w:t>
            </w:r>
          </w:p>
        </w:tc>
        <w:tc>
          <w:tcPr>
            <w:tcW w:type="dxa" w:w="4032"/>
            <w:tcMar>
              <w:top w:w="100" w:type="dxa"/>
              <w:start w:w="120" w:type="dxa"/>
              <w:bottom w:w="100" w:type="dxa"/>
              <w:end w:w="120" w:type="dxa"/>
            </w:tcMar>
            <w:shd w:fill="F7F8FA"/>
          </w:tcPr>
          <w:p>
            <w:pPr>
              <w:spacing w:after="0"/>
            </w:pPr>
            <w:r>
              <w:rPr>
                <w:sz w:val="16"/>
              </w:rPr>
            </w:r>
          </w:p>
        </w:tc>
      </w:tr>
      <w:tr>
        <w:trPr>
          <w:cantSplit/>
        </w:trPr>
        <w:tc>
          <w:tcPr>
            <w:tcW w:type="dxa" w:w="5904"/>
            <w:tcMar>
              <w:top w:w="100" w:type="dxa"/>
              <w:start w:w="120" w:type="dxa"/>
              <w:bottom w:w="100" w:type="dxa"/>
              <w:end w:w="120" w:type="dxa"/>
            </w:tcMar>
          </w:tcPr>
          <w:p>
            <w:pPr>
              <w:spacing w:after="0"/>
            </w:pPr>
            <w:r>
              <w:rPr>
                <w:sz w:val="16"/>
              </w:rPr>
              <w:t>Documentation, continuity, and follow-up plan</w:t>
            </w:r>
          </w:p>
        </w:tc>
        <w:tc>
          <w:tcPr>
            <w:tcW w:type="dxa" w:w="4032"/>
            <w:tcMar>
              <w:top w:w="100" w:type="dxa"/>
              <w:start w:w="120" w:type="dxa"/>
              <w:bottom w:w="100" w:type="dxa"/>
              <w:end w:w="120" w:type="dxa"/>
            </w:tcMar>
          </w:tcPr>
          <w:p>
            <w:pPr>
              <w:spacing w:after="0"/>
            </w:pPr>
            <w:r>
              <w:rPr>
                <w:sz w:val="16"/>
              </w:rPr>
            </w:r>
          </w:p>
        </w:tc>
      </w:tr>
    </w:tbl>
    <w:p>
      <w:pPr>
        <w:spacing w:after="0"/>
      </w:pPr>
    </w:p>
    <w:p>
      <w:pPr>
        <w:pStyle w:val="Heading1"/>
      </w:pPr>
      <w:r>
        <w:t>Chapter Summary</w:t>
      </w:r>
    </w:p>
    <w:p>
      <w:pPr>
        <w:pStyle w:val="ListBullet"/>
      </w:pPr>
      <w:r>
        <w:t>Use PROTECT: identify the problem and role, obtain facts, assess urgency, compare lawful and ethical options, consult, act, and track.</w:t>
      </w:r>
    </w:p>
    <w:p>
      <w:pPr>
        <w:pStyle w:val="ListBullet"/>
      </w:pPr>
      <w:r>
        <w:t>Participation, payment, referral, or complaint status does not establish client status or authority over a relational record.</w:t>
      </w:r>
    </w:p>
    <w:p>
      <w:pPr>
        <w:pStyle w:val="ListBullet"/>
      </w:pPr>
      <w:r>
        <w:t>For subpoenas and third-party requests, analyze purpose, privilege, authorization, legal process, and scope before disclosure.</w:t>
      </w:r>
    </w:p>
    <w:p>
      <w:pPr>
        <w:pStyle w:val="ListBullet"/>
      </w:pPr>
      <w:r>
        <w:t>Protect record integrity, competence, and telehealth jurisdiction; never backdate, silently alter records, or practice beyond lawful competence.</w:t>
      </w:r>
    </w:p>
    <w:p>
      <w:pPr>
        <w:pStyle w:val="ListBullet"/>
      </w:pPr>
      <w:r>
        <w:t>When services change or end, assess risk, provide reasonable notice, preserve continuity, and document transfer and follow-up.</w:t>
      </w:r>
    </w:p>
    <w:p>
      <w:pPr>
        <w:pStyle w:val="Heading1"/>
        <w:pageBreakBefore/>
      </w:pPr>
      <w:r>
        <w:t>Knowledge Check</w:t>
      </w:r>
    </w:p>
    <w:p>
      <w:r>
        <w:rPr>
          <w:i w:val="0"/>
        </w:rPr>
        <w:t>Complete all 10 original CTA practice questions before reviewing the answer key. Record your answer and confidence level. The set emphasizes California professional-practice reasoning rather than memorization of isolated statutes.</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7"/>
              </w:rPr>
              <w:t>Question</w:t>
            </w:r>
          </w:p>
        </w:tc>
        <w:tc>
          <w:tcPr>
            <w:tcW w:type="dxa" w:w="2520"/>
            <w:shd w:fill="17365D"/>
            <w:tcMar>
              <w:top w:w="100" w:type="dxa"/>
              <w:start w:w="120" w:type="dxa"/>
              <w:bottom w:w="100" w:type="dxa"/>
              <w:end w:w="120" w:type="dxa"/>
            </w:tcMar>
          </w:tcPr>
          <w:p>
            <w:pPr>
              <w:spacing w:after="0"/>
            </w:pPr>
            <w:r>
              <w:rPr>
                <w:b/>
                <w:color w:val="FFFFFF"/>
                <w:sz w:val="17"/>
              </w:rPr>
              <w:t>Your Answer</w:t>
            </w:r>
          </w:p>
        </w:tc>
        <w:tc>
          <w:tcPr>
            <w:tcW w:type="dxa" w:w="2520"/>
            <w:shd w:fill="17365D"/>
            <w:tcMar>
              <w:top w:w="100" w:type="dxa"/>
              <w:start w:w="120" w:type="dxa"/>
              <w:bottom w:w="100" w:type="dxa"/>
              <w:end w:w="120" w:type="dxa"/>
            </w:tcMar>
          </w:tcPr>
          <w:p>
            <w:pPr>
              <w:spacing w:after="0"/>
            </w:pPr>
            <w:r>
              <w:rPr>
                <w:b/>
                <w:color w:val="FFFFFF"/>
                <w:sz w:val="17"/>
              </w:rPr>
              <w:t>Confidence (1-3)</w:t>
            </w:r>
          </w:p>
        </w:tc>
        <w:tc>
          <w:tcPr>
            <w:tcW w:type="dxa" w:w="2520"/>
            <w:shd w:fill="17365D"/>
            <w:tcMar>
              <w:top w:w="100" w:type="dxa"/>
              <w:start w:w="120" w:type="dxa"/>
              <w:bottom w:w="100" w:type="dxa"/>
              <w:end w:w="120" w:type="dxa"/>
            </w:tcMar>
          </w:tcPr>
          <w:p>
            <w:pPr>
              <w:spacing w:after="0"/>
            </w:pPr>
            <w:r>
              <w:rPr>
                <w:b/>
                <w:color w:val="FFFFFF"/>
                <w:sz w:val="17"/>
              </w:rPr>
              <w:t>Review?</w:t>
            </w:r>
          </w:p>
        </w:tc>
      </w:tr>
      <w:tr>
        <w:trPr>
          <w:cantSplit/>
        </w:trPr>
        <w:tc>
          <w:tcPr>
            <w:tcW w:type="dxa" w:w="1728"/>
            <w:tcMar>
              <w:top w:w="100" w:type="dxa"/>
              <w:start w:w="120" w:type="dxa"/>
              <w:bottom w:w="100" w:type="dxa"/>
              <w:end w:w="120" w:type="dxa"/>
            </w:tcMar>
          </w:tcPr>
          <w:p>
            <w:pPr>
              <w:spacing w:after="0"/>
            </w:pPr>
            <w:r>
              <w:rPr>
                <w:sz w:val="17"/>
              </w:rPr>
              <w:t>1</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2</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3</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4</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5</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6</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7</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8</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r>
        <w:trPr>
          <w:cantSplit/>
        </w:trPr>
        <w:tc>
          <w:tcPr>
            <w:tcW w:type="dxa" w:w="1728"/>
            <w:tcMar>
              <w:top w:w="100" w:type="dxa"/>
              <w:start w:w="120" w:type="dxa"/>
              <w:bottom w:w="100" w:type="dxa"/>
              <w:end w:w="120" w:type="dxa"/>
            </w:tcMar>
          </w:tcPr>
          <w:p>
            <w:pPr>
              <w:spacing w:after="0"/>
            </w:pPr>
            <w:r>
              <w:rPr>
                <w:sz w:val="17"/>
              </w:rPr>
              <w:t>9</w:t>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c>
          <w:tcPr>
            <w:tcW w:type="dxa" w:w="2736"/>
            <w:tcMar>
              <w:top w:w="100" w:type="dxa"/>
              <w:start w:w="120" w:type="dxa"/>
              <w:bottom w:w="100" w:type="dxa"/>
              <w:end w:w="120" w:type="dxa"/>
            </w:tcMar>
          </w:tcPr>
          <w:p>
            <w:pPr>
              <w:spacing w:after="0"/>
            </w:pPr>
            <w:r>
              <w:rPr>
                <w:sz w:val="17"/>
              </w:rPr>
            </w:r>
          </w:p>
        </w:tc>
      </w:tr>
      <w:tr>
        <w:trPr>
          <w:cantSplit/>
        </w:trPr>
        <w:tc>
          <w:tcPr>
            <w:tcW w:type="dxa" w:w="1728"/>
            <w:tcMar>
              <w:top w:w="100" w:type="dxa"/>
              <w:start w:w="120" w:type="dxa"/>
              <w:bottom w:w="100" w:type="dxa"/>
              <w:end w:w="120" w:type="dxa"/>
            </w:tcMar>
            <w:shd w:fill="F7F8FA"/>
          </w:tcPr>
          <w:p>
            <w:pPr>
              <w:spacing w:after="0"/>
            </w:pPr>
            <w:r>
              <w:rPr>
                <w:sz w:val="17"/>
              </w:rPr>
              <w:t>10</w:t>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c>
          <w:tcPr>
            <w:tcW w:type="dxa" w:w="2736"/>
            <w:tcMar>
              <w:top w:w="100" w:type="dxa"/>
              <w:start w:w="120" w:type="dxa"/>
              <w:bottom w:w="100" w:type="dxa"/>
              <w:end w:w="120" w:type="dxa"/>
            </w:tcMar>
            <w:shd w:fill="F7F8FA"/>
          </w:tcPr>
          <w:p>
            <w:pPr>
              <w:spacing w:after="0"/>
            </w:pPr>
            <w:r>
              <w:rPr>
                <w:sz w:val="17"/>
              </w:rPr>
            </w:r>
          </w:p>
        </w:tc>
      </w:tr>
    </w:tbl>
    <w:p>
      <w:pPr>
        <w:spacing w:after="0"/>
      </w:pPr>
    </w:p>
    <w:p>
      <w:pPr>
        <w:keepNext/>
        <w:spacing w:before="120" w:after="40" w:line="240" w:lineRule="auto"/>
      </w:pPr>
      <w:r>
        <w:t>LMFT-WB12-Q001 | Scenario | Moderate | Primary concept: Authorization scope and third-party requests</w:t>
      </w:r>
    </w:p>
    <w:p>
      <w:pPr>
        <w:keepNext/>
        <w:keepLines/>
        <w:spacing w:before="80"/>
      </w:pPr>
      <w:r>
        <w:rPr>
          <w:b/>
          <w:i w:val="0"/>
        </w:rPr>
        <w:t>1. A client signs an authorization allowing an employee assistance program to receive confirmation of attendance. The program later asks for the diagnosis and progress notes. What should the LMFT do?</w:t>
      </w:r>
    </w:p>
    <w:p>
      <w:pPr>
        <w:keepNext/>
        <w:keepLines/>
        <w:spacing w:after="20"/>
        <w:ind w:left="259"/>
      </w:pPr>
      <w:r>
        <w:t>A. Send the requested information because the program paid for treatment.</w:t>
      </w:r>
    </w:p>
    <w:p>
      <w:pPr>
        <w:keepNext/>
        <w:keepLines/>
        <w:spacing w:after="20"/>
        <w:ind w:left="259"/>
      </w:pPr>
      <w:r>
        <w:t>B. Refuse all communication with the program, including attendance confirmation.</w:t>
      </w:r>
    </w:p>
    <w:p>
      <w:pPr>
        <w:keepNext/>
        <w:keepLines/>
        <w:spacing w:after="20"/>
        <w:ind w:left="259"/>
      </w:pPr>
      <w:r>
        <w:t>C. Give a verbal summary because verbal information is not a disclosure.</w:t>
      </w:r>
    </w:p>
    <w:p>
      <w:pPr>
        <w:keepNext/>
        <w:keepLines/>
        <w:spacing w:after="20"/>
        <w:ind w:left="259"/>
      </w:pPr>
      <w:r>
        <w:t>D. Provide only the attendance information authorized and discuss any broader request with the client.</w:t>
      </w:r>
    </w:p>
    <w:p>
      <w:pPr>
        <w:keepNext w:val="0"/>
        <w:spacing w:before="0" w:after="120" w:line="240" w:lineRule="auto"/>
      </w:pPr>
      <w:r>
        <w:t>My answer: ______  Confidence: 1  2  3</w:t>
      </w:r>
    </w:p>
    <w:p>
      <w:pPr>
        <w:keepNext/>
        <w:spacing w:before="120" w:after="40" w:line="240" w:lineRule="auto"/>
      </w:pPr>
      <w:r>
        <w:t>LMFT-WB12-Q002 | Scenario | Challenge | Primary concept: Subpoena, privilege, and consultation</w:t>
      </w:r>
    </w:p>
    <w:p>
      <w:pPr>
        <w:keepNext/>
        <w:keepLines/>
        <w:spacing w:before="80"/>
      </w:pPr>
      <w:r>
        <w:rPr>
          <w:b/>
          <w:i w:val="0"/>
        </w:rPr>
        <w:t>2. An LMFT receives a subpoena requesting a client’s complete record in a civil case. The client has not authorized release. What should the therapist do FIRST?</w:t>
      </w:r>
    </w:p>
    <w:p>
      <w:pPr>
        <w:keepNext/>
        <w:keepLines/>
        <w:spacing w:after="20"/>
        <w:ind w:left="259"/>
      </w:pPr>
      <w:r>
        <w:t>A. Clarify the legal demand, privilege and notice issues, and obtain appropriate consultation before disclosing.</w:t>
      </w:r>
    </w:p>
    <w:p>
      <w:pPr>
        <w:keepNext/>
        <w:keepLines/>
        <w:spacing w:after="20"/>
        <w:ind w:left="259"/>
      </w:pPr>
      <w:r>
        <w:t>B. Send the record immediately because a subpoena always overrides confidentiality.</w:t>
      </w:r>
    </w:p>
    <w:p>
      <w:pPr>
        <w:keepNext/>
        <w:keepLines/>
        <w:spacing w:after="20"/>
        <w:ind w:left="259"/>
      </w:pPr>
      <w:r>
        <w:t>C. Destroy psychotherapy notes so they cannot be produced.</w:t>
      </w:r>
    </w:p>
    <w:p>
      <w:pPr>
        <w:keepNext/>
        <w:keepLines/>
        <w:spacing w:after="20"/>
        <w:ind w:left="259"/>
      </w:pPr>
      <w:r>
        <w:t>D. Ignore the subpoena permanently.</w:t>
      </w:r>
    </w:p>
    <w:p>
      <w:pPr>
        <w:keepNext w:val="0"/>
        <w:spacing w:before="0" w:after="120" w:line="240" w:lineRule="auto"/>
      </w:pPr>
      <w:r>
        <w:t>My answer: ______  Confidence: 1  2  3</w:t>
      </w:r>
    </w:p>
    <w:p>
      <w:pPr>
        <w:keepNext/>
        <w:spacing w:before="120" w:after="40" w:line="240" w:lineRule="auto"/>
      </w:pPr>
      <w:r>
        <w:t>LMFT-WB12-Q003 | Scenario | Moderate | Primary concept: Couple record and multi-client disclosure</w:t>
      </w:r>
    </w:p>
    <w:p>
      <w:pPr>
        <w:keepNext/>
        <w:keepLines/>
        <w:spacing w:before="80"/>
      </w:pPr>
      <w:r>
        <w:rPr>
          <w:b/>
          <w:i w:val="0"/>
        </w:rPr>
        <w:t>3. One member of a couple asks the therapist to send “my part” of the couple-therapy record to a new individual therapist. What is the BEST initial response?</w:t>
      </w:r>
    </w:p>
    <w:p>
      <w:pPr>
        <w:keepNext/>
        <w:keepLines/>
        <w:spacing w:after="20"/>
        <w:ind w:left="259"/>
      </w:pPr>
      <w:r>
        <w:t>A. Send every paragraph that mentions the requesting partner.</w:t>
      </w:r>
    </w:p>
    <w:p>
      <w:pPr>
        <w:keepNext/>
        <w:keepLines/>
        <w:spacing w:after="20"/>
        <w:ind w:left="259"/>
      </w:pPr>
      <w:r>
        <w:t>B. Send a verbal summary without documenting the disclosure.</w:t>
      </w:r>
    </w:p>
    <w:p>
      <w:pPr>
        <w:keepNext/>
        <w:keepLines/>
        <w:spacing w:after="20"/>
        <w:ind w:left="259"/>
      </w:pPr>
      <w:r>
        <w:t>C. Clarify the client structure, record arrangement, authorization requirements, and whether the intertwined record can be released as requested.</w:t>
      </w:r>
    </w:p>
    <w:p>
      <w:pPr>
        <w:keepNext/>
        <w:keepLines/>
        <w:spacing w:after="20"/>
        <w:ind w:left="259"/>
      </w:pPr>
      <w:r>
        <w:t>D. Ask the other partner to decide without speaking with the requesting partner.</w:t>
      </w:r>
    </w:p>
    <w:p>
      <w:pPr>
        <w:keepNext w:val="0"/>
        <w:spacing w:before="0" w:after="120" w:line="240" w:lineRule="auto"/>
      </w:pPr>
      <w:r>
        <w:t>My answer: ______  Confidence: 1  2  3</w:t>
      </w:r>
    </w:p>
    <w:p>
      <w:pPr>
        <w:keepNext/>
        <w:spacing w:before="120" w:after="40" w:line="240" w:lineRule="auto"/>
      </w:pPr>
      <w:r>
        <w:t>LMFT-WB12-Q004 | Scenario | Moderate | Primary concept: Telehealth jurisdiction and lawful practice</w:t>
      </w:r>
    </w:p>
    <w:p>
      <w:pPr>
        <w:keepNext/>
        <w:keepLines/>
        <w:spacing w:before="80"/>
      </w:pPr>
      <w:r>
        <w:rPr>
          <w:b/>
          <w:i w:val="0"/>
        </w:rPr>
        <w:t>4. At the start of a routine video session, a California LMFT learns that the client is temporarily located in another state. There is no emergency. What should the therapist do FIRST?</w:t>
      </w:r>
    </w:p>
    <w:p>
      <w:pPr>
        <w:keepNext/>
        <w:keepLines/>
        <w:spacing w:after="20"/>
        <w:ind w:left="259"/>
      </w:pPr>
      <w:r>
        <w:t>A. Continue because the client’s permanent residence is in California.</w:t>
      </w:r>
    </w:p>
    <w:p>
      <w:pPr>
        <w:keepNext/>
        <w:keepLines/>
        <w:spacing w:after="20"/>
        <w:ind w:left="259"/>
      </w:pPr>
      <w:r>
        <w:t>B. Verify whether the therapist may lawfully provide services where the client is physically located and determine the appropriate next step.</w:t>
      </w:r>
    </w:p>
    <w:p>
      <w:pPr>
        <w:keepNext/>
        <w:keepLines/>
        <w:spacing w:after="20"/>
        <w:ind w:left="259"/>
      </w:pPr>
      <w:r>
        <w:t>C. Ask the client not to mention the location again.</w:t>
      </w:r>
    </w:p>
    <w:p>
      <w:pPr>
        <w:keepNext/>
        <w:keepLines/>
        <w:spacing w:after="20"/>
        <w:ind w:left="259"/>
      </w:pPr>
      <w:r>
        <w:t>D. Continue if the client signs a new California consent form.</w:t>
      </w:r>
    </w:p>
    <w:p>
      <w:pPr>
        <w:keepNext w:val="0"/>
        <w:spacing w:before="0" w:after="120" w:line="240" w:lineRule="auto"/>
      </w:pPr>
      <w:r>
        <w:t>My answer: ______  Confidence: 1  2  3</w:t>
      </w:r>
    </w:p>
    <w:p>
      <w:pPr>
        <w:keepNext/>
        <w:spacing w:before="120" w:after="40" w:line="240" w:lineRule="auto"/>
      </w:pPr>
      <w:r>
        <w:t>LMFT-WB12-Q005 | Application | Moderate | Primary concept: Gift, culture, power, and boundaries</w:t>
      </w:r>
    </w:p>
    <w:p>
      <w:pPr>
        <w:keepNext/>
        <w:keepLines/>
        <w:spacing w:before="80"/>
      </w:pPr>
      <w:r>
        <w:rPr>
          <w:b/>
          <w:i w:val="0"/>
        </w:rPr>
        <w:t>5. At termination, a client offers the LMFT a handmade item of modest value that reflects an important cultural tradition. What should the therapist do FIRST?</w:t>
      </w:r>
    </w:p>
    <w:p>
      <w:pPr>
        <w:keepNext/>
        <w:keepLines/>
        <w:spacing w:after="20"/>
        <w:ind w:left="259"/>
      </w:pPr>
      <w:r>
        <w:t>A. Reject every gift because accepting any gift is unethical.</w:t>
      </w:r>
    </w:p>
    <w:p>
      <w:pPr>
        <w:keepNext/>
        <w:keepLines/>
        <w:spacing w:after="20"/>
        <w:ind w:left="259"/>
      </w:pPr>
      <w:r>
        <w:t>B. Accept it immediately to avoid offending the client.</w:t>
      </w:r>
    </w:p>
    <w:p>
      <w:pPr>
        <w:keepNext/>
        <w:keepLines/>
        <w:spacing w:after="20"/>
        <w:ind w:left="259"/>
      </w:pPr>
      <w:r>
        <w:t>C. Ask the client to exchange it for cash.</w:t>
      </w:r>
    </w:p>
    <w:p>
      <w:pPr>
        <w:keepNext/>
        <w:keepLines/>
        <w:spacing w:after="20"/>
        <w:ind w:left="259"/>
      </w:pPr>
      <w:r>
        <w:t>D. Explore the meaning, cultural context, value, policy, power, and likely clinical impact before deciding.</w:t>
      </w:r>
    </w:p>
    <w:p>
      <w:pPr>
        <w:keepNext w:val="0"/>
        <w:spacing w:before="0" w:after="120" w:line="240" w:lineRule="auto"/>
      </w:pPr>
      <w:r>
        <w:t>My answer: ______  Confidence: 1  2  3</w:t>
      </w:r>
    </w:p>
    <w:p>
      <w:pPr>
        <w:keepNext/>
        <w:spacing w:before="120" w:after="40" w:line="240" w:lineRule="auto"/>
      </w:pPr>
      <w:r>
        <w:t>LMFT-WB12-Q006 | Application | Moderate | Primary concept: Record correction and documentation integrity</w:t>
      </w:r>
    </w:p>
    <w:p>
      <w:pPr>
        <w:keepNext/>
        <w:keepLines/>
        <w:spacing w:before="80"/>
      </w:pPr>
      <w:r>
        <w:rPr>
          <w:b/>
          <w:i w:val="0"/>
        </w:rPr>
        <w:t>6. An LMFT discovers that a progress note lists the wrong medication. What is the BEST response?</w:t>
      </w:r>
    </w:p>
    <w:p>
      <w:pPr>
        <w:keepNext/>
        <w:keepLines/>
        <w:spacing w:after="20"/>
        <w:ind w:left="259"/>
      </w:pPr>
      <w:r>
        <w:t>A. Create a dated correction or addendum that identifies the error and preserves the original record’s integrity.</w:t>
      </w:r>
    </w:p>
    <w:p>
      <w:pPr>
        <w:keepNext/>
        <w:keepLines/>
        <w:spacing w:after="20"/>
        <w:ind w:left="259"/>
      </w:pPr>
      <w:r>
        <w:t>B. Delete and replace the original note without indicating a change.</w:t>
      </w:r>
    </w:p>
    <w:p>
      <w:pPr>
        <w:keepNext/>
        <w:keepLines/>
        <w:spacing w:after="20"/>
        <w:ind w:left="259"/>
      </w:pPr>
      <w:r>
        <w:t>C. Leave the error because records can never be corrected.</w:t>
      </w:r>
    </w:p>
    <w:p>
      <w:pPr>
        <w:keepNext/>
        <w:keepLines/>
        <w:spacing w:after="20"/>
        <w:ind w:left="259"/>
      </w:pPr>
      <w:r>
        <w:t>D. Ask the client to correct the clinician’s note.</w:t>
      </w:r>
    </w:p>
    <w:p>
      <w:pPr>
        <w:keepNext w:val="0"/>
        <w:spacing w:before="0" w:after="120" w:line="240" w:lineRule="auto"/>
      </w:pPr>
      <w:r>
        <w:t>My answer: ______  Confidence: 1  2  3</w:t>
      </w:r>
    </w:p>
    <w:p>
      <w:pPr>
        <w:keepNext/>
        <w:spacing w:before="120" w:after="40" w:line="240" w:lineRule="auto"/>
      </w:pPr>
      <w:r>
        <w:t>LMFT-WB12-Q007 | Scenario | Moderate | Primary concept: Competence, specialty treatment, and continuity</w:t>
      </w:r>
    </w:p>
    <w:p>
      <w:pPr>
        <w:keepNext/>
        <w:keepLines/>
        <w:spacing w:before="80"/>
      </w:pPr>
      <w:r>
        <w:rPr>
          <w:b/>
          <w:i w:val="0"/>
        </w:rPr>
        <w:t>7. An established client asks an LMFT to provide a specialized trauma procedure for which the therapist has completed only a brief introductory webinar. The client does not want a referral. What is the BEST response?</w:t>
      </w:r>
    </w:p>
    <w:p>
      <w:pPr>
        <w:keepNext/>
        <w:keepLines/>
        <w:spacing w:after="20"/>
        <w:ind w:left="259"/>
      </w:pPr>
      <w:r>
        <w:t>A. Provide the procedure because the client consented.</w:t>
      </w:r>
    </w:p>
    <w:p>
      <w:pPr>
        <w:keepNext/>
        <w:keepLines/>
        <w:spacing w:after="20"/>
        <w:ind w:left="259"/>
      </w:pPr>
      <w:r>
        <w:t>B. End treatment immediately without referrals.</w:t>
      </w:r>
    </w:p>
    <w:p>
      <w:pPr>
        <w:keepNext/>
        <w:keepLines/>
        <w:spacing w:after="20"/>
        <w:ind w:left="259"/>
      </w:pPr>
      <w:r>
        <w:t>C. Explain the competence limit, discuss qualified options, obtain consultation, and provide only services the therapist can competently deliver while preserving continuity.</w:t>
      </w:r>
    </w:p>
    <w:p>
      <w:pPr>
        <w:keepNext/>
        <w:keepLines/>
        <w:spacing w:after="20"/>
        <w:ind w:left="259"/>
      </w:pPr>
      <w:r>
        <w:t>D. Rename the procedure so it is no longer specialized.</w:t>
      </w:r>
    </w:p>
    <w:p>
      <w:pPr>
        <w:keepNext w:val="0"/>
        <w:spacing w:before="0" w:after="120" w:line="240" w:lineRule="auto"/>
      </w:pPr>
      <w:r>
        <w:t>My answer: ______  Confidence: 1  2  3</w:t>
      </w:r>
    </w:p>
    <w:p>
      <w:pPr>
        <w:keepNext/>
        <w:spacing w:before="120" w:after="40" w:line="240" w:lineRule="auto"/>
      </w:pPr>
      <w:r>
        <w:t>LMFT-WB12-Q008 | Scenario | Moderate | Primary concept: Impairment, workload adjustment, and client protection</w:t>
      </w:r>
    </w:p>
    <w:p>
      <w:pPr>
        <w:keepNext/>
        <w:keepLines/>
        <w:spacing w:before="80"/>
      </w:pPr>
      <w:r>
        <w:rPr>
          <w:b/>
          <w:i w:val="0"/>
        </w:rPr>
        <w:t>8. An LMFT develops a serious health condition that is affecting concentration and reliability. Several clients have active treatment needs but no immediate danger. What should the therapist do FIRST?</w:t>
      </w:r>
    </w:p>
    <w:p>
      <w:pPr>
        <w:keepNext/>
        <w:keepLines/>
        <w:spacing w:after="20"/>
        <w:ind w:left="259"/>
      </w:pPr>
      <w:r>
        <w:t>A. Continue the full caseload and avoid telling anyone.</w:t>
      </w:r>
    </w:p>
    <w:p>
      <w:pPr>
        <w:keepNext/>
        <w:keepLines/>
        <w:spacing w:after="20"/>
        <w:ind w:left="259"/>
      </w:pPr>
      <w:r>
        <w:t>B. Assess the effect on competence, obtain consultation, reduce or pause unsafe practice, and arrange reasonable coverage, referral, and documentation.</w:t>
      </w:r>
    </w:p>
    <w:p>
      <w:pPr>
        <w:keepNext/>
        <w:keepLines/>
        <w:spacing w:after="20"/>
        <w:ind w:left="259"/>
      </w:pPr>
      <w:r>
        <w:t>C. Cancel all appointments permanently without transition information.</w:t>
      </w:r>
    </w:p>
    <w:p>
      <w:pPr>
        <w:keepNext/>
        <w:keepLines/>
        <w:spacing w:after="20"/>
        <w:ind w:left="259"/>
      </w:pPr>
      <w:r>
        <w:t>D. Ask clients to provide emotional support so treatment can continue.</w:t>
      </w:r>
    </w:p>
    <w:p>
      <w:pPr>
        <w:keepNext w:val="0"/>
        <w:spacing w:before="0" w:after="120" w:line="240" w:lineRule="auto"/>
      </w:pPr>
      <w:r>
        <w:t>My answer: ______  Confidence: 1  2  3</w:t>
      </w:r>
    </w:p>
    <w:p>
      <w:pPr>
        <w:keepNext/>
        <w:spacing w:before="120" w:after="40" w:line="240" w:lineRule="auto"/>
      </w:pPr>
      <w:r>
        <w:t>LMFT-WB12-Q009 | Scenario | Challenge | Primary concept: Third-party referral and role clarity</w:t>
      </w:r>
    </w:p>
    <w:p>
      <w:pPr>
        <w:keepNext/>
        <w:keepLines/>
        <w:spacing w:before="80"/>
      </w:pPr>
      <w:r>
        <w:rPr>
          <w:b/>
          <w:i w:val="0"/>
        </w:rPr>
        <w:t>9. An attorney refers a person for “therapy” and later asks the LMFT for an opinion about parenting capacity for litigation. The original consent described treatment only. What should the therapist do?</w:t>
      </w:r>
    </w:p>
    <w:p>
      <w:pPr>
        <w:keepNext/>
        <w:keepLines/>
        <w:spacing w:after="20"/>
        <w:ind w:left="259"/>
      </w:pPr>
      <w:r>
        <w:t>A. Provide the forensic opinion because the attorney made the referral.</w:t>
      </w:r>
    </w:p>
    <w:p>
      <w:pPr>
        <w:keepNext/>
        <w:keepLines/>
        <w:spacing w:after="20"/>
        <w:ind w:left="259"/>
      </w:pPr>
      <w:r>
        <w:t>B. Send the complete record to the attorney without authorization.</w:t>
      </w:r>
    </w:p>
    <w:p>
      <w:pPr>
        <w:keepNext/>
        <w:keepLines/>
        <w:spacing w:after="20"/>
        <w:ind w:left="259"/>
      </w:pPr>
      <w:r>
        <w:t>C. Clarify the therapeutic role and limits, avoid converting treatment into an unsupported forensic evaluation, and discuss appropriate independent evaluation options.</w:t>
      </w:r>
    </w:p>
    <w:p>
      <w:pPr>
        <w:keepNext/>
        <w:keepLines/>
        <w:spacing w:after="20"/>
        <w:ind w:left="259"/>
      </w:pPr>
      <w:r>
        <w:t>D. Ask the client to agree with the attorney’s preferred conclusion.</w:t>
      </w:r>
    </w:p>
    <w:p>
      <w:pPr>
        <w:keepNext w:val="0"/>
        <w:spacing w:before="0" w:after="120" w:line="240" w:lineRule="auto"/>
      </w:pPr>
      <w:r>
        <w:t>My answer: ______  Confidence: 1  2  3</w:t>
      </w:r>
    </w:p>
    <w:p>
      <w:pPr>
        <w:keepNext/>
        <w:spacing w:before="120" w:after="40" w:line="240" w:lineRule="auto"/>
      </w:pPr>
      <w:r>
        <w:t>LMFT-WB12-Q010 | Integrated | Challenge | Primary concept: Organizational integrity, billing, and client welfare</w:t>
      </w:r>
    </w:p>
    <w:p>
      <w:pPr>
        <w:keepNext/>
        <w:keepLines/>
        <w:spacing w:before="80"/>
      </w:pPr>
      <w:r>
        <w:rPr>
          <w:b/>
          <w:i w:val="0"/>
        </w:rPr>
        <w:t>10. A clinic manager instructs an LMFT to document 60-minute sessions when only 30 minutes were provided so the clinic can meet a contract target. What is the BEST response?</w:t>
      </w:r>
    </w:p>
    <w:p>
      <w:pPr>
        <w:keepNext/>
        <w:keepLines/>
        <w:spacing w:after="20"/>
        <w:ind w:left="259"/>
      </w:pPr>
      <w:r>
        <w:t>A. Refuse to falsify the record, preserve accurate documentation, seek appropriate supervisory or compliance consultation, and address any client or billing impact.</w:t>
      </w:r>
    </w:p>
    <w:p>
      <w:pPr>
        <w:keepNext/>
        <w:keepLines/>
        <w:spacing w:after="20"/>
        <w:ind w:left="259"/>
      </w:pPr>
      <w:r>
        <w:t>B. Follow the instruction because agency policy controls billing documentation.</w:t>
      </w:r>
    </w:p>
    <w:p>
      <w:pPr>
        <w:keepNext/>
        <w:keepLines/>
        <w:spacing w:after="20"/>
        <w:ind w:left="259"/>
      </w:pPr>
      <w:r>
        <w:t>C. Change only the dates rather than the duration.</w:t>
      </w:r>
    </w:p>
    <w:p>
      <w:pPr>
        <w:keepNext/>
        <w:keepLines/>
        <w:spacing w:after="20"/>
        <w:ind w:left="259"/>
      </w:pPr>
      <w:r>
        <w:t>D. Ask clients to sign the inaccurate notes.</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label the error as authority confusion, premature disclosure, weak multi-client framing, boundary overreaction, competence failure, documentation error, or continuity failure. Then write the controlling rule in one sentence.</w:t>
            </w:r>
          </w:p>
        </w:tc>
      </w:tr>
    </w:tbl>
    <w:p>
      <w:pPr>
        <w:spacing w:after="0"/>
      </w:pPr>
    </w:p>
    <w:p>
      <w:pPr>
        <w:pStyle w:val="Heading2"/>
        <w:keepNext/>
        <w:keepLines/>
        <w:spacing w:before="100" w:after="40"/>
      </w:pPr>
      <w:r>
        <w:rPr>
          <w:b/>
          <w:i w:val="0"/>
          <w:sz w:val="20"/>
        </w:rPr>
        <w:t>Question 1 (LMFT-WB12-Q001)</w:t>
      </w:r>
    </w:p>
    <w:p>
      <w:pPr>
        <w:keepNext/>
        <w:keepLines/>
      </w:pPr>
      <w:r>
        <w:rPr>
          <w:b/>
          <w:i w:val="0"/>
          <w:color w:val="0F7C82"/>
        </w:rPr>
        <w:t>Correct Answer: D</w:t>
      </w:r>
    </w:p>
    <w:p>
      <w:pPr>
        <w:keepNext/>
        <w:keepLines/>
        <w:spacing w:after="40"/>
        <w:ind w:left="173"/>
      </w:pPr>
      <w:r>
        <w:rPr>
          <w:b/>
          <w:i w:val="0"/>
        </w:rPr>
        <w:t>A. Payment or referral does not create unrestricted access to clinical information.</w:t>
      </w:r>
    </w:p>
    <w:p>
      <w:pPr>
        <w:keepNext/>
        <w:keepLines/>
        <w:spacing w:after="40"/>
        <w:ind w:left="173"/>
      </w:pPr>
      <w:r>
        <w:rPr>
          <w:b/>
          <w:i w:val="0"/>
        </w:rPr>
        <w:t>B. The authorized attendance confirmation may be provided.</w:t>
      </w:r>
    </w:p>
    <w:p>
      <w:pPr>
        <w:keepNext/>
        <w:keepLines/>
        <w:spacing w:after="40"/>
        <w:ind w:left="173"/>
      </w:pPr>
      <w:r>
        <w:rPr>
          <w:b/>
          <w:i w:val="0"/>
        </w:rPr>
        <w:t>C. Verbal information is still a disclosure and requires an appropriate basis.</w:t>
      </w:r>
    </w:p>
    <w:p>
      <w:pPr>
        <w:keepNext/>
        <w:keepLines/>
        <w:spacing w:after="40"/>
        <w:ind w:left="173"/>
      </w:pPr>
      <w:r>
        <w:rPr>
          <w:b/>
          <w:i w:val="0"/>
        </w:rPr>
        <w:t>D. Correct. The therapist should follow the actual scope of authorization and obtain a valid basis before any broader disclosure.</w:t>
      </w:r>
    </w:p>
    <w:p>
      <w:pPr>
        <w:keepLines/>
        <w:spacing w:after="120"/>
        <w:ind w:left="173"/>
      </w:pPr>
      <w:r>
        <w:rPr>
          <w:b/>
          <w:i w:val="0"/>
          <w:color w:val="1F4E78"/>
        </w:rPr>
        <w:t xml:space="preserve">Exam Strategy: </w:t>
      </w:r>
      <w:r>
        <w:rPr>
          <w:b w:val="0"/>
          <w:i/>
        </w:rPr>
        <w:t>Match the disclosure to the exact scope, purpose, recipient, and duration of the authorization; payment or referral does not create unlimited access.</w:t>
      </w:r>
    </w:p>
    <w:p>
      <w:pPr>
        <w:pStyle w:val="Heading2"/>
        <w:keepNext/>
        <w:keepLines/>
        <w:spacing w:before="100" w:after="40"/>
      </w:pPr>
      <w:r>
        <w:rPr>
          <w:b/>
          <w:i w:val="0"/>
          <w:sz w:val="20"/>
        </w:rPr>
        <w:t>Question 2 (LMFT-WB12-Q002)</w:t>
      </w:r>
    </w:p>
    <w:p>
      <w:pPr>
        <w:keepNext/>
        <w:keepLines/>
      </w:pPr>
      <w:r>
        <w:rPr>
          <w:b/>
          <w:i w:val="0"/>
          <w:color w:val="0F7C82"/>
        </w:rPr>
        <w:t>Correct Answer: A</w:t>
      </w:r>
    </w:p>
    <w:p>
      <w:pPr>
        <w:keepNext/>
        <w:keepLines/>
        <w:spacing w:after="40"/>
        <w:ind w:left="173"/>
      </w:pPr>
      <w:r>
        <w:rPr>
          <w:b/>
          <w:i w:val="0"/>
        </w:rPr>
        <w:t>A. Correct. The therapist should analyze the legal process and obtain appropriate legal or professional consultation before release.</w:t>
      </w:r>
    </w:p>
    <w:p>
      <w:pPr>
        <w:keepNext/>
        <w:keepLines/>
        <w:spacing w:after="40"/>
        <w:ind w:left="173"/>
      </w:pPr>
      <w:r>
        <w:rPr>
          <w:b/>
          <w:i w:val="0"/>
        </w:rPr>
        <w:t>B. A subpoena does not automatically resolve privilege, authorization, notice, scope, or other legal requirements.</w:t>
      </w:r>
    </w:p>
    <w:p>
      <w:pPr>
        <w:keepNext/>
        <w:keepLines/>
        <w:spacing w:after="40"/>
        <w:ind w:left="173"/>
      </w:pPr>
      <w:r>
        <w:rPr>
          <w:b/>
          <w:i w:val="0"/>
        </w:rPr>
        <w:t>C. Destroying records is unethical and may be unlawful.</w:t>
      </w:r>
    </w:p>
    <w:p>
      <w:pPr>
        <w:keepNext/>
        <w:keepLines/>
        <w:spacing w:after="40"/>
        <w:ind w:left="173"/>
      </w:pPr>
      <w:r>
        <w:rPr>
          <w:b/>
          <w:i w:val="0"/>
        </w:rPr>
        <w:t>D. Ignoring a legal document can create risk; it should be addressed through the proper process.</w:t>
      </w:r>
    </w:p>
    <w:p>
      <w:pPr>
        <w:keepLines/>
        <w:spacing w:after="120"/>
        <w:ind w:left="173"/>
      </w:pPr>
      <w:r>
        <w:rPr>
          <w:b/>
          <w:i w:val="0"/>
          <w:color w:val="1F4E78"/>
        </w:rPr>
        <w:t xml:space="preserve">Exam Strategy: </w:t>
      </w:r>
      <w:r>
        <w:rPr>
          <w:b w:val="0"/>
          <w:i/>
        </w:rPr>
        <w:t>Do not treat every legal demand as automatic permission to disclose. Clarify the document, privilege, notice, authorization, and need for consultation before releasing information.</w:t>
      </w:r>
    </w:p>
    <w:p>
      <w:pPr>
        <w:pStyle w:val="Heading2"/>
        <w:keepNext/>
        <w:keepLines/>
        <w:spacing w:before="100" w:after="40"/>
      </w:pPr>
      <w:r>
        <w:rPr>
          <w:b/>
          <w:i w:val="0"/>
          <w:sz w:val="20"/>
        </w:rPr>
        <w:t>Question 3 (LMFT-WB12-Q003)</w:t>
      </w:r>
    </w:p>
    <w:p>
      <w:pPr>
        <w:keepNext/>
        <w:keepLines/>
      </w:pPr>
      <w:r>
        <w:rPr>
          <w:b/>
          <w:i w:val="0"/>
          <w:color w:val="0F7C82"/>
        </w:rPr>
        <w:t>Correct Answer: C</w:t>
      </w:r>
    </w:p>
    <w:p>
      <w:pPr>
        <w:keepNext/>
        <w:keepLines/>
        <w:spacing w:after="40"/>
        <w:ind w:left="173"/>
      </w:pPr>
      <w:r>
        <w:rPr>
          <w:b/>
          <w:i w:val="0"/>
        </w:rPr>
        <w:t>A. A shared relational record may contain intertwined information and cannot necessarily be divided by name references.</w:t>
      </w:r>
    </w:p>
    <w:p>
      <w:pPr>
        <w:keepNext/>
        <w:keepLines/>
        <w:spacing w:after="40"/>
        <w:ind w:left="173"/>
      </w:pPr>
      <w:r>
        <w:rPr>
          <w:b/>
          <w:i w:val="0"/>
        </w:rPr>
        <w:t>B. A verbal summary remains a disclosure and should be authorized and documented as appropriate.</w:t>
      </w:r>
    </w:p>
    <w:p>
      <w:pPr>
        <w:keepNext/>
        <w:keepLines/>
        <w:spacing w:after="40"/>
        <w:ind w:left="173"/>
      </w:pPr>
      <w:r>
        <w:rPr>
          <w:b/>
          <w:i w:val="0"/>
        </w:rPr>
        <w:t>C. Correct. The therapist should first analyze who the clients are, how the record is structured, and what authorization is required.</w:t>
      </w:r>
    </w:p>
    <w:p>
      <w:pPr>
        <w:keepNext/>
        <w:keepLines/>
        <w:spacing w:after="40"/>
        <w:ind w:left="173"/>
      </w:pPr>
      <w:r>
        <w:rPr>
          <w:b/>
          <w:i w:val="0"/>
        </w:rPr>
        <w:t>D. The therapist must clarify the legal and clinical framework rather than shifting the entire decision to one participant.</w:t>
      </w:r>
    </w:p>
    <w:p>
      <w:pPr>
        <w:keepLines/>
        <w:spacing w:after="120"/>
        <w:ind w:left="173"/>
      </w:pPr>
      <w:r>
        <w:rPr>
          <w:b/>
          <w:i w:val="0"/>
          <w:color w:val="1F4E78"/>
        </w:rPr>
        <w:t xml:space="preserve">Exam Strategy: </w:t>
      </w:r>
      <w:r>
        <w:rPr>
          <w:b w:val="0"/>
          <w:i/>
        </w:rPr>
        <w:t>Identify the client or client system, the record structure, and who may authorize disclosure before releasing intertwined relational information.</w:t>
      </w:r>
    </w:p>
    <w:p>
      <w:pPr>
        <w:pStyle w:val="Heading2"/>
        <w:keepNext/>
        <w:keepLines/>
        <w:spacing w:before="100" w:after="40"/>
      </w:pPr>
      <w:r>
        <w:rPr>
          <w:b/>
          <w:i w:val="0"/>
          <w:sz w:val="20"/>
        </w:rPr>
        <w:t>Question 4 (LMFT-WB12-Q004)</w:t>
      </w:r>
    </w:p>
    <w:p>
      <w:pPr>
        <w:keepNext/>
        <w:keepLines/>
      </w:pPr>
      <w:r>
        <w:rPr>
          <w:b/>
          <w:i w:val="0"/>
          <w:color w:val="0F7C82"/>
        </w:rPr>
        <w:t>Correct Answer: B</w:t>
      </w:r>
    </w:p>
    <w:p>
      <w:pPr>
        <w:keepNext/>
        <w:keepLines/>
        <w:spacing w:after="40"/>
        <w:ind w:left="173"/>
      </w:pPr>
      <w:r>
        <w:rPr>
          <w:b/>
          <w:i w:val="0"/>
        </w:rPr>
        <w:t>A. The client’s physical location may create a jurisdictional issue.</w:t>
      </w:r>
    </w:p>
    <w:p>
      <w:pPr>
        <w:keepNext/>
        <w:keepLines/>
        <w:spacing w:after="40"/>
        <w:ind w:left="173"/>
      </w:pPr>
      <w:r>
        <w:rPr>
          <w:b/>
          <w:i w:val="0"/>
        </w:rPr>
        <w:t>B. Correct. The therapist should verify lawful practice and emergency capacity before continuing routine care.</w:t>
      </w:r>
    </w:p>
    <w:p>
      <w:pPr>
        <w:keepNext/>
        <w:keepLines/>
        <w:spacing w:after="40"/>
        <w:ind w:left="173"/>
      </w:pPr>
      <w:r>
        <w:rPr>
          <w:b/>
          <w:i w:val="0"/>
        </w:rPr>
        <w:t>C. Omitting material information does not resolve the issue and undermines documentation integrity.</w:t>
      </w:r>
    </w:p>
    <w:p>
      <w:pPr>
        <w:keepNext/>
        <w:keepLines/>
        <w:spacing w:after="40"/>
        <w:ind w:left="173"/>
      </w:pPr>
      <w:r>
        <w:rPr>
          <w:b/>
          <w:i w:val="0"/>
        </w:rPr>
        <w:t>D. A California form does not authorize practice in another jurisdiction.</w:t>
      </w:r>
    </w:p>
    <w:p>
      <w:pPr>
        <w:keepLines/>
        <w:spacing w:after="120"/>
        <w:ind w:left="173"/>
      </w:pPr>
      <w:r>
        <w:rPr>
          <w:b/>
          <w:i w:val="0"/>
          <w:color w:val="1F4E78"/>
        </w:rPr>
        <w:t xml:space="preserve">Exam Strategy: </w:t>
      </w:r>
      <w:r>
        <w:rPr>
          <w:b w:val="0"/>
          <w:i/>
        </w:rPr>
        <w:t>The client’s physical location can create a jurisdictional issue. Verify lawful practice and emergency capacity before continuing routine care.</w:t>
      </w:r>
    </w:p>
    <w:p>
      <w:pPr>
        <w:pStyle w:val="Heading2"/>
        <w:keepNext/>
        <w:keepLines/>
        <w:spacing w:before="100" w:after="40"/>
      </w:pPr>
      <w:r>
        <w:rPr>
          <w:b/>
          <w:i w:val="0"/>
          <w:sz w:val="20"/>
        </w:rPr>
        <w:t>Question 5 (LMFT-WB12-Q005)</w:t>
      </w:r>
    </w:p>
    <w:p>
      <w:pPr>
        <w:keepNext/>
        <w:keepLines/>
      </w:pPr>
      <w:r>
        <w:rPr>
          <w:b/>
          <w:i w:val="0"/>
          <w:color w:val="0F7C82"/>
        </w:rPr>
        <w:t>Correct Answer: D</w:t>
      </w:r>
    </w:p>
    <w:p>
      <w:pPr>
        <w:keepNext/>
        <w:keepLines/>
        <w:spacing w:after="40"/>
        <w:ind w:left="173"/>
      </w:pPr>
      <w:r>
        <w:rPr>
          <w:b/>
          <w:i w:val="0"/>
        </w:rPr>
        <w:t>A. Not every modest gift is automatically prohibited; context and impact matter.</w:t>
      </w:r>
    </w:p>
    <w:p>
      <w:pPr>
        <w:keepNext/>
        <w:keepLines/>
        <w:spacing w:after="40"/>
        <w:ind w:left="173"/>
      </w:pPr>
      <w:r>
        <w:rPr>
          <w:b/>
          <w:i w:val="0"/>
        </w:rPr>
        <w:t>B. Automatic acceptance skips boundary, policy, and power analysis.</w:t>
      </w:r>
    </w:p>
    <w:p>
      <w:pPr>
        <w:keepNext/>
        <w:keepLines/>
        <w:spacing w:after="40"/>
        <w:ind w:left="173"/>
      </w:pPr>
      <w:r>
        <w:rPr>
          <w:b/>
          <w:i w:val="0"/>
        </w:rPr>
        <w:t>C. Requesting cash is exploitative and clinically inappropriate.</w:t>
      </w:r>
    </w:p>
    <w:p>
      <w:pPr>
        <w:keepNext/>
        <w:keepLines/>
        <w:spacing w:after="40"/>
        <w:ind w:left="173"/>
      </w:pPr>
      <w:r>
        <w:rPr>
          <w:b/>
          <w:i w:val="0"/>
        </w:rPr>
        <w:t>D. Correct. A culturally responsive boundary decision considers meaning, value, exploitation risk, policy, and treatment impact.</w:t>
      </w:r>
    </w:p>
    <w:p>
      <w:pPr>
        <w:keepLines/>
        <w:spacing w:after="120"/>
        <w:ind w:left="173"/>
      </w:pPr>
      <w:r>
        <w:rPr>
          <w:b/>
          <w:i w:val="0"/>
          <w:color w:val="1F4E78"/>
        </w:rPr>
        <w:t xml:space="preserve">Exam Strategy: </w:t>
      </w:r>
      <w:r>
        <w:rPr>
          <w:b w:val="0"/>
          <w:i/>
        </w:rPr>
        <w:t>Assess value, culture, meaning, power, exploitation risk, policy, and clinical impact rather than applying an automatic accept-or-reject rule.</w:t>
      </w:r>
    </w:p>
    <w:p>
      <w:pPr>
        <w:pStyle w:val="Heading2"/>
        <w:keepNext/>
        <w:keepLines/>
        <w:spacing w:before="100" w:after="40"/>
      </w:pPr>
      <w:r>
        <w:rPr>
          <w:b/>
          <w:i w:val="0"/>
          <w:sz w:val="20"/>
        </w:rPr>
        <w:t>Question 6 (LMFT-WB12-Q006)</w:t>
      </w:r>
    </w:p>
    <w:p>
      <w:pPr>
        <w:keepNext/>
        <w:keepLines/>
      </w:pPr>
      <w:r>
        <w:rPr>
          <w:b/>
          <w:i w:val="0"/>
          <w:color w:val="0F7C82"/>
        </w:rPr>
        <w:t>Correct Answer: A</w:t>
      </w:r>
    </w:p>
    <w:p>
      <w:pPr>
        <w:keepNext/>
        <w:keepLines/>
        <w:spacing w:after="40"/>
        <w:ind w:left="173"/>
      </w:pPr>
      <w:r>
        <w:rPr>
          <w:b/>
          <w:i w:val="0"/>
        </w:rPr>
        <w:t>A. Correct. A transparent, dated correction or addendum preserves accuracy and integrity.</w:t>
      </w:r>
    </w:p>
    <w:p>
      <w:pPr>
        <w:keepNext/>
        <w:keepLines/>
        <w:spacing w:after="40"/>
        <w:ind w:left="173"/>
      </w:pPr>
      <w:r>
        <w:rPr>
          <w:b/>
          <w:i w:val="0"/>
        </w:rPr>
        <w:t>B. Silent replacement creates a misleading record history.</w:t>
      </w:r>
    </w:p>
    <w:p>
      <w:pPr>
        <w:keepNext/>
        <w:keepLines/>
        <w:spacing w:after="40"/>
        <w:ind w:left="173"/>
      </w:pPr>
      <w:r>
        <w:rPr>
          <w:b/>
          <w:i w:val="0"/>
        </w:rPr>
        <w:t>C. Errors should be corrected through an appropriate amendment process.</w:t>
      </w:r>
    </w:p>
    <w:p>
      <w:pPr>
        <w:keepNext/>
        <w:keepLines/>
        <w:spacing w:after="40"/>
        <w:ind w:left="173"/>
      </w:pPr>
      <w:r>
        <w:rPr>
          <w:b/>
          <w:i w:val="0"/>
        </w:rPr>
        <w:t>D. The clinician is responsible for correcting the clinician’s documentation.</w:t>
      </w:r>
    </w:p>
    <w:p>
      <w:pPr>
        <w:keepLines/>
        <w:spacing w:after="120"/>
        <w:ind w:left="173"/>
      </w:pPr>
      <w:r>
        <w:rPr>
          <w:b/>
          <w:i w:val="0"/>
          <w:color w:val="1F4E78"/>
        </w:rPr>
        <w:t xml:space="preserve">Exam Strategy: </w:t>
      </w:r>
      <w:r>
        <w:rPr>
          <w:b w:val="0"/>
          <w:i/>
        </w:rPr>
        <w:t>Preserve record integrity with a dated correction or addendum; never silently delete, backdate, or replace an entry to create a false history.</w:t>
      </w:r>
    </w:p>
    <w:p>
      <w:pPr>
        <w:pStyle w:val="Heading2"/>
        <w:keepNext/>
        <w:keepLines/>
        <w:spacing w:before="100" w:after="40"/>
      </w:pPr>
      <w:r>
        <w:rPr>
          <w:b/>
          <w:i w:val="0"/>
          <w:sz w:val="20"/>
        </w:rPr>
        <w:t>Question 7 (LMFT-WB12-Q007)</w:t>
      </w:r>
    </w:p>
    <w:p>
      <w:pPr>
        <w:keepNext/>
        <w:keepLines/>
      </w:pPr>
      <w:r>
        <w:rPr>
          <w:b/>
          <w:i w:val="0"/>
          <w:color w:val="0F7C82"/>
        </w:rPr>
        <w:t>Correct Answer: C</w:t>
      </w:r>
    </w:p>
    <w:p>
      <w:pPr>
        <w:keepNext/>
        <w:keepLines/>
        <w:spacing w:after="40"/>
        <w:ind w:left="173"/>
      </w:pPr>
      <w:r>
        <w:rPr>
          <w:b/>
          <w:i w:val="0"/>
        </w:rPr>
        <w:t>A. Client consent does not create clinician competence.</w:t>
      </w:r>
    </w:p>
    <w:p>
      <w:pPr>
        <w:keepNext/>
        <w:keepLines/>
        <w:spacing w:after="40"/>
        <w:ind w:left="173"/>
      </w:pPr>
      <w:r>
        <w:rPr>
          <w:b/>
          <w:i w:val="0"/>
        </w:rPr>
        <w:t>B. Abrupt termination may create abandonment and continuity concerns.</w:t>
      </w:r>
    </w:p>
    <w:p>
      <w:pPr>
        <w:keepNext/>
        <w:keepLines/>
        <w:spacing w:after="40"/>
        <w:ind w:left="173"/>
      </w:pPr>
      <w:r>
        <w:rPr>
          <w:b/>
          <w:i w:val="0"/>
        </w:rPr>
        <w:t>C. Correct. The therapist should be transparent, use consultation, arrange qualified options, and maintain competent continuity.</w:t>
      </w:r>
    </w:p>
    <w:p>
      <w:pPr>
        <w:keepNext/>
        <w:keepLines/>
        <w:spacing w:after="40"/>
        <w:ind w:left="173"/>
      </w:pPr>
      <w:r>
        <w:rPr>
          <w:b/>
          <w:i w:val="0"/>
        </w:rPr>
        <w:t>D. Changing terminology does not change the training and competence required.</w:t>
      </w:r>
    </w:p>
    <w:p>
      <w:pPr>
        <w:keepLines/>
        <w:spacing w:after="120"/>
        <w:ind w:left="173"/>
      </w:pPr>
      <w:r>
        <w:rPr>
          <w:b/>
          <w:i w:val="0"/>
          <w:color w:val="1F4E78"/>
        </w:rPr>
        <w:t xml:space="preserve">Exam Strategy: </w:t>
      </w:r>
      <w:r>
        <w:rPr>
          <w:b w:val="0"/>
          <w:i/>
        </w:rPr>
        <w:t>Use consultation, training, referral, or transfer according to the client’s needs and the clinician’s actual competence; continuity matters.</w:t>
      </w:r>
    </w:p>
    <w:p>
      <w:pPr>
        <w:pStyle w:val="Heading2"/>
        <w:keepNext/>
        <w:keepLines/>
        <w:spacing w:before="100" w:after="40"/>
      </w:pPr>
      <w:r>
        <w:rPr>
          <w:b/>
          <w:i w:val="0"/>
          <w:sz w:val="20"/>
        </w:rPr>
        <w:t>Question 8 (LMFT-WB12-Q008)</w:t>
      </w:r>
    </w:p>
    <w:p>
      <w:pPr>
        <w:keepNext/>
        <w:keepLines/>
      </w:pPr>
      <w:r>
        <w:rPr>
          <w:b/>
          <w:i w:val="0"/>
          <w:color w:val="0F7C82"/>
        </w:rPr>
        <w:t>Correct Answer: B</w:t>
      </w:r>
    </w:p>
    <w:p>
      <w:pPr>
        <w:keepNext/>
        <w:keepLines/>
        <w:spacing w:after="40"/>
        <w:ind w:left="173"/>
      </w:pPr>
      <w:r>
        <w:rPr>
          <w:b/>
          <w:i w:val="0"/>
        </w:rPr>
        <w:t>A. Continuing despite impaired reliability may expose clients to harm.</w:t>
      </w:r>
    </w:p>
    <w:p>
      <w:pPr>
        <w:keepNext/>
        <w:keepLines/>
        <w:spacing w:after="40"/>
        <w:ind w:left="173"/>
      </w:pPr>
      <w:r>
        <w:rPr>
          <w:b/>
          <w:i w:val="0"/>
        </w:rPr>
        <w:t>B. Correct. The therapist should protect clients through consultation, workload change, continuity planning, and documentation.</w:t>
      </w:r>
    </w:p>
    <w:p>
      <w:pPr>
        <w:keepNext/>
        <w:keepLines/>
        <w:spacing w:after="40"/>
        <w:ind w:left="173"/>
      </w:pPr>
      <w:r>
        <w:rPr>
          <w:b/>
          <w:i w:val="0"/>
        </w:rPr>
        <w:t>C. Abrupt closure without transition may create avoidable harm.</w:t>
      </w:r>
    </w:p>
    <w:p>
      <w:pPr>
        <w:keepNext/>
        <w:keepLines/>
        <w:spacing w:after="40"/>
        <w:ind w:left="173"/>
      </w:pPr>
      <w:r>
        <w:rPr>
          <w:b/>
          <w:i w:val="0"/>
        </w:rPr>
        <w:t>D. Reversing roles and seeking support from clients violates boundaries.</w:t>
      </w:r>
    </w:p>
    <w:p>
      <w:pPr>
        <w:keepLines/>
        <w:spacing w:after="120"/>
        <w:ind w:left="173"/>
      </w:pPr>
      <w:r>
        <w:rPr>
          <w:b/>
          <w:i w:val="0"/>
          <w:color w:val="1F4E78"/>
        </w:rPr>
        <w:t xml:space="preserve">Exam Strategy: </w:t>
      </w:r>
      <w:r>
        <w:rPr>
          <w:b w:val="0"/>
          <w:i/>
        </w:rPr>
        <w:t>Protect clients first through consultation, workload adjustment, coverage, referral, and documentation. Self-care does not excuse unsafe practice.</w:t>
      </w:r>
    </w:p>
    <w:p>
      <w:pPr>
        <w:pStyle w:val="Heading2"/>
        <w:keepNext/>
        <w:keepLines/>
        <w:spacing w:before="100" w:after="40"/>
      </w:pPr>
      <w:r>
        <w:rPr>
          <w:b/>
          <w:i w:val="0"/>
          <w:sz w:val="20"/>
        </w:rPr>
        <w:t>Question 9 (LMFT-WB12-Q009)</w:t>
      </w:r>
    </w:p>
    <w:p>
      <w:pPr>
        <w:keepNext/>
        <w:keepLines/>
      </w:pPr>
      <w:r>
        <w:rPr>
          <w:b/>
          <w:i w:val="0"/>
          <w:color w:val="0F7C82"/>
        </w:rPr>
        <w:t>Correct Answer: C</w:t>
      </w:r>
    </w:p>
    <w:p>
      <w:pPr>
        <w:keepNext/>
        <w:keepLines/>
        <w:spacing w:after="40"/>
        <w:ind w:left="173"/>
      </w:pPr>
      <w:r>
        <w:rPr>
          <w:b/>
          <w:i w:val="0"/>
        </w:rPr>
        <w:t>A. Referral source status does not create evaluative competence, authority, or informed consent.</w:t>
      </w:r>
    </w:p>
    <w:p>
      <w:pPr>
        <w:keepNext/>
        <w:keepLines/>
        <w:spacing w:after="40"/>
        <w:ind w:left="173"/>
      </w:pPr>
      <w:r>
        <w:rPr>
          <w:b/>
          <w:i w:val="0"/>
        </w:rPr>
        <w:t>B. Record disclosure requires a valid legal basis and role analysis.</w:t>
      </w:r>
    </w:p>
    <w:p>
      <w:pPr>
        <w:keepNext/>
        <w:keepLines/>
        <w:spacing w:after="40"/>
        <w:ind w:left="173"/>
      </w:pPr>
      <w:r>
        <w:rPr>
          <w:b/>
          <w:i w:val="0"/>
        </w:rPr>
        <w:t>C. Correct. Therapy and forensic evaluation have different roles, methods, and conflicts; an independent evaluation may be appropriate.</w:t>
      </w:r>
    </w:p>
    <w:p>
      <w:pPr>
        <w:keepNext/>
        <w:keepLines/>
        <w:spacing w:after="40"/>
        <w:ind w:left="173"/>
      </w:pPr>
      <w:r>
        <w:rPr>
          <w:b/>
          <w:i w:val="0"/>
        </w:rPr>
        <w:t>D. Pressuring the client toward a litigation outcome violates objectivity and client welfare.</w:t>
      </w:r>
    </w:p>
    <w:p>
      <w:pPr>
        <w:keepLines/>
        <w:spacing w:after="120"/>
        <w:ind w:left="173"/>
      </w:pPr>
      <w:r>
        <w:rPr>
          <w:b/>
          <w:i w:val="0"/>
          <w:color w:val="1F4E78"/>
        </w:rPr>
        <w:t xml:space="preserve">Exam Strategy: </w:t>
      </w:r>
      <w:r>
        <w:rPr>
          <w:b w:val="0"/>
          <w:i/>
        </w:rPr>
        <w:t>Clarify who the client is, the purpose of service, the third party’s authority, the scope of consent, and the minimum information needed.</w:t>
      </w:r>
    </w:p>
    <w:p>
      <w:pPr>
        <w:pStyle w:val="Heading2"/>
        <w:keepNext/>
        <w:keepLines/>
        <w:spacing w:before="100" w:after="40"/>
      </w:pPr>
      <w:r>
        <w:rPr>
          <w:b/>
          <w:i w:val="0"/>
          <w:sz w:val="20"/>
        </w:rPr>
        <w:t>Question 10 (LMFT-WB12-Q010)</w:t>
      </w:r>
    </w:p>
    <w:p>
      <w:pPr>
        <w:keepNext/>
        <w:keepLines/>
      </w:pPr>
      <w:r>
        <w:rPr>
          <w:b/>
          <w:i w:val="0"/>
          <w:color w:val="0F7C82"/>
        </w:rPr>
        <w:t>Correct Answer: A</w:t>
      </w:r>
    </w:p>
    <w:p>
      <w:pPr>
        <w:keepNext/>
        <w:keepLines/>
        <w:spacing w:after="40"/>
        <w:ind w:left="173"/>
      </w:pPr>
      <w:r>
        <w:rPr>
          <w:b/>
          <w:i w:val="0"/>
        </w:rPr>
        <w:t>A. Correct. The therapist should maintain accurate documentation, use appropriate channels, and protect affected clients and systems.</w:t>
      </w:r>
    </w:p>
    <w:p>
      <w:pPr>
        <w:keepNext/>
        <w:keepLines/>
        <w:spacing w:after="40"/>
        <w:ind w:left="173"/>
      </w:pPr>
      <w:r>
        <w:rPr>
          <w:b/>
          <w:i w:val="0"/>
        </w:rPr>
        <w:t>B. Agency direction does not justify false records or billing.</w:t>
      </w:r>
    </w:p>
    <w:p>
      <w:pPr>
        <w:keepNext/>
        <w:keepLines/>
        <w:spacing w:after="40"/>
        <w:ind w:left="173"/>
      </w:pPr>
      <w:r>
        <w:rPr>
          <w:b/>
          <w:i w:val="0"/>
        </w:rPr>
        <w:t>C. Altering dates remains falsification.</w:t>
      </w:r>
    </w:p>
    <w:p>
      <w:pPr>
        <w:keepNext/>
        <w:keepLines/>
        <w:spacing w:after="40"/>
        <w:ind w:left="173"/>
      </w:pPr>
      <w:r>
        <w:rPr>
          <w:b/>
          <w:i w:val="0"/>
        </w:rPr>
        <w:t>D. A client signature does not make inaccurate documentation ethical or lawful.</w:t>
      </w:r>
    </w:p>
    <w:p>
      <w:pPr>
        <w:keepLines/>
        <w:spacing w:after="120"/>
        <w:ind w:left="173"/>
      </w:pPr>
      <w:r>
        <w:rPr>
          <w:b/>
          <w:i w:val="0"/>
          <w:color w:val="1F4E78"/>
        </w:rPr>
        <w:t xml:space="preserve">Exam Strategy: </w:t>
      </w:r>
      <w:r>
        <w:rPr>
          <w:b w:val="0"/>
          <w:i/>
        </w:rPr>
        <w:t>Agency pressure does not override law, ethics, accurate documentation, or billing integrity. Use appropriate consultation and reporting channels while protecting clients.</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Score Range</w:t>
            </w:r>
          </w:p>
        </w:tc>
        <w:tc>
          <w:tcPr>
            <w:tcW w:type="dxa" w:w="3360"/>
            <w:shd w:fill="17365D"/>
            <w:tcMar>
              <w:top w:w="100" w:type="dxa"/>
              <w:start w:w="120" w:type="dxa"/>
              <w:bottom w:w="100" w:type="dxa"/>
              <w:end w:w="120" w:type="dxa"/>
            </w:tcMar>
          </w:tcPr>
          <w:p>
            <w:pPr>
              <w:spacing w:after="0"/>
            </w:pPr>
            <w:r>
              <w:rPr>
                <w:b/>
                <w:color w:val="FFFFFF"/>
                <w:sz w:val="17"/>
              </w:rPr>
              <w:t>Meaning</w:t>
            </w:r>
          </w:p>
        </w:tc>
        <w:tc>
          <w:tcPr>
            <w:tcW w:type="dxa" w:w="3360"/>
            <w:shd w:fill="17365D"/>
            <w:tcMar>
              <w:top w:w="100" w:type="dxa"/>
              <w:start w:w="120" w:type="dxa"/>
              <w:bottom w:w="100" w:type="dxa"/>
              <w:end w:w="120" w:type="dxa"/>
            </w:tcMar>
          </w:tcPr>
          <w:p>
            <w:pPr>
              <w:spacing w:after="0"/>
            </w:pPr>
            <w:r>
              <w:rPr>
                <w:b/>
                <w:color w:val="FFFFFF"/>
                <w:sz w:val="17"/>
              </w:rPr>
              <w:t>Recommended Next Step</w:t>
            </w:r>
          </w:p>
        </w:tc>
      </w:tr>
      <w:tr>
        <w:trPr>
          <w:cantSplit/>
        </w:trPr>
        <w:tc>
          <w:tcPr>
            <w:tcW w:type="dxa" w:w="1728"/>
            <w:tcMar>
              <w:top w:w="100" w:type="dxa"/>
              <w:start w:w="120" w:type="dxa"/>
              <w:bottom w:w="100" w:type="dxa"/>
              <w:end w:w="120" w:type="dxa"/>
            </w:tcMar>
          </w:tcPr>
          <w:p>
            <w:pPr>
              <w:spacing w:after="0"/>
            </w:pPr>
            <w:r>
              <w:rPr>
                <w:sz w:val="17"/>
              </w:rPr>
              <w:t>9-10</w:t>
            </w:r>
          </w:p>
        </w:tc>
        <w:tc>
          <w:tcPr>
            <w:tcW w:type="dxa" w:w="2880"/>
            <w:tcMar>
              <w:top w:w="100" w:type="dxa"/>
              <w:start w:w="120" w:type="dxa"/>
              <w:bottom w:w="100" w:type="dxa"/>
              <w:end w:w="120" w:type="dxa"/>
            </w:tcMar>
          </w:tcPr>
          <w:p>
            <w:pPr>
              <w:spacing w:after="0"/>
            </w:pPr>
            <w:r>
              <w:rPr>
                <w:sz w:val="17"/>
              </w:rPr>
              <w:t>Strong professional-practice reasoning</w:t>
            </w:r>
          </w:p>
        </w:tc>
        <w:tc>
          <w:tcPr>
            <w:tcW w:type="dxa" w:w="5328"/>
            <w:tcMar>
              <w:top w:w="100" w:type="dxa"/>
              <w:start w:w="120" w:type="dxa"/>
              <w:bottom w:w="100" w:type="dxa"/>
              <w:end w:w="120" w:type="dxa"/>
            </w:tcMar>
          </w:tcPr>
          <w:p>
            <w:pPr>
              <w:spacing w:after="0"/>
            </w:pPr>
            <w:r>
              <w:rPr>
                <w:sz w:val="17"/>
              </w:rPr>
              <w:t>Review low-confidence items and practice mixed scenarios involving disclosure, multi-client treatment, records, competence, and continuity.</w:t>
            </w:r>
          </w:p>
        </w:tc>
      </w:tr>
      <w:tr>
        <w:trPr>
          <w:cantSplit/>
        </w:trPr>
        <w:tc>
          <w:tcPr>
            <w:tcW w:type="dxa" w:w="1728"/>
            <w:tcMar>
              <w:top w:w="100" w:type="dxa"/>
              <w:start w:w="120" w:type="dxa"/>
              <w:bottom w:w="100" w:type="dxa"/>
              <w:end w:w="120" w:type="dxa"/>
            </w:tcMar>
            <w:shd w:fill="F7F8FA"/>
          </w:tcPr>
          <w:p>
            <w:pPr>
              <w:spacing w:after="0"/>
            </w:pPr>
            <w:r>
              <w:rPr>
                <w:sz w:val="17"/>
              </w:rPr>
              <w:t>7-8</w:t>
            </w:r>
          </w:p>
        </w:tc>
        <w:tc>
          <w:tcPr>
            <w:tcW w:type="dxa" w:w="2880"/>
            <w:tcMar>
              <w:top w:w="100" w:type="dxa"/>
              <w:start w:w="120" w:type="dxa"/>
              <w:bottom w:w="100" w:type="dxa"/>
              <w:end w:w="120" w:type="dxa"/>
            </w:tcMar>
            <w:shd w:fill="F7F8FA"/>
          </w:tcPr>
          <w:p>
            <w:pPr>
              <w:spacing w:after="0"/>
            </w:pPr>
            <w:r>
              <w:rPr>
                <w:sz w:val="17"/>
              </w:rPr>
              <w:t>Developing consistency</w:t>
            </w:r>
          </w:p>
        </w:tc>
        <w:tc>
          <w:tcPr>
            <w:tcW w:type="dxa" w:w="5328"/>
            <w:tcMar>
              <w:top w:w="100" w:type="dxa"/>
              <w:start w:w="120" w:type="dxa"/>
              <w:bottom w:w="100" w:type="dxa"/>
              <w:end w:w="120" w:type="dxa"/>
            </w:tcMar>
            <w:shd w:fill="F7F8FA"/>
          </w:tcPr>
          <w:p>
            <w:pPr>
              <w:spacing w:after="0"/>
            </w:pPr>
            <w:r>
              <w:rPr>
                <w:sz w:val="17"/>
              </w:rPr>
              <w:t>Revisit PROTECT and explain which authority, client, authorization, and continuity issue controls each missed item.</w:t>
            </w:r>
          </w:p>
        </w:tc>
      </w:tr>
      <w:tr>
        <w:trPr>
          <w:cantSplit/>
        </w:trPr>
        <w:tc>
          <w:tcPr>
            <w:tcW w:type="dxa" w:w="1728"/>
            <w:tcMar>
              <w:top w:w="100" w:type="dxa"/>
              <w:start w:w="120" w:type="dxa"/>
              <w:bottom w:w="100" w:type="dxa"/>
              <w:end w:w="120" w:type="dxa"/>
            </w:tcMar>
          </w:tcPr>
          <w:p>
            <w:pPr>
              <w:spacing w:after="0"/>
            </w:pPr>
            <w:r>
              <w:rPr>
                <w:sz w:val="17"/>
              </w:rPr>
              <w:t>5-6</w:t>
            </w:r>
          </w:p>
        </w:tc>
        <w:tc>
          <w:tcPr>
            <w:tcW w:type="dxa" w:w="2880"/>
            <w:tcMar>
              <w:top w:w="100" w:type="dxa"/>
              <w:start w:w="120" w:type="dxa"/>
              <w:bottom w:w="100" w:type="dxa"/>
              <w:end w:w="120" w:type="dxa"/>
            </w:tcMar>
          </w:tcPr>
          <w:p>
            <w:pPr>
              <w:spacing w:after="0"/>
            </w:pPr>
            <w:r>
              <w:rPr>
                <w:sz w:val="17"/>
              </w:rPr>
              <w:t>Important application gaps</w:t>
            </w:r>
          </w:p>
        </w:tc>
        <w:tc>
          <w:tcPr>
            <w:tcW w:type="dxa" w:w="5328"/>
            <w:tcMar>
              <w:top w:w="100" w:type="dxa"/>
              <w:start w:w="120" w:type="dxa"/>
              <w:bottom w:w="100" w:type="dxa"/>
              <w:end w:w="120" w:type="dxa"/>
            </w:tcMar>
          </w:tcPr>
          <w:p>
            <w:pPr>
              <w:spacing w:after="0"/>
            </w:pPr>
            <w:r>
              <w:rPr>
                <w:sz w:val="17"/>
              </w:rPr>
              <w:t>Study confidentiality, records, boundaries, competence, telehealth, and third-party roles separately before retaking.</w:t>
            </w:r>
          </w:p>
        </w:tc>
      </w:tr>
      <w:tr>
        <w:trPr>
          <w:cantSplit/>
        </w:trPr>
        <w:tc>
          <w:tcPr>
            <w:tcW w:type="dxa" w:w="1728"/>
            <w:tcMar>
              <w:top w:w="100" w:type="dxa"/>
              <w:start w:w="120" w:type="dxa"/>
              <w:bottom w:w="100" w:type="dxa"/>
              <w:end w:w="120" w:type="dxa"/>
            </w:tcMar>
            <w:shd w:fill="F7F8FA"/>
          </w:tcPr>
          <w:p>
            <w:pPr>
              <w:spacing w:after="0"/>
            </w:pPr>
            <w:r>
              <w:rPr>
                <w:sz w:val="17"/>
              </w:rPr>
              <w:t>0-4</w:t>
            </w:r>
          </w:p>
        </w:tc>
        <w:tc>
          <w:tcPr>
            <w:tcW w:type="dxa" w:w="2880"/>
            <w:tcMar>
              <w:top w:w="100" w:type="dxa"/>
              <w:start w:w="120" w:type="dxa"/>
              <w:bottom w:w="100" w:type="dxa"/>
              <w:end w:w="120" w:type="dxa"/>
            </w:tcMar>
            <w:shd w:fill="F7F8FA"/>
          </w:tcPr>
          <w:p>
            <w:pPr>
              <w:spacing w:after="0"/>
            </w:pPr>
            <w:r>
              <w:rPr>
                <w:sz w:val="17"/>
              </w:rPr>
              <w:t>Foundation needs reinforcement</w:t>
            </w:r>
          </w:p>
        </w:tc>
        <w:tc>
          <w:tcPr>
            <w:tcW w:type="dxa" w:w="5328"/>
            <w:tcMar>
              <w:top w:w="100" w:type="dxa"/>
              <w:start w:w="120" w:type="dxa"/>
              <w:bottom w:w="100" w:type="dxa"/>
              <w:end w:w="120" w:type="dxa"/>
            </w:tcMar>
            <w:shd w:fill="F7F8FA"/>
          </w:tcPr>
          <w:p>
            <w:pPr>
              <w:spacing w:after="0"/>
            </w:pPr>
            <w:r>
              <w:rPr>
                <w:sz w:val="17"/>
              </w:rPr>
              <w:t>Rebuild the law-ethics-policy distinction and practice one decision sequence at a time.</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Professional-Practice Checklist</w:t>
      </w:r>
    </w:p>
    <w:p>
      <w:pPr>
        <w:pStyle w:val="ListBullet"/>
      </w:pPr>
      <w:r>
        <w:t>Did I identify who the client or client system is and what role the LMFT is performing?</w:t>
      </w:r>
    </w:p>
    <w:p>
      <w:pPr>
        <w:pStyle w:val="ListBullet"/>
      </w:pPr>
      <w:r>
        <w:t>Did I distinguish law, regulation, ethics, policy, clinical judgment, and personal preference?</w:t>
      </w:r>
    </w:p>
    <w:p>
      <w:pPr>
        <w:pStyle w:val="ListBullet"/>
      </w:pPr>
      <w:r>
        <w:t>Did I check authorization, privilege, legal exceptions, recipient, purpose, and scope before disclosure?</w:t>
      </w:r>
    </w:p>
    <w:p>
      <w:pPr>
        <w:pStyle w:val="ListBullet"/>
      </w:pPr>
      <w:r>
        <w:t>Did I protect record accuracy and avoid silent deletion, backdating, or unsupported documentation?</w:t>
      </w:r>
    </w:p>
    <w:p>
      <w:pPr>
        <w:pStyle w:val="ListBullet"/>
      </w:pPr>
      <w:r>
        <w:t>Did I assess power, culture, exploitation, objectivity, competence, impairment, and continuity?</w:t>
      </w:r>
    </w:p>
    <w:p>
      <w:pPr>
        <w:pStyle w:val="ListBullet"/>
      </w:pPr>
      <w:r>
        <w:t>Did I verify telehealth jurisdiction and emergency capacity when the client’s location changed?</w:t>
      </w:r>
    </w:p>
    <w:p>
      <w:pPr>
        <w:pStyle w:val="ListBullet"/>
      </w:pPr>
      <w:r>
        <w:t>Did I use consultation appropriately without transferring responsibility or disclosing unnecessary information?</w:t>
      </w:r>
    </w:p>
    <w:p>
      <w:pPr>
        <w:pStyle w:val="ListBullet"/>
      </w:pPr>
      <w:r>
        <w:t>Did I document the decision, action, consultation, and follow-up?</w:t>
      </w:r>
    </w:p>
    <w:p>
      <w:pPr>
        <w:pStyle w:val="Heading1"/>
      </w:pPr>
      <w:r>
        <w:t>Sources and Currency Note</w:t>
      </w:r>
    </w:p>
    <w:p>
      <w:pPr>
        <w:pStyle w:val="ListBullet"/>
      </w:pPr>
      <w:r>
        <w:t>California Board of Behavioral Sciences. Licensed Marriage and Family Therapist Clinical Examination resources and current candidate information (accessed July 24, 2026).</w:t>
      </w:r>
    </w:p>
    <w:p>
      <w:pPr>
        <w:pStyle w:val="ListBullet"/>
      </w:pPr>
      <w:r>
        <w:t>California Board of Behavioral Sciences. Statutes and Regulations Relating to the Practices of Professional Clinical Counseling, Marriage and Family Therapy, Educational Psychology, and Clinical Social Work, current 2026 compilation. Relevant provisions include professional conduct, client-record retention, telehealth, privacy, and jurisdictional requirements.</w:t>
      </w:r>
    </w:p>
    <w:p>
      <w:pPr>
        <w:pStyle w:val="ListBullet"/>
      </w:pPr>
      <w:r>
        <w:t>California Board of Behavioral Sciences. Law Changes and approved regulation resources, including telehealth regulations effective January 1, 2026 and advertising regulations effective April 1, 2026 (accessed July 24, 2026).</w:t>
      </w:r>
    </w:p>
    <w:p>
      <w:pPr>
        <w:pStyle w:val="ListBullet"/>
      </w:pPr>
      <w:r>
        <w:t>Pearson VUE. California Board of Behavioral Sciences Clinical Examination Candidate Handbook and current examination resources (accessed July 24, 2026).</w:t>
      </w:r>
    </w:p>
    <w:p>
      <w:pPr>
        <w:pStyle w:val="ListBullet"/>
      </w:pPr>
      <w:r>
        <w:t>This workbook is educational exam preparation, not legal advice. California law, regulations, court decisions, federal requirements, BBS guidance, and examination specifications can change and must be verified before reliance.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LMFT Workbook 12 • California Legal, Ethical, and Professional Practice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12: California Legal, Ethical, and Professional Practice</dc:title>
  <dc:subject>LMFT Exam Preparation Program Student Workbook</dc:subject>
  <dc:creator>Clinical Training Academy</dc:creator>
  <cp:keywords>CTA, LMFT, exam preparation, Workbook 12</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