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" cy="713848"/>
            <wp:docPr id="1" name="Picture 1" descr="Clinical Training Academy logo" title="Clinical Training Academ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713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A9D8F"/>
          <w:sz w:val="22"/>
        </w:rPr>
        <w:t>LMFT CLINICAL EXAM PREPARATION PROGRAM</w:t>
      </w:r>
    </w:p>
    <w:p>
      <w:pPr>
        <w:pStyle w:val="Title"/>
        <w:jc w:val="center"/>
      </w:pPr>
      <w:r>
        <w:t>LMFT Clinical Question Bank</w:t>
      </w:r>
    </w:p>
    <w:p>
      <w:pPr>
        <w:pStyle w:val="Subtitle"/>
        <w:jc w:val="center"/>
      </w:pPr>
      <w:r>
        <w:t>Workbook 4: Relational, Family-System, Trauma, and Strengths Assessment</w:t>
      </w:r>
    </w:p>
    <w:p>
      <w:pPr>
        <w:jc w:val="center"/>
      </w:pPr>
      <w:r>
        <w:rPr>
          <w:b/>
          <w:color w:val="1B2A41"/>
          <w:sz w:val="22"/>
        </w:rPr>
        <w:t>17 QUESTIONS WITH COMPLETE RATIONALES AND EXAM STRATEGIES</w:t>
      </w:r>
    </w:p>
    <w:p/>
    <w:p>
      <w:pPr>
        <w:jc w:val="center"/>
      </w:pPr>
      <w:r>
        <w:rPr>
          <w:color w:val="696969"/>
          <w:sz w:val="20"/>
        </w:rPr>
        <w:t>Version 1.0 • July 2026</w:t>
      </w:r>
    </w:p>
    <w:p>
      <w:pPr>
        <w:jc w:val="center"/>
      </w:pPr>
      <w:r>
        <w:rPr>
          <w:b/>
          <w:color w:val="1B2A41"/>
          <w:sz w:val="24"/>
        </w:rPr>
        <w:t>Clinical Training Academy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Publication and Use Notice</w:t>
              <w:br/>
            </w:r>
            <w:r>
              <w:rPr>
                <w:sz w:val="19"/>
              </w:rPr>
              <w:t>This original Clinical Training Academy resource is designed for licensing-examination preparation and professional education. It is not an official licensing examination, is not affiliated with or endorsed by a licensing or testing organization, and does not replace current law, professional standards, supervision, consultation, or case-specific guidance.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Question Bank Structure</w:t>
              <w:br/>
            </w:r>
            <w:r>
              <w:rPr>
                <w:sz w:val="19"/>
              </w:rPr>
              <w:t>This workbook question bank contains 17 questions: 5 Easy, 7 Moderate, and 5 Difficult. Question type and difficulty are separate classifications. Every item includes one best answer, complete option-by-option rationales, and a CTA exam strategy.</w:t>
            </w:r>
          </w:p>
        </w:tc>
      </w:tr>
    </w:tbl>
    <w:p/>
    <w:p>
      <w:pPr>
        <w:pStyle w:val="Heading1"/>
      </w:pPr>
      <w:r>
        <w:t>Question Bank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Control</w:t>
            </w:r>
          </w:p>
        </w:tc>
        <w:tc>
          <w:tcPr>
            <w:tcW w:type="dxa" w:w="698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Final Design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Total questions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Difficulty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Easy: 5 | Moderate: 7 | Difficult: 5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Question-type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Application: 5 | Integrated Clinical Reasoning: 3 | Knowledge &amp; Recall: 5 | Scenario-Based: 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Answer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A: 5 | B: 4 | C: 4 | D: 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Option format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Four options for all questions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Production scope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Exactly 17 workbook-aligned questions; no additional student-facing workbook exam created</w:t>
            </w:r>
          </w:p>
        </w:tc>
      </w:tr>
    </w:tbl>
    <w:p>
      <w:pPr>
        <w:pStyle w:val="Heading1"/>
      </w:pPr>
      <w:r>
        <w:t>How to Use This Question Bank</w:t>
      </w:r>
    </w:p>
    <w:p>
      <w:pPr>
        <w:pStyle w:val="ListBullet"/>
      </w:pPr>
      <w:r>
        <w:t>Work through one difficulty section at a time or complete all 17 questions as a mixed review.</w:t>
      </w:r>
    </w:p>
    <w:p>
      <w:pPr>
        <w:pStyle w:val="ListBullet"/>
      </w:pPr>
      <w:r>
        <w:t>Cover the answer and rationale area before choosing your response.</w:t>
      </w:r>
    </w:p>
    <w:p>
      <w:pPr>
        <w:pStyle w:val="ListBullet"/>
      </w:pPr>
      <w:r>
        <w:t>After answering, study why the keyed option fits the exact qualifier, timing, role, and facts.</w:t>
      </w:r>
    </w:p>
    <w:p>
      <w:pPr>
        <w:pStyle w:val="ListBullet"/>
      </w:pPr>
      <w:r>
        <w:t>Record both incorrect answers and low-confidence correct answers in your study notes.</w:t>
      </w:r>
    </w:p>
    <w:p>
      <w:r>
        <w:br w:type="page"/>
      </w:r>
    </w:p>
    <w:p>
      <w:pPr>
        <w:pStyle w:val="Heading1"/>
      </w:pPr>
      <w:r>
        <w:t>Easy Questions</w:t>
      </w:r>
    </w:p>
    <w:p>
      <w:r>
        <w:rPr>
          <w:i/>
          <w:color w:val="696969"/>
        </w:rPr>
        <w:t>5 questions | Foundational distinctions and direct applications.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Social-support quality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client reports having only two close relationships but describes both as dependable, reciprocal, and emotionally safe. Which conclusion is MOST appropriate?</w:t>
      </w:r>
    </w:p>
    <w:p>
      <w:pPr>
        <w:pStyle w:val="Option"/>
        <w:keepNext/>
      </w:pPr>
      <w:r>
        <w:rPr>
          <w:b/>
        </w:rPr>
        <w:t xml:space="preserve">A. </w:t>
      </w:r>
      <w:r>
        <w:t>The client is socially isolated because a healthy network must include many people.</w:t>
      </w:r>
    </w:p>
    <w:p>
      <w:pPr>
        <w:pStyle w:val="Option"/>
        <w:keepNext/>
      </w:pPr>
      <w:r>
        <w:rPr>
          <w:b/>
        </w:rPr>
        <w:t xml:space="preserve">B. </w:t>
      </w:r>
      <w:r>
        <w:t>The size of the network alone does not establish impairment; the therapist should evaluate whether the relationships meet the client's needs and support functioning.</w:t>
      </w:r>
    </w:p>
    <w:p>
      <w:pPr>
        <w:pStyle w:val="Option"/>
        <w:keepNext/>
      </w:pPr>
      <w:r>
        <w:rPr>
          <w:b/>
        </w:rPr>
        <w:t xml:space="preserve">C. </w:t>
      </w:r>
      <w:r>
        <w:t>The therapist should require the client to join a group before completing the assessment.</w:t>
      </w:r>
    </w:p>
    <w:p>
      <w:pPr>
        <w:pStyle w:val="Option"/>
        <w:keepNext/>
      </w:pPr>
      <w:r>
        <w:rPr>
          <w:b/>
        </w:rPr>
        <w:t xml:space="preserve">D. </w:t>
      </w:r>
      <w:r>
        <w:t>The two relationships should be considered inadequate unless they involve family members.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A small network is not automatically deficient when it is safe, dependable, and satisfactory to the client.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Support quality, reciprocity, safety, and fit are more clinically meaningful than a simple count of contacts.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A prescribed intervention is premature before clarifying distress, goals, and functioning.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Support can come from family, friends, community, or other chosen relationships.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equate network size with support quality; assess function, safety, reciprocity, and client preference.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Genogram function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What is the PRIMARY clinical purpose of a genogram in an LMFT assessment?</w:t>
      </w:r>
    </w:p>
    <w:p>
      <w:pPr>
        <w:pStyle w:val="Option"/>
        <w:keepNext/>
      </w:pPr>
      <w:r>
        <w:rPr>
          <w:b/>
        </w:rPr>
        <w:t xml:space="preserve">A. </w:t>
      </w:r>
      <w:r>
        <w:t>To organize multigenerational relationships, roles, transitions, patterns, and significant events that may inform the current formulation.</w:t>
      </w:r>
    </w:p>
    <w:p>
      <w:pPr>
        <w:pStyle w:val="Option"/>
        <w:keepNext/>
      </w:pPr>
      <w:r>
        <w:rPr>
          <w:b/>
        </w:rPr>
        <w:t xml:space="preserve">B. </w:t>
      </w:r>
      <w:r>
        <w:t>To prove that a present symptom was caused by one family member.</w:t>
      </w:r>
    </w:p>
    <w:p>
      <w:pPr>
        <w:pStyle w:val="Option"/>
        <w:keepNext/>
      </w:pPr>
      <w:r>
        <w:rPr>
          <w:b/>
        </w:rPr>
        <w:t xml:space="preserve">C. </w:t>
      </w:r>
      <w:r>
        <w:t>To replace direct assessment of current family interactions.</w:t>
      </w:r>
    </w:p>
    <w:p>
      <w:pPr>
        <w:pStyle w:val="Option"/>
        <w:keepNext/>
      </w:pPr>
      <w:r>
        <w:rPr>
          <w:b/>
        </w:rPr>
        <w:t xml:space="preserve">D. </w:t>
      </w:r>
      <w:r>
        <w:t>To determine which family member should control treatment decisions.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A genogram is a structured aid for identifying patterns and context; it does not establish causation by itself.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A diagram cannot establish a single cause or assign blame.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Current observation and participant perspectives remain essential.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The tool describes relationships and history; it does not assign treatment authority.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Use a genogram to organize hypotheses, not to prove causation or replace current assessment.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Screening versus specialized testing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Which statement BEST distinguishes a screening measure from specialized psychological testing?</w:t>
      </w:r>
    </w:p>
    <w:p>
      <w:pPr>
        <w:pStyle w:val="Option"/>
        <w:keepNext/>
      </w:pPr>
      <w:r>
        <w:rPr>
          <w:b/>
        </w:rPr>
        <w:t xml:space="preserve">A. </w:t>
      </w:r>
      <w:r>
        <w:t>A screening measure always produces a diagnosis, while specialized testing only describes symptoms.</w:t>
      </w:r>
    </w:p>
    <w:p>
      <w:pPr>
        <w:pStyle w:val="Option"/>
        <w:keepNext/>
      </w:pPr>
      <w:r>
        <w:rPr>
          <w:b/>
        </w:rPr>
        <w:t xml:space="preserve">B. </w:t>
      </w:r>
      <w:r>
        <w:t>Both are interchangeable whenever the therapist has access to the instrument.</w:t>
      </w:r>
    </w:p>
    <w:p>
      <w:pPr>
        <w:pStyle w:val="Option"/>
        <w:keepNext/>
      </w:pPr>
      <w:r>
        <w:rPr>
          <w:b/>
        </w:rPr>
        <w:t xml:space="preserve">C. </w:t>
      </w:r>
      <w:r>
        <w:t>A screening measure identifies whether additional assessment may be indicated, while specialized testing answers a more specific question and may require distinct training or referral.</w:t>
      </w:r>
    </w:p>
    <w:p>
      <w:pPr>
        <w:pStyle w:val="Option"/>
        <w:keepNext/>
      </w:pPr>
      <w:r>
        <w:rPr>
          <w:b/>
        </w:rPr>
        <w:t xml:space="preserve">D. </w:t>
      </w:r>
      <w:r>
        <w:t>Specialized testing eliminates the need to integrate interview and contextual data.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Screening does not automatically establish diagnosis.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Availability does not establish appropriate purpose or competence.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The distinction rests on purpose, scope, interpretation, and required competence.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Testing findings still require clinical and contextual integration.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Ask what question the instrument is designed to answer and whether the clinician is qualified to use and interpret it.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Systemic resilience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Which finding is the STRONGEST example of resilience within a family system?</w:t>
      </w:r>
    </w:p>
    <w:p>
      <w:pPr>
        <w:pStyle w:val="Option"/>
        <w:keepNext/>
      </w:pPr>
      <w:r>
        <w:rPr>
          <w:b/>
        </w:rPr>
        <w:t xml:space="preserve">A. </w:t>
      </w:r>
      <w:r>
        <w:t>The family says conflict never occurs.</w:t>
      </w:r>
    </w:p>
    <w:p>
      <w:pPr>
        <w:pStyle w:val="Option"/>
        <w:keepNext/>
      </w:pPr>
      <w:r>
        <w:rPr>
          <w:b/>
        </w:rPr>
        <w:t xml:space="preserve">B. </w:t>
      </w:r>
      <w:r>
        <w:t>One member insists that the family should handle every problem privately.</w:t>
      </w:r>
    </w:p>
    <w:p>
      <w:pPr>
        <w:pStyle w:val="Option"/>
        <w:keepNext/>
      </w:pPr>
      <w:r>
        <w:rPr>
          <w:b/>
        </w:rPr>
        <w:t xml:space="preserve">C. </w:t>
      </w:r>
      <w:r>
        <w:t>The therapist describes the family as strong without identifying specific behaviors.</w:t>
      </w:r>
    </w:p>
    <w:p>
      <w:pPr>
        <w:pStyle w:val="Option"/>
        <w:keepNext/>
      </w:pPr>
      <w:r>
        <w:rPr>
          <w:b/>
        </w:rPr>
        <w:t xml:space="preserve">D. </w:t>
      </w:r>
      <w:r>
        <w:t>After prior crises, family members developed a shared plan for seeking help, adjusted responsibilities, and used supportive community relationships.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Absence of reported conflict is not evidence of adaptive coping.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Rigid self-reliance can reduce access to support.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A general impression is less useful than demonstrated coping and resources.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Resilience is demonstrated through adaptive actions, flexibility, and usable relational or community resources.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Choose observable coping and support patterns, not generic praise or denial of difficulty.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Anger versus violence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Which statement BEST reflects the distinction between anger and violence in clinical assessment?</w:t>
      </w:r>
    </w:p>
    <w:p>
      <w:pPr>
        <w:pStyle w:val="Option"/>
        <w:keepNext/>
      </w:pPr>
      <w:r>
        <w:rPr>
          <w:b/>
        </w:rPr>
        <w:t xml:space="preserve">A. </w:t>
      </w:r>
      <w:r>
        <w:t>Anger is an emotional state; violence involves behavior or credible risk and requires assessment of actions, intent, pattern, escalation, and safety.</w:t>
      </w:r>
    </w:p>
    <w:p>
      <w:pPr>
        <w:pStyle w:val="Option"/>
        <w:keepNext/>
      </w:pPr>
      <w:r>
        <w:rPr>
          <w:b/>
        </w:rPr>
        <w:t xml:space="preserve">B. </w:t>
      </w:r>
      <w:r>
        <w:t>Any expression of anger proves that conjoint treatment is unsafe.</w:t>
      </w:r>
    </w:p>
    <w:p>
      <w:pPr>
        <w:pStyle w:val="Option"/>
        <w:keepNext/>
      </w:pPr>
      <w:r>
        <w:rPr>
          <w:b/>
        </w:rPr>
        <w:t xml:space="preserve">C. </w:t>
      </w:r>
      <w:r>
        <w:t>Violence can be ruled out when the client appears calm in session.</w:t>
      </w:r>
    </w:p>
    <w:p>
      <w:pPr>
        <w:pStyle w:val="Option"/>
        <w:keepNext/>
      </w:pPr>
      <w:r>
        <w:rPr>
          <w:b/>
        </w:rPr>
        <w:t xml:space="preserve">D. </w:t>
      </w:r>
      <w:r>
        <w:t>Past property destruction automatically proves current intent to harm a person.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Emotional intensity alone does not establish violent behavior, while calm presentation does not rule out risk.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Safety depends on behavior, coercion, risk, and treatment suitability, not anger alone.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Risk assessment must include history, behavior, pattern, and context.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Past behavior is relevant but does not by itself establish current intent.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Separate emotion from behavior and assess the actual pattern, intent, escalation, access, and current safety.</w:t>
            </w:r>
          </w:p>
        </w:tc>
      </w:tr>
    </w:tbl>
    <w:p/>
    <w:p>
      <w:r>
        <w:br w:type="page"/>
      </w:r>
    </w:p>
    <w:p>
      <w:pPr>
        <w:pStyle w:val="Heading1"/>
      </w:pPr>
      <w:r>
        <w:t>Moderate Questions</w:t>
      </w:r>
    </w:p>
    <w:p>
      <w:r>
        <w:rPr>
          <w:i/>
          <w:color w:val="696969"/>
        </w:rPr>
        <w:t>7 questions | Applied sequencing and realistic clinical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Inclusive intimacy assessment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client in a consensually nonmonogamous relationship reports jealousy and asks whether the relationship structure is unhealthy. What should the therapist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Explain that jealousy proves the relationship structure is clinically inappropriate.</w:t>
      </w:r>
    </w:p>
    <w:p>
      <w:pPr>
        <w:pStyle w:val="Option"/>
        <w:keepNext/>
      </w:pPr>
      <w:r>
        <w:rPr>
          <w:b/>
        </w:rPr>
        <w:t xml:space="preserve">B. </w:t>
      </w:r>
      <w:r>
        <w:t>Explore the client's meanings, agreements, consent, boundaries, safety, satisfaction, conflict patterns, and goals without assuming the relationship structure is pathological.</w:t>
      </w:r>
    </w:p>
    <w:p>
      <w:pPr>
        <w:pStyle w:val="Option"/>
        <w:keepNext/>
      </w:pPr>
      <w:r>
        <w:rPr>
          <w:b/>
        </w:rPr>
        <w:t xml:space="preserve">C. </w:t>
      </w:r>
      <w:r>
        <w:t>Recommend immediate conversion to monogamy.</w:t>
      </w:r>
    </w:p>
    <w:p>
      <w:pPr>
        <w:pStyle w:val="Option"/>
        <w:keepNext/>
      </w:pPr>
      <w:r>
        <w:rPr>
          <w:b/>
        </w:rPr>
        <w:t xml:space="preserve">D. </w:t>
      </w:r>
      <w:r>
        <w:t>Avoid discussing relationship agreements because they are private.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Jealousy can occur in many relationship structures and requires contextual assessment.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Inclusive assessment focuses on functioning, consent, power, distress, and the client's goals rather than imposing a relationship norm.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This is directive and not supported by the available information.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The concern is clinically relevant and can be explored respectfully with permission.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Assess consent, safety, meaning, functioning, and goals; do not treat one relationship structure as the default standard.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Cultural meaning of family closeness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multigenerational household shares caregiving and financial responsibilities. The therapist notices close involvement among family members. What is the BEST assessment response?</w:t>
      </w:r>
    </w:p>
    <w:p>
      <w:pPr>
        <w:pStyle w:val="Option"/>
        <w:keepNext/>
      </w:pPr>
      <w:r>
        <w:rPr>
          <w:b/>
        </w:rPr>
        <w:t xml:space="preserve">A. </w:t>
      </w:r>
      <w:r>
        <w:t>Label the family enmeshed because adults do not live independently.</w:t>
      </w:r>
    </w:p>
    <w:p>
      <w:pPr>
        <w:pStyle w:val="Option"/>
        <w:keepNext/>
      </w:pPr>
      <w:r>
        <w:rPr>
          <w:b/>
        </w:rPr>
        <w:t xml:space="preserve">B. </w:t>
      </w:r>
      <w:r>
        <w:t>Advise the adult children to separate financially from the household.</w:t>
      </w:r>
    </w:p>
    <w:p>
      <w:pPr>
        <w:pStyle w:val="Option"/>
        <w:keepNext/>
      </w:pPr>
      <w:r>
        <w:rPr>
          <w:b/>
        </w:rPr>
        <w:t xml:space="preserve">C. </w:t>
      </w:r>
      <w:r>
        <w:t>Ask how roles, privacy, decision-making, support, burden, and boundaries function within the family's cultural and practical context.</w:t>
      </w:r>
    </w:p>
    <w:p>
      <w:pPr>
        <w:pStyle w:val="Option"/>
        <w:keepNext/>
      </w:pPr>
      <w:r>
        <w:rPr>
          <w:b/>
        </w:rPr>
        <w:t xml:space="preserve">D. </w:t>
      </w:r>
      <w:r>
        <w:t>Assume the arrangement is healthy because it reflects cultural tradition.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Living arrangements and closeness require contextual and cultural interpretation.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is premature and directive.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Cultural closeness should be assessed for meaning and function before being labeled as enmeshment or dysfunction.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Tradition does not eliminate the need to assess burden, choice, power, and functioning.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Describe how the pattern functions before applying a pathology label.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Grief and cultural context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client reports intense grief six months after the death of a sibling and participates in daily cultural mourning practices. What should the therapist assess NEXT?</w:t>
      </w:r>
    </w:p>
    <w:p>
      <w:pPr>
        <w:pStyle w:val="Option"/>
        <w:keepNext/>
      </w:pPr>
      <w:r>
        <w:rPr>
          <w:b/>
        </w:rPr>
        <w:t xml:space="preserve">A. </w:t>
      </w:r>
      <w:r>
        <w:t>Conclude that the mourning practice is maintaining a disorder.</w:t>
      </w:r>
    </w:p>
    <w:p>
      <w:pPr>
        <w:pStyle w:val="Option"/>
        <w:keepNext/>
      </w:pPr>
      <w:r>
        <w:rPr>
          <w:b/>
        </w:rPr>
        <w:t xml:space="preserve">B. </w:t>
      </w:r>
      <w:r>
        <w:t>Ask the client to discontinue the rituals before further assessment.</w:t>
      </w:r>
    </w:p>
    <w:p>
      <w:pPr>
        <w:pStyle w:val="Option"/>
        <w:keepNext/>
      </w:pPr>
      <w:r>
        <w:rPr>
          <w:b/>
        </w:rPr>
        <w:t xml:space="preserve">C. </w:t>
      </w:r>
      <w:r>
        <w:t>Reassure the client that no assessment is needed because grief is always normal.</w:t>
      </w:r>
    </w:p>
    <w:p>
      <w:pPr>
        <w:pStyle w:val="Option"/>
        <w:keepNext/>
      </w:pPr>
      <w:r>
        <w:rPr>
          <w:b/>
        </w:rPr>
        <w:t xml:space="preserve">D. </w:t>
      </w:r>
      <w:r>
        <w:t>The meaning of the loss and rituals, current functioning, support, guilt, trauma exposure, safety, and whether the grief pattern is changing or causing significant impairment.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The practice may be culturally meaningful and cannot be judged without context.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is directive and may undermine culturally relevant support.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Grief can coexist with safety concerns, trauma, or significant impairment that require assessment.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Time and intensity alone are insufficient; grief must be understood within culture, meaning, functioning, and safety.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diagnose or normalize from time alone; assess meaning, culture, function, support, and risk.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LMFT-WB04-QB-Q009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Aggression pattern assessment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parent reports that a teenager punched a wall during one argument but has not threatened anyone. What should the therapist assess FIRST?</w:t>
      </w:r>
    </w:p>
    <w:p>
      <w:pPr>
        <w:pStyle w:val="Option"/>
        <w:keepNext/>
      </w:pPr>
      <w:r>
        <w:rPr>
          <w:b/>
        </w:rPr>
        <w:t xml:space="preserve">A. </w:t>
      </w:r>
      <w:r>
        <w:t>The sequence, triggers, frequency, intent, escalation, injuries, access to weapons, substance involvement, remorse, accountability, and current safety.</w:t>
      </w:r>
    </w:p>
    <w:p>
      <w:pPr>
        <w:pStyle w:val="Option"/>
        <w:keepNext/>
      </w:pPr>
      <w:r>
        <w:rPr>
          <w:b/>
        </w:rPr>
        <w:t xml:space="preserve">B. </w:t>
      </w:r>
      <w:r>
        <w:t>Diagnose an impulse-control disorder from the single incident.</w:t>
      </w:r>
    </w:p>
    <w:p>
      <w:pPr>
        <w:pStyle w:val="Option"/>
        <w:keepNext/>
      </w:pPr>
      <w:r>
        <w:rPr>
          <w:b/>
        </w:rPr>
        <w:t xml:space="preserve">C. </w:t>
      </w:r>
      <w:r>
        <w:t>Treat the event as harmless because no person was struck.</w:t>
      </w:r>
    </w:p>
    <w:p>
      <w:pPr>
        <w:pStyle w:val="Option"/>
        <w:keepNext/>
      </w:pPr>
      <w:r>
        <w:rPr>
          <w:b/>
        </w:rPr>
        <w:t xml:space="preserve">D. </w:t>
      </w:r>
      <w:r>
        <w:t>Begin family communication training before asking about safety.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A behaviorally specific risk assessment is needed before minimizing the event or assuming imminent violence.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One event does not establish a diagnosis.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Property destruction may signal escalation and warrants assessment.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Safety and risk pattern come before conjoint skills work.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Use behaviorally specific questions and establish current safety before interpreting or intervening.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Dissociation and stabilization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During a trauma-history interview, a client becomes glassy-eyed, stops responding, and appears disoriented. What should the therapist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Continue asking questions so the client can complete the narrative.</w:t>
      </w:r>
    </w:p>
    <w:p>
      <w:pPr>
        <w:pStyle w:val="Option"/>
        <w:keepNext/>
      </w:pPr>
      <w:r>
        <w:rPr>
          <w:b/>
        </w:rPr>
        <w:t xml:space="preserve">B. </w:t>
      </w:r>
      <w:r>
        <w:t>Pause the trauma inquiry, orient the client to the present, assess immediate safety and dissociation, support stabilization, and collaboratively decide whether to continue.</w:t>
      </w:r>
    </w:p>
    <w:p>
      <w:pPr>
        <w:pStyle w:val="Option"/>
        <w:keepNext/>
      </w:pPr>
      <w:r>
        <w:rPr>
          <w:b/>
        </w:rPr>
        <w:t xml:space="preserve">C. </w:t>
      </w:r>
      <w:r>
        <w:t>Interpret the behavior as resistance and confront it.</w:t>
      </w:r>
    </w:p>
    <w:p>
      <w:pPr>
        <w:pStyle w:val="Option"/>
        <w:keepNext/>
      </w:pPr>
      <w:r>
        <w:rPr>
          <w:b/>
        </w:rPr>
        <w:t xml:space="preserve">D. </w:t>
      </w:r>
      <w:r>
        <w:t>End treatment permanently because trauma assessment is not possible.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Pressing for detail may intensify dysregulation and undermine control.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The client's current regulation and safety take priority over obtaining additional historical detail.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presentation may reflect dissociation or overwhelm and requires assessment, not confrontation.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The immediate need is stabilization and pacing, not automatic termination.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regulation deteriorates, pause content gathering and restore orientation, safety, and choice.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Instrument language and cultural fit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LMFT plans to use a relationship measure that has not been validated in the client's preferred language. What is the BEST next step?</w:t>
      </w:r>
    </w:p>
    <w:p>
      <w:pPr>
        <w:pStyle w:val="Option"/>
        <w:keepNext/>
      </w:pPr>
      <w:r>
        <w:rPr>
          <w:b/>
        </w:rPr>
        <w:t xml:space="preserve">A. </w:t>
      </w:r>
      <w:r>
        <w:t>Ask a family member to translate each item during administration.</w:t>
      </w:r>
    </w:p>
    <w:p>
      <w:pPr>
        <w:pStyle w:val="Option"/>
        <w:keepNext/>
      </w:pPr>
      <w:r>
        <w:rPr>
          <w:b/>
        </w:rPr>
        <w:t xml:space="preserve">B. </w:t>
      </w:r>
      <w:r>
        <w:t>Use the measure unchanged because standardized tools are culturally neutral.</w:t>
      </w:r>
    </w:p>
    <w:p>
      <w:pPr>
        <w:pStyle w:val="Option"/>
        <w:keepNext/>
      </w:pPr>
      <w:r>
        <w:rPr>
          <w:b/>
        </w:rPr>
        <w:t xml:space="preserve">C. </w:t>
      </w:r>
      <w:r>
        <w:t>Determine whether an appropriate validated version or qualified language-access method exists, review limitations, and decide whether another assessment approach would better answer the clinical question.</w:t>
      </w:r>
    </w:p>
    <w:p>
      <w:pPr>
        <w:pStyle w:val="Option"/>
        <w:keepNext/>
      </w:pPr>
      <w:r>
        <w:rPr>
          <w:b/>
        </w:rPr>
        <w:t xml:space="preserve">D. </w:t>
      </w:r>
      <w:r>
        <w:t>Score the measure but omit the language limitation from interpretation.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This can introduce accuracy, confidentiality, and influence concerns.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Standardization does not guarantee fit across languages and populations.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Language and cultural fit affect validity and interpretation; informal translation may distort results.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Limitations must be considered and documented.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 measure is useful only when its population, language, administration, and interpretation support the clinical decision.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Referral for specialized learning evaluation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child has persistent reading difficulties despite appropriate instruction, and the family wants to know whether a learning disorder is present. What should the LMFT do?</w:t>
      </w:r>
    </w:p>
    <w:p>
      <w:pPr>
        <w:pStyle w:val="Option"/>
        <w:keepNext/>
      </w:pPr>
      <w:r>
        <w:rPr>
          <w:b/>
        </w:rPr>
        <w:t xml:space="preserve">A. </w:t>
      </w:r>
      <w:r>
        <w:t>Diagnose the learning disorder based on the family's description.</w:t>
      </w:r>
    </w:p>
    <w:p>
      <w:pPr>
        <w:pStyle w:val="Option"/>
        <w:keepNext/>
      </w:pPr>
      <w:r>
        <w:rPr>
          <w:b/>
        </w:rPr>
        <w:t xml:space="preserve">B. </w:t>
      </w:r>
      <w:r>
        <w:t>Refer the family out of therapy and end all LMFT involvement.</w:t>
      </w:r>
    </w:p>
    <w:p>
      <w:pPr>
        <w:pStyle w:val="Option"/>
        <w:keepNext/>
      </w:pPr>
      <w:r>
        <w:rPr>
          <w:b/>
        </w:rPr>
        <w:t xml:space="preserve">C. </w:t>
      </w:r>
      <w:r>
        <w:t>Administer any available academic test without regard to competence.</w:t>
      </w:r>
    </w:p>
    <w:p>
      <w:pPr>
        <w:pStyle w:val="Option"/>
        <w:keepNext/>
      </w:pPr>
      <w:r>
        <w:rPr>
          <w:b/>
        </w:rPr>
        <w:t xml:space="preserve">D. </w:t>
      </w:r>
      <w:r>
        <w:t>Continue relevant relational and psychosocial assessment while referring for an educational or psychological evaluation that can answer the specific learning question.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Specialized educational or psychological data are needed.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Referral need not eliminate ongoing appropriate clinical support.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Access to a test does not establish qualification to use it.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The LMFT retains responsibility for the clinical context while obtaining specialized testing from a qualified professional.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Match the unresolved question to the right evaluator while maintaining appropriate clinical continuity.</w:t>
            </w:r>
          </w:p>
        </w:tc>
      </w:tr>
    </w:tbl>
    <w:p/>
    <w:p>
      <w:r>
        <w:br w:type="page"/>
      </w:r>
    </w:p>
    <w:p>
      <w:pPr>
        <w:pStyle w:val="Heading1"/>
      </w:pPr>
      <w:r>
        <w:t>Difficult Questions</w:t>
      </w:r>
    </w:p>
    <w:p>
      <w:r>
        <w:rPr>
          <w:i/>
          <w:color w:val="696969"/>
        </w:rPr>
        <w:t>5 questions | Complex scenarios requiring prioritization and integrated professional reasoning.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Caregiving transition and family system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family seeks therapy after a grandparent's stroke. One parent has become the primary caregiver, the other works two jobs, and their adolescent has begun skipping school. What should the therapist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Assess the stroke-related care demands, caregiver burden, role redistribution, couple and parent-child patterns, the adolescent's functioning and safety, available supports, and each person's priorities.</w:t>
      </w:r>
    </w:p>
    <w:p>
      <w:pPr>
        <w:pStyle w:val="Option"/>
        <w:keepNext/>
      </w:pPr>
      <w:r>
        <w:rPr>
          <w:b/>
        </w:rPr>
        <w:t xml:space="preserve">B. </w:t>
      </w:r>
      <w:r>
        <w:t>Focus only on the adolescent's truancy because it is the identified problem.</w:t>
      </w:r>
    </w:p>
    <w:p>
      <w:pPr>
        <w:pStyle w:val="Option"/>
        <w:keepNext/>
      </w:pPr>
      <w:r>
        <w:rPr>
          <w:b/>
        </w:rPr>
        <w:t xml:space="preserve">C. </w:t>
      </w:r>
      <w:r>
        <w:t>Tell the primary caregiver to reduce involvement with the grandparent.</w:t>
      </w:r>
    </w:p>
    <w:p>
      <w:pPr>
        <w:pStyle w:val="Option"/>
        <w:keepNext/>
      </w:pPr>
      <w:r>
        <w:rPr>
          <w:b/>
        </w:rPr>
        <w:t xml:space="preserve">D. </w:t>
      </w:r>
      <w:r>
        <w:t>Begin couple communication training without assessing the adolescent.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The presenting behavior may be embedded in a family transition and resource strain that require systemic assessment before assigning blame or selecting an intervention.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ignores the transition, caregiving system, and reciprocal family effects.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This is directive and does not assess obligations, preferences, or resources.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The family system and the adolescent's functioning and safety all require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one symptom emerges during a major transition, assess the role changes, resources, reciprocal patterns, and each participant's functioning.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Stalking and coercive control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In separate meetings, one partner reports fear and stalking after attempted separation, while the other describes the behavior as efforts to repair the relationship. What should the therapist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Bring both partners together immediately to determine whose account is accurate.</w:t>
      </w:r>
    </w:p>
    <w:p>
      <w:pPr>
        <w:pStyle w:val="Option"/>
        <w:keepNext/>
      </w:pPr>
      <w:r>
        <w:rPr>
          <w:b/>
        </w:rPr>
        <w:t xml:space="preserve">B. </w:t>
      </w:r>
      <w:r>
        <w:t>Conduct an individualized safety and coercive-control assessment, clarify escalation and access, evaluate the suitability of conjoint contact, and develop an appropriate safety-focused plan.</w:t>
      </w:r>
    </w:p>
    <w:p>
      <w:pPr>
        <w:pStyle w:val="Option"/>
        <w:keepNext/>
      </w:pPr>
      <w:r>
        <w:rPr>
          <w:b/>
        </w:rPr>
        <w:t xml:space="preserve">C. </w:t>
      </w:r>
      <w:r>
        <w:t>Treat the behavior as ordinary attachment protest because the intent is reconciliation.</w:t>
      </w:r>
    </w:p>
    <w:p>
      <w:pPr>
        <w:pStyle w:val="Option"/>
        <w:keepNext/>
      </w:pPr>
      <w:r>
        <w:rPr>
          <w:b/>
        </w:rPr>
        <w:t xml:space="preserve">D. </w:t>
      </w:r>
      <w:r>
        <w:t>Require the fearful partner to disclose all concerns in a joint session.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Confrontation may increase danger and is not the first safety step.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Differing narratives do not neutralize risk; behavior, pattern, fear, control, and current safety must be assessed before conjoint work.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Claimed intent does not negate coercion, stalking, or fear.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Forced disclosure can increase risk and undermine autonomy.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Prioritize behavior and safety over competing relationship narratives; conjoint processing comes only after suitability is established.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Sexualized behavior and safety assessment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nine-year-old begins reenacting sexually explicit scenes with toys after spending weekends in a new household. The child gives no clear explanation and appears anxious. What is the BEST initial clinical response?</w:t>
      </w:r>
    </w:p>
    <w:p>
      <w:pPr>
        <w:pStyle w:val="Option"/>
        <w:keepNext/>
      </w:pPr>
      <w:r>
        <w:rPr>
          <w:b/>
        </w:rPr>
        <w:t xml:space="preserve">A. </w:t>
      </w:r>
      <w:r>
        <w:t>Question the child repeatedly until a specific perpetrator is identified.</w:t>
      </w:r>
    </w:p>
    <w:p>
      <w:pPr>
        <w:pStyle w:val="Option"/>
        <w:keepNext/>
      </w:pPr>
      <w:r>
        <w:rPr>
          <w:b/>
        </w:rPr>
        <w:t xml:space="preserve">B. </w:t>
      </w:r>
      <w:r>
        <w:t>Assume the behavior is normal because children are curious.</w:t>
      </w:r>
    </w:p>
    <w:p>
      <w:pPr>
        <w:pStyle w:val="Option"/>
        <w:keepNext/>
      </w:pPr>
      <w:r>
        <w:rPr>
          <w:b/>
        </w:rPr>
        <w:t xml:space="preserve">C. </w:t>
      </w:r>
      <w:r>
        <w:t>Assess immediate safety, the behavior's developmental context and onset, exposure possibilities, coercion or abuse indicators, functioning, and the need for specialized consultation or protective action.</w:t>
      </w:r>
    </w:p>
    <w:p>
      <w:pPr>
        <w:pStyle w:val="Option"/>
        <w:keepNext/>
      </w:pPr>
      <w:r>
        <w:rPr>
          <w:b/>
        </w:rPr>
        <w:t xml:space="preserve">D. </w:t>
      </w:r>
      <w:r>
        <w:t>Confront the adults in the new household before clarifying safety and consultation needs.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Repeated or leading questioning can increase distress and contaminate information.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The explicit, new, and anxious presentation requires assessment.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The behavior warrants careful, nonleading assessment and appropriate consultation without assuming either abuse or harmless curiosity.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Premature confrontation may increase risk and interfere with appropriate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jump to certainty; assess safety, developmental fit, onset, exposure, coercion, and the need for specialized help.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Abrupt change, medication, and family decision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older client develops sudden irritability and suspiciousness after a medication change. Adult children disagree about whether the client should move out of the home. What should the therapist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Interpret the suspiciousness as a longstanding family-system role.</w:t>
      </w:r>
    </w:p>
    <w:p>
      <w:pPr>
        <w:pStyle w:val="Option"/>
        <w:keepNext/>
      </w:pPr>
      <w:r>
        <w:rPr>
          <w:b/>
        </w:rPr>
        <w:t xml:space="preserve">B. </w:t>
      </w:r>
      <w:r>
        <w:t>Ask the adult children to vote on the living arrangement.</w:t>
      </w:r>
    </w:p>
    <w:p>
      <w:pPr>
        <w:pStyle w:val="Option"/>
        <w:keepNext/>
      </w:pPr>
      <w:r>
        <w:rPr>
          <w:b/>
        </w:rPr>
        <w:t xml:space="preserve">C. </w:t>
      </w:r>
      <w:r>
        <w:t>Begin family-of-origin work before coordinating medical evaluation.</w:t>
      </w:r>
    </w:p>
    <w:p>
      <w:pPr>
        <w:pStyle w:val="Option"/>
        <w:keepNext/>
      </w:pPr>
      <w:r>
        <w:rPr>
          <w:b/>
        </w:rPr>
        <w:t xml:space="preserve">D. </w:t>
      </w:r>
      <w:r>
        <w:t>Arrange prompt medical or medication evaluation while assessing immediate safety, baseline change, cognition, family conflict, supports, and the client's preferences and participation.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The sudden onset and medication change require medical consideration.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The client's preferences, decision-making ability, safety, and professional assessment are required.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possible medical cause and immediate safety take priority.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Abrupt change after a medication adjustment raises a medical question that must be integrated with relational and safety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Sudden cognitive or behavioral change controls the sequence: address medical urgency while preserving systemic assessment and client participation.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LMFT-WB04-QB-Q017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Integrated cross-cultural trauma and family assessment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recently resettled family seeks help for a teenager's school refusal, nightmares, and conflict with parents. The family uses an interpreter, fears authorities, and relies heavily on a faith community. What is the BEST next assessment plan?</w:t>
      </w:r>
    </w:p>
    <w:p>
      <w:pPr>
        <w:pStyle w:val="Option"/>
        <w:keepNext/>
      </w:pPr>
      <w:r>
        <w:rPr>
          <w:b/>
        </w:rPr>
        <w:t xml:space="preserve">A. </w:t>
      </w:r>
      <w:r>
        <w:t>Clarify roles and confidentiality through qualified language access; assess present safety, trauma and loss with careful pacing, school and family patterns, developmental and cultural meanings, strengths and faith supports, access barriers, and the need for coordinated consultation.</w:t>
      </w:r>
    </w:p>
    <w:p>
      <w:pPr>
        <w:pStyle w:val="Option"/>
        <w:keepNext/>
      </w:pPr>
      <w:r>
        <w:rPr>
          <w:b/>
        </w:rPr>
        <w:t xml:space="preserve">B. </w:t>
      </w:r>
      <w:r>
        <w:t>Use the teenager as interpreter so the parents will feel more comfortable.</w:t>
      </w:r>
    </w:p>
    <w:p>
      <w:pPr>
        <w:pStyle w:val="Option"/>
        <w:keepNext/>
      </w:pPr>
      <w:r>
        <w:rPr>
          <w:b/>
        </w:rPr>
        <w:t xml:space="preserve">C. </w:t>
      </w:r>
      <w:r>
        <w:t>Assume school refusal is caused by trauma and begin exposure immediately.</w:t>
      </w:r>
    </w:p>
    <w:p>
      <w:pPr>
        <w:pStyle w:val="Option"/>
        <w:keepNext/>
      </w:pPr>
      <w:r>
        <w:rPr>
          <w:b/>
        </w:rPr>
        <w:t xml:space="preserve">D. </w:t>
      </w:r>
      <w:r>
        <w:t>Avoid asking about migration or faith because those topics may be sensitive.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The plan integrates safety, trauma, development, culture, language, family systems, strengths, and service access without making one factor the sole explanation.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burdens the teenager and can compromise accuracy, confidentiality, and family roles.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cause and treatment fit require broader assessment.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Relevant topics can be explored transparently and respectfully with client choice.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Use an integrated sequence: access and role clarity, safety, client meanings, systemic pattern, strengths, barriers, and targeted consultation.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Final Quality-Control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Quality-Control Area</w:t>
            </w:r>
          </w:p>
        </w:tc>
        <w:tc>
          <w:tcPr>
            <w:tcW w:type="dxa" w:w="698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Question count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 unique questions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Difficulty balance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5 Easy | 7 Moderate | 5 Difficult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Answer balance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A=5 | B=4 | C=4 | D=4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Rationales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Complete rationale for every presented option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Exam strategy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Included for every question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Originality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Original CTA items; no official or third-party sample question is reproduced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Workbook alignment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All items assess the concepts and reasoning taught in LMFT Workbook 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Comprehensive exams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Larger comprehensive simulations will be developed separately from the official examination blueprint and will not merely combine workbook banks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Currency Note</w:t>
              <w:br/>
            </w:r>
            <w:r>
              <w:rPr>
                <w:sz w:val="19"/>
              </w:rPr>
              <w:t>Examination outlines, laws, standards, and professional guidance may change. Re-audit against current official sources before future publication or use after a material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08" w:bottom="835" w:left="1008" w:header="317" w:footer="31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8"/>
      </w:rPr>
      <w:t xml:space="preserve">Clinical Training Academy • </w:t>
    </w:r>
    <w:r>
      <w:rPr>
        <w:color w:val="696969"/>
        <w:sz w:val="18"/>
      </w:rPr>
      <w:t xml:space="preserve">Page </w:t>
    </w:r>
    <w:fldSimple w:instr="PAGE">
      <w:r>
        <w:rPr>
          <w:color w:val="666666"/>
          <w:sz w:val="18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9" w:space="2" w:color="2A9D8F"/>
      </w:pBdr>
    </w:pPr>
    <w:r>
      <w:rPr>
        <w:rFonts w:ascii="Arial" w:hAnsi="Arial"/>
        <w:b/>
        <w:color w:val="1B2A41"/>
        <w:sz w:val="16"/>
      </w:rPr>
      <w:t>CTA LMFT Workbook 4 Question Bank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B2A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2A9D8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emMetadata">
    <w:name w:val="Item Metadata"/>
    <w:pPr>
      <w:spacing w:after="40"/>
    </w:pPr>
    <w:rPr>
      <w:rFonts w:ascii="Arial" w:hAnsi="Arial"/>
      <w:color w:val="696969"/>
      <w:sz w:val="16"/>
    </w:rPr>
  </w:style>
  <w:style w:type="paragraph" w:customStyle="1" w:styleId="Option">
    <w:name w:val="Option"/>
    <w:pPr>
      <w:spacing w:after="50"/>
      <w:ind w:left="317" w:hanging="317"/>
    </w:pPr>
    <w:rPr>
      <w:rFonts w:ascii="Arial" w:hAnsi="Arial"/>
      <w:sz w:val="20"/>
    </w:rPr>
  </w:style>
  <w:style w:type="paragraph" w:customStyle="1" w:styleId="Rationale">
    <w:name w:val="Rationale"/>
    <w:pPr>
      <w:spacing w:after="60"/>
      <w:ind w:left="259" w:hanging="259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Workbook 4 Question Bank</dc:title>
  <dc:subject>LMFT Workbook 4 seventeen-question clinical examination question bank</dc:subject>
  <dc:creator>Clinical Training Academy</dc:creator>
  <cp:keywords>LMFT, LCSW, clinical exam preparation, practice examination, question bank</cp:keywords>
  <dc:description>Original Clinical Training Academy educational material.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