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Arial" w:hAnsi="Arial"/>
          <w:b/>
          <w:i w:val="0"/>
          <w:color w:val="1F7A8C"/>
          <w:sz w:val="24"/>
        </w:rPr>
        <w:t>CLINICAL TRAINING ACADEMY</w:t>
      </w:r>
    </w:p>
    <w:p>
      <w:pPr>
        <w:spacing w:before="280"/>
        <w:jc w:val="center"/>
      </w:pPr>
      <w:r>
        <w:rPr>
          <w:rFonts w:ascii="Arial" w:hAnsi="Arial"/>
          <w:b/>
          <w:i w:val="0"/>
          <w:color w:val="17365D"/>
          <w:sz w:val="68"/>
        </w:rPr>
        <w:t>LMFT</w:t>
      </w:r>
    </w:p>
    <w:p>
      <w:pPr>
        <w:jc w:val="center"/>
      </w:pPr>
      <w:r>
        <w:rPr>
          <w:rFonts w:ascii="Arial" w:hAnsi="Arial"/>
          <w:b/>
          <w:i w:val="0"/>
          <w:color w:val="24313D"/>
          <w:sz w:val="36"/>
        </w:rPr>
        <w:t>CLINICAL EXAM PREPARATION</w:t>
      </w:r>
    </w:p>
    <w:p>
      <w:pPr>
        <w:jc w:val="center"/>
      </w:pPr>
      <w:r>
        <w:rPr>
          <w:rFonts w:ascii="Arial" w:hAnsi="Arial"/>
          <w:b/>
          <w:i w:val="0"/>
          <w:color w:val="1F7A8C"/>
          <w:sz w:val="48"/>
        </w:rPr>
        <w:t>AUDIO REVIEW COLLECTION</w:t>
      </w:r>
    </w:p>
    <w:p>
      <w:pPr>
        <w:spacing w:before="160"/>
        <w:jc w:val="center"/>
      </w:pPr>
      <w:r>
        <w:rPr>
          <w:rFonts w:ascii="Arial" w:hAnsi="Arial"/>
          <w:b w:val="0"/>
          <w:i w:val="0"/>
          <w:color w:val="68737D"/>
          <w:sz w:val="24"/>
        </w:rPr>
        <w:t>Eight screen-free review tracks • Recording-ready narration scripts</w:t>
      </w:r>
    </w:p>
    <w:tbl>
      <w:tblPr>
        <w:tblW w:type="auto" w:w="0"/>
        <w:jc w:val="center"/>
        <w:tblLayout w:type="fixed"/>
        <w:tblLook w:firstColumn="1" w:firstRow="1" w:lastColumn="0" w:lastRow="0" w:noHBand="0" w:noVBand="1" w:val="04A0"/>
      </w:tblPr>
      <w:tblGrid>
        <w:gridCol w:w="10368"/>
      </w:tblGrid>
      <w:tr>
        <w:tc>
          <w:tcPr>
            <w:tcW w:type="dxa" w:w="10282"/>
            <w:shd w:fill="DDEFF2"/>
            <w:tcBorders>
              <w:top w:val="single" w:sz="12" w:color="1F7A8C"/>
              <w:left w:val="single" w:sz="12" w:color="1F7A8C"/>
              <w:bottom w:val="single" w:sz="12" w:color="1F7A8C"/>
              <w:right w:val="single" w:sz="12" w:color="1F7A8C"/>
            </w:tcBorders>
            <w:tcMar>
              <w:top w:w="180" w:type="dxa"/>
              <w:start w:w="190" w:type="dxa"/>
              <w:bottom w:w="180" w:type="dxa"/>
              <w:end w:w="190" w:type="dxa"/>
            </w:tcMar>
          </w:tcPr>
          <w:p>
            <w:pPr>
              <w:jc w:val="center"/>
            </w:pPr>
            <w:r>
              <w:rPr>
                <w:rFonts w:ascii="Arial" w:hAnsi="Arial"/>
                <w:b/>
                <w:i w:val="0"/>
                <w:color w:val="17365D"/>
                <w:sz w:val="23"/>
              </w:rPr>
              <w:t>Use for commuting, walking, final-week review, and confidence resets. Each track teaches how to think—not merely what to memorize.</w:t>
            </w:r>
          </w:p>
        </w:tc>
      </w:tr>
    </w:tbl>
    <w:p>
      <w:pPr>
        <w:spacing w:before="440"/>
        <w:jc w:val="center"/>
      </w:pPr>
      <w:r>
        <w:rPr>
          <w:rFonts w:ascii="Arial" w:hAnsi="Arial"/>
          <w:b w:val="0"/>
          <w:i w:val="0"/>
          <w:color w:val="68737D"/>
          <w:sz w:val="19"/>
        </w:rPr>
        <w:t>Version 1.0  •  July 2026</w:t>
      </w:r>
    </w:p>
    <w:p>
      <w:r>
        <w:br w:type="page"/>
      </w:r>
    </w:p>
    <w:p>
      <w:pPr>
        <w:pStyle w:val="Heading1"/>
        <w:jc w:val="center"/>
      </w:pPr>
      <w:r>
        <w:t>How to Use the LMFT Audio Review Collection</w:t>
      </w:r>
    </w:p>
    <w:tbl>
      <w:tblPr>
        <w:tblW w:type="auto" w:w="0"/>
        <w:jc w:val="center"/>
        <w:tblLayout w:type="fixed"/>
        <w:tblLook w:firstColumn="1" w:firstRow="1" w:lastColumn="0" w:lastRow="0" w:noHBand="0" w:noVBand="1" w:val="04A0"/>
      </w:tblPr>
      <w:tblGrid>
        <w:gridCol w:w="3427"/>
        <w:gridCol w:w="3427"/>
        <w:gridCol w:w="3427"/>
      </w:tblGrid>
      <w:tr>
        <w:tc>
          <w:tcPr>
            <w:tcW w:type="dxa" w:w="3528"/>
            <w:vAlign w:val="center"/>
            <w:shd w:fill="F3F7FA"/>
            <w:tcBorders>
              <w:top w:val="single" w:sz="7" w:color="B7C4CE"/>
              <w:left w:val="single" w:sz="7" w:color="B7C4CE"/>
              <w:bottom w:val="single" w:sz="7" w:color="B7C4CE"/>
              <w:right w:val="single" w:sz="7" w:color="B7C4CE"/>
            </w:tcBorders>
            <w:tcMar>
              <w:top w:w="120" w:type="dxa"/>
              <w:start w:w="130" w:type="dxa"/>
              <w:bottom w:w="120" w:type="dxa"/>
              <w:end w:w="130" w:type="dxa"/>
            </w:tcMar>
          </w:tcPr>
          <w:p>
            <w:pPr>
              <w:jc w:val="center"/>
            </w:pPr>
            <w:r>
              <w:rPr>
                <w:rFonts w:ascii="Arial" w:hAnsi="Arial"/>
                <w:b/>
                <w:i w:val="0"/>
                <w:color w:val="1F7A8C"/>
                <w:sz w:val="20"/>
              </w:rPr>
              <w:t>BEFORE PRACTICE</w:t>
            </w:r>
          </w:p>
          <w:p>
            <w:r>
              <w:rPr>
                <w:rFonts w:ascii="Arial" w:hAnsi="Arial"/>
                <w:b w:val="0"/>
                <w:i w:val="0"/>
                <w:color w:val="24313D"/>
                <w:sz w:val="18"/>
              </w:rPr>
              <w:t>Listen to the track that matches the workbook or reasoning skill you are about to study.</w:t>
            </w:r>
          </w:p>
        </w:tc>
        <w:tc>
          <w:tcPr>
            <w:tcW w:type="dxa" w:w="3528"/>
            <w:vAlign w:val="center"/>
            <w:shd w:fill="F3F7FA"/>
            <w:tcBorders>
              <w:top w:val="single" w:sz="7" w:color="B7C4CE"/>
              <w:left w:val="single" w:sz="7" w:color="B7C4CE"/>
              <w:bottom w:val="single" w:sz="7" w:color="B7C4CE"/>
              <w:right w:val="single" w:sz="7" w:color="B7C4CE"/>
            </w:tcBorders>
            <w:tcMar>
              <w:top w:w="120" w:type="dxa"/>
              <w:start w:w="130" w:type="dxa"/>
              <w:bottom w:w="120" w:type="dxa"/>
              <w:end w:w="130" w:type="dxa"/>
            </w:tcMar>
          </w:tcPr>
          <w:p>
            <w:pPr>
              <w:jc w:val="center"/>
            </w:pPr>
            <w:r>
              <w:rPr>
                <w:rFonts w:ascii="Arial" w:hAnsi="Arial"/>
                <w:b/>
                <w:i w:val="0"/>
                <w:color w:val="1F7A8C"/>
                <w:sz w:val="20"/>
              </w:rPr>
              <w:t>AFTER A MISS</w:t>
            </w:r>
          </w:p>
          <w:p>
            <w:r>
              <w:rPr>
                <w:rFonts w:ascii="Arial" w:hAnsi="Arial"/>
                <w:b w:val="0"/>
                <w:i w:val="0"/>
                <w:color w:val="24313D"/>
                <w:sz w:val="18"/>
              </w:rPr>
              <w:t>Use the matching track to restate the decision rule and identify why a tempting answer was premature.</w:t>
            </w:r>
          </w:p>
        </w:tc>
        <w:tc>
          <w:tcPr>
            <w:tcW w:type="dxa" w:w="3528"/>
            <w:vAlign w:val="center"/>
            <w:shd w:fill="F3F7FA"/>
            <w:tcBorders>
              <w:top w:val="single" w:sz="7" w:color="B7C4CE"/>
              <w:left w:val="single" w:sz="7" w:color="B7C4CE"/>
              <w:bottom w:val="single" w:sz="7" w:color="B7C4CE"/>
              <w:right w:val="single" w:sz="7" w:color="B7C4CE"/>
            </w:tcBorders>
            <w:tcMar>
              <w:top w:w="120" w:type="dxa"/>
              <w:start w:w="130" w:type="dxa"/>
              <w:bottom w:w="120" w:type="dxa"/>
              <w:end w:w="130" w:type="dxa"/>
            </w:tcMar>
          </w:tcPr>
          <w:p>
            <w:pPr>
              <w:jc w:val="center"/>
            </w:pPr>
            <w:r>
              <w:rPr>
                <w:rFonts w:ascii="Arial" w:hAnsi="Arial"/>
                <w:b/>
                <w:i w:val="0"/>
                <w:color w:val="1F7A8C"/>
                <w:sz w:val="20"/>
              </w:rPr>
              <w:t>FINAL REVIEW</w:t>
            </w:r>
          </w:p>
          <w:p>
            <w:r>
              <w:rPr>
                <w:rFonts w:ascii="Arial" w:hAnsi="Arial"/>
                <w:b w:val="0"/>
                <w:i w:val="0"/>
                <w:color w:val="24313D"/>
                <w:sz w:val="18"/>
              </w:rPr>
              <w:t>Replay Tracks 1 and 8, then select weak-domain tracks based on Form A and error-log data.</w:t>
            </w:r>
          </w:p>
        </w:tc>
      </w:tr>
    </w:tbl>
    <w:p>
      <w:pPr>
        <w:spacing w:before="160"/>
      </w:pPr>
      <w:r>
        <w:rPr>
          <w:rFonts w:ascii="Arial" w:hAnsi="Arial"/>
          <w:b/>
          <w:i w:val="0"/>
          <w:color w:val="17365D"/>
          <w:sz w:val="20"/>
        </w:rPr>
        <w:t xml:space="preserve">Listening method. </w:t>
      </w:r>
      <w:r>
        <w:rPr>
          <w:rFonts w:ascii="Arial" w:hAnsi="Arial"/>
          <w:b w:val="0"/>
          <w:i w:val="0"/>
          <w:color w:val="24313D"/>
          <w:sz w:val="20"/>
        </w:rPr>
        <w:t>Do not treat the playlist as passive background audio. When the narration asks a question, pause and answer aloud. Retrieval and verbal reasoning are the learning tasks.</w:t>
      </w:r>
    </w:p>
    <w:p>
      <w:r>
        <w:rPr>
          <w:rFonts w:ascii="Arial" w:hAnsi="Arial"/>
          <w:b/>
          <w:i w:val="0"/>
          <w:color w:val="17365D"/>
          <w:sz w:val="20"/>
        </w:rPr>
        <w:t xml:space="preserve">Scope. </w:t>
      </w:r>
      <w:r>
        <w:rPr>
          <w:rFonts w:ascii="Arial" w:hAnsi="Arial"/>
          <w:b w:val="0"/>
          <w:i w:val="0"/>
          <w:color w:val="24313D"/>
          <w:sz w:val="20"/>
        </w:rPr>
        <w:t>These scripts reinforce the CTA workbooks and question-bank rationales. They are educational review materials and do not replace current official examination, licensing, legal, ethical, medical, or emergency guidance.</w:t>
      </w:r>
    </w:p>
    <w:p>
      <w:pPr>
        <w:pStyle w:val="Heading2"/>
      </w:pPr>
      <w:r>
        <w:t>Recording Standard</w:t>
      </w:r>
    </w:p>
    <w:p>
      <w:pPr>
        <w:pStyle w:val="ListBullet"/>
        <w:spacing w:after="30"/>
      </w:pPr>
      <w:r>
        <w:rPr>
          <w:rFonts w:ascii="Arial" w:hAnsi="Arial"/>
          <w:b w:val="0"/>
          <w:i w:val="0"/>
          <w:color w:val="24313D"/>
          <w:sz w:val="18"/>
        </w:rPr>
        <w:t>Read the narration verbatim in a supportive one-candidate coaching tone.</w:t>
      </w:r>
    </w:p>
    <w:p>
      <w:pPr>
        <w:pStyle w:val="ListBullet"/>
        <w:spacing w:after="30"/>
      </w:pPr>
      <w:r>
        <w:rPr>
          <w:rFonts w:ascii="Arial" w:hAnsi="Arial"/>
          <w:b w:val="0"/>
          <w:i w:val="0"/>
          <w:color w:val="24313D"/>
          <w:sz w:val="18"/>
        </w:rPr>
        <w:t>Allow two to four seconds of silence after each pause prompt.</w:t>
      </w:r>
    </w:p>
    <w:p>
      <w:pPr>
        <w:pStyle w:val="ListBullet"/>
        <w:spacing w:after="30"/>
      </w:pPr>
      <w:r>
        <w:rPr>
          <w:rFonts w:ascii="Arial" w:hAnsi="Arial"/>
          <w:b w:val="0"/>
          <w:i w:val="0"/>
          <w:color w:val="24313D"/>
          <w:sz w:val="18"/>
        </w:rPr>
        <w:t>Keep the final transcript synchronized with the recorded or edited audio.</w:t>
      </w:r>
    </w:p>
    <w:p>
      <w:pPr>
        <w:pStyle w:val="ListBullet"/>
        <w:spacing w:after="30"/>
      </w:pPr>
      <w:r>
        <w:rPr>
          <w:rFonts w:ascii="Arial" w:hAnsi="Arial"/>
          <w:b w:val="0"/>
          <w:i w:val="0"/>
          <w:color w:val="24313D"/>
          <w:sz w:val="18"/>
        </w:rPr>
        <w:t>Do not add unreviewed clinical, legal, medical, or exam-policy claims during recording.</w:t>
      </w:r>
    </w:p>
    <w:p>
      <w:pPr>
        <w:pStyle w:val="Heading2"/>
      </w:pPr>
      <w:r>
        <w:t>Playlist Map</w:t>
      </w:r>
    </w:p>
    <w:tbl>
      <w:tblPr>
        <w:tblW w:type="auto" w:w="0"/>
        <w:jc w:val="center"/>
        <w:tblLayout w:type="fixed"/>
        <w:tblLook w:firstColumn="1" w:firstRow="1" w:lastColumn="0" w:lastRow="0" w:noHBand="0" w:noVBand="1" w:val="04A0"/>
      </w:tblPr>
      <w:tblGrid>
        <w:gridCol w:w="2570"/>
        <w:gridCol w:w="2570"/>
        <w:gridCol w:w="2570"/>
        <w:gridCol w:w="2570"/>
      </w:tblGrid>
      <w:tr>
        <w:tc>
          <w:tcPr>
            <w:tcW w:type="dxa" w:w="792"/>
            <w:shd w:fill="17365D"/>
            <w:tcBorders>
              <w:top w:val="single" w:sz="8" w:color="17365D"/>
              <w:left w:val="single" w:sz="8" w:color="17365D"/>
              <w:bottom w:val="single" w:sz="8" w:color="17365D"/>
              <w:right w:val="single" w:sz="8" w:color="17365D"/>
            </w:tcBorders>
          </w:tcPr>
          <w:p>
            <w:pPr>
              <w:jc w:val="center"/>
            </w:pPr>
            <w:r>
              <w:rPr>
                <w:rFonts w:ascii="Arial" w:hAnsi="Arial"/>
                <w:b/>
                <w:i w:val="0"/>
                <w:color w:val="FFFFFF"/>
                <w:sz w:val="17"/>
              </w:rPr>
              <w:t>#</w:t>
            </w:r>
          </w:p>
        </w:tc>
        <w:tc>
          <w:tcPr>
            <w:tcW w:type="dxa" w:w="4680"/>
            <w:shd w:fill="17365D"/>
            <w:tcBorders>
              <w:top w:val="single" w:sz="8" w:color="17365D"/>
              <w:left w:val="single" w:sz="8" w:color="17365D"/>
              <w:bottom w:val="single" w:sz="8" w:color="17365D"/>
              <w:right w:val="single" w:sz="8" w:color="17365D"/>
            </w:tcBorders>
          </w:tcPr>
          <w:p>
            <w:pPr>
              <w:jc w:val="center"/>
            </w:pPr>
            <w:r>
              <w:rPr>
                <w:rFonts w:ascii="Arial" w:hAnsi="Arial"/>
                <w:b/>
                <w:i w:val="0"/>
                <w:color w:val="FFFFFF"/>
                <w:sz w:val="17"/>
              </w:rPr>
              <w:t>Track</w:t>
            </w:r>
          </w:p>
        </w:tc>
        <w:tc>
          <w:tcPr>
            <w:tcW w:type="dxa" w:w="1656"/>
            <w:shd w:fill="17365D"/>
            <w:tcBorders>
              <w:top w:val="single" w:sz="8" w:color="17365D"/>
              <w:left w:val="single" w:sz="8" w:color="17365D"/>
              <w:bottom w:val="single" w:sz="8" w:color="17365D"/>
              <w:right w:val="single" w:sz="8" w:color="17365D"/>
            </w:tcBorders>
          </w:tcPr>
          <w:p>
            <w:pPr>
              <w:jc w:val="center"/>
            </w:pPr>
            <w:r>
              <w:rPr>
                <w:rFonts w:ascii="Arial" w:hAnsi="Arial"/>
                <w:b/>
                <w:i w:val="0"/>
                <w:color w:val="FFFFFF"/>
                <w:sz w:val="17"/>
              </w:rPr>
              <w:t>Target</w:t>
            </w:r>
          </w:p>
        </w:tc>
        <w:tc>
          <w:tcPr>
            <w:tcW w:type="dxa" w:w="3384"/>
            <w:shd w:fill="17365D"/>
            <w:tcBorders>
              <w:top w:val="single" w:sz="8" w:color="17365D"/>
              <w:left w:val="single" w:sz="8" w:color="17365D"/>
              <w:bottom w:val="single" w:sz="8" w:color="17365D"/>
              <w:right w:val="single" w:sz="8" w:color="17365D"/>
            </w:tcBorders>
          </w:tcPr>
          <w:p>
            <w:pPr>
              <w:jc w:val="center"/>
            </w:pPr>
            <w:r>
              <w:rPr>
                <w:rFonts w:ascii="Arial" w:hAnsi="Arial"/>
                <w:b/>
                <w:i w:val="0"/>
                <w:color w:val="FFFFFF"/>
                <w:sz w:val="17"/>
              </w:rPr>
              <w:t>Workbook Coverage</w:t>
            </w:r>
          </w:p>
        </w:tc>
      </w:tr>
      <w:tr>
        <w:trPr>
          <w:cantSplit/>
        </w:trPr>
        <w:tc>
          <w:tcPr>
            <w:tcW w:type="dxa" w:w="792"/>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i w:val="0"/>
                <w:color w:val="24313D"/>
                <w:sz w:val="16"/>
              </w:rPr>
              <w:t>1</w:t>
            </w:r>
          </w:p>
        </w:tc>
        <w:tc>
          <w:tcPr>
            <w:tcW w:type="dxa" w:w="4680"/>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left"/>
            </w:pPr>
            <w:r>
              <w:rPr>
                <w:rFonts w:ascii="Arial" w:hAnsi="Arial"/>
                <w:b w:val="0"/>
                <w:i w:val="0"/>
                <w:color w:val="24313D"/>
                <w:sz w:val="16"/>
              </w:rPr>
              <w:t>Clinical Reasoning Reset: Task, Timing, and the Systemic Lens</w:t>
            </w:r>
          </w:p>
        </w:tc>
        <w:tc>
          <w:tcPr>
            <w:tcW w:type="dxa" w:w="1656"/>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5–15 min</w:t>
            </w:r>
          </w:p>
        </w:tc>
        <w:tc>
          <w:tcPr>
            <w:tcW w:type="dxa" w:w="3384"/>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WB1</w:t>
            </w:r>
          </w:p>
        </w:tc>
      </w:tr>
      <w:tr>
        <w:trPr>
          <w:cantSplit/>
        </w:trPr>
        <w:tc>
          <w:tcPr>
            <w:tcW w:type="dxa" w:w="792"/>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i w:val="0"/>
                <w:color w:val="24313D"/>
                <w:sz w:val="16"/>
              </w:rPr>
              <w:t>2</w:t>
            </w:r>
          </w:p>
        </w:tc>
        <w:tc>
          <w:tcPr>
            <w:tcW w:type="dxa" w:w="4680"/>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left"/>
            </w:pPr>
            <w:r>
              <w:rPr>
                <w:rFonts w:ascii="Arial" w:hAnsi="Arial"/>
                <w:b w:val="0"/>
                <w:i w:val="0"/>
                <w:color w:val="24313D"/>
                <w:sz w:val="16"/>
              </w:rPr>
              <w:t>Engagement and Assessment: Intake, Development, and Relational Context</w:t>
            </w:r>
          </w:p>
        </w:tc>
        <w:tc>
          <w:tcPr>
            <w:tcW w:type="dxa" w:w="1656"/>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5–15 min</w:t>
            </w:r>
          </w:p>
        </w:tc>
        <w:tc>
          <w:tcPr>
            <w:tcW w:type="dxa" w:w="3384"/>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WB2, WB3, WB4</w:t>
            </w:r>
          </w:p>
        </w:tc>
      </w:tr>
      <w:tr>
        <w:trPr>
          <w:cantSplit/>
        </w:trPr>
        <w:tc>
          <w:tcPr>
            <w:tcW w:type="dxa" w:w="792"/>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i w:val="0"/>
                <w:color w:val="24313D"/>
                <w:sz w:val="16"/>
              </w:rPr>
              <w:t>3</w:t>
            </w:r>
          </w:p>
        </w:tc>
        <w:tc>
          <w:tcPr>
            <w:tcW w:type="dxa" w:w="4680"/>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left"/>
            </w:pPr>
            <w:r>
              <w:rPr>
                <w:rFonts w:ascii="Arial" w:hAnsi="Arial"/>
                <w:b w:val="0"/>
                <w:i w:val="0"/>
                <w:color w:val="24313D"/>
                <w:sz w:val="16"/>
              </w:rPr>
              <w:t>Diagnosis Without Premature Closure</w:t>
            </w:r>
          </w:p>
        </w:tc>
        <w:tc>
          <w:tcPr>
            <w:tcW w:type="dxa" w:w="1656"/>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5–15 min</w:t>
            </w:r>
          </w:p>
        </w:tc>
        <w:tc>
          <w:tcPr>
            <w:tcW w:type="dxa" w:w="3384"/>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WB5</w:t>
            </w:r>
          </w:p>
        </w:tc>
      </w:tr>
      <w:tr>
        <w:trPr>
          <w:cantSplit/>
        </w:trPr>
        <w:tc>
          <w:tcPr>
            <w:tcW w:type="dxa" w:w="792"/>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i w:val="0"/>
                <w:color w:val="24313D"/>
                <w:sz w:val="16"/>
              </w:rPr>
              <w:t>4</w:t>
            </w:r>
          </w:p>
        </w:tc>
        <w:tc>
          <w:tcPr>
            <w:tcW w:type="dxa" w:w="4680"/>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left"/>
            </w:pPr>
            <w:r>
              <w:rPr>
                <w:rFonts w:ascii="Arial" w:hAnsi="Arial"/>
                <w:b w:val="0"/>
                <w:i w:val="0"/>
                <w:color w:val="24313D"/>
                <w:sz w:val="16"/>
              </w:rPr>
              <w:t>Crisis, Abuse, and Safety Sequencing</w:t>
            </w:r>
          </w:p>
        </w:tc>
        <w:tc>
          <w:tcPr>
            <w:tcW w:type="dxa" w:w="1656"/>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5–15 min</w:t>
            </w:r>
          </w:p>
        </w:tc>
        <w:tc>
          <w:tcPr>
            <w:tcW w:type="dxa" w:w="3384"/>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WB6</w:t>
            </w:r>
          </w:p>
        </w:tc>
      </w:tr>
      <w:tr>
        <w:trPr>
          <w:cantSplit/>
        </w:trPr>
        <w:tc>
          <w:tcPr>
            <w:tcW w:type="dxa" w:w="792"/>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i w:val="0"/>
                <w:color w:val="24313D"/>
                <w:sz w:val="16"/>
              </w:rPr>
              <w:t>5</w:t>
            </w:r>
          </w:p>
        </w:tc>
        <w:tc>
          <w:tcPr>
            <w:tcW w:type="dxa" w:w="4680"/>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left"/>
            </w:pPr>
            <w:r>
              <w:rPr>
                <w:rFonts w:ascii="Arial" w:hAnsi="Arial"/>
                <w:b w:val="0"/>
                <w:i w:val="0"/>
                <w:color w:val="24313D"/>
                <w:sz w:val="16"/>
              </w:rPr>
              <w:t>Planning, Progress, and Termination</w:t>
            </w:r>
          </w:p>
        </w:tc>
        <w:tc>
          <w:tcPr>
            <w:tcW w:type="dxa" w:w="1656"/>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5–15 min</w:t>
            </w:r>
          </w:p>
        </w:tc>
        <w:tc>
          <w:tcPr>
            <w:tcW w:type="dxa" w:w="3384"/>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WB7</w:t>
            </w:r>
          </w:p>
        </w:tc>
      </w:tr>
      <w:tr>
        <w:trPr>
          <w:cantSplit/>
        </w:trPr>
        <w:tc>
          <w:tcPr>
            <w:tcW w:type="dxa" w:w="792"/>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i w:val="0"/>
                <w:color w:val="24313D"/>
                <w:sz w:val="16"/>
              </w:rPr>
              <w:t>6</w:t>
            </w:r>
          </w:p>
        </w:tc>
        <w:tc>
          <w:tcPr>
            <w:tcW w:type="dxa" w:w="4680"/>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left"/>
            </w:pPr>
            <w:r>
              <w:rPr>
                <w:rFonts w:ascii="Arial" w:hAnsi="Arial"/>
                <w:b w:val="0"/>
                <w:i w:val="0"/>
                <w:color w:val="24313D"/>
                <w:sz w:val="16"/>
              </w:rPr>
              <w:t>Choosing Relational, Trauma-Informed, and Contextual Interventions</w:t>
            </w:r>
          </w:p>
        </w:tc>
        <w:tc>
          <w:tcPr>
            <w:tcW w:type="dxa" w:w="1656"/>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5–15 min</w:t>
            </w:r>
          </w:p>
        </w:tc>
        <w:tc>
          <w:tcPr>
            <w:tcW w:type="dxa" w:w="3384"/>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WB8, WB9, WB10</w:t>
            </w:r>
          </w:p>
        </w:tc>
      </w:tr>
      <w:tr>
        <w:trPr>
          <w:cantSplit/>
        </w:trPr>
        <w:tc>
          <w:tcPr>
            <w:tcW w:type="dxa" w:w="792"/>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i w:val="0"/>
                <w:color w:val="24313D"/>
                <w:sz w:val="16"/>
              </w:rPr>
              <w:t>7</w:t>
            </w:r>
          </w:p>
        </w:tc>
        <w:tc>
          <w:tcPr>
            <w:tcW w:type="dxa" w:w="4680"/>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left"/>
            </w:pPr>
            <w:r>
              <w:rPr>
                <w:rFonts w:ascii="Arial" w:hAnsi="Arial"/>
                <w:b w:val="0"/>
                <w:i w:val="0"/>
                <w:color w:val="24313D"/>
                <w:sz w:val="16"/>
              </w:rPr>
              <w:t>Theory, Collaboration, and California Professional Practice</w:t>
            </w:r>
          </w:p>
        </w:tc>
        <w:tc>
          <w:tcPr>
            <w:tcW w:type="dxa" w:w="1656"/>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5–15 min</w:t>
            </w:r>
          </w:p>
        </w:tc>
        <w:tc>
          <w:tcPr>
            <w:tcW w:type="dxa" w:w="3384"/>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WB11, WB12</w:t>
            </w:r>
          </w:p>
        </w:tc>
      </w:tr>
      <w:tr>
        <w:trPr>
          <w:cantSplit/>
        </w:trPr>
        <w:tc>
          <w:tcPr>
            <w:tcW w:type="dxa" w:w="792"/>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i w:val="0"/>
                <w:color w:val="24313D"/>
                <w:sz w:val="16"/>
              </w:rPr>
              <w:t>8</w:t>
            </w:r>
          </w:p>
        </w:tc>
        <w:tc>
          <w:tcPr>
            <w:tcW w:type="dxa" w:w="4680"/>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left"/>
            </w:pPr>
            <w:r>
              <w:rPr>
                <w:rFonts w:ascii="Arial" w:hAnsi="Arial"/>
                <w:b w:val="0"/>
                <w:i w:val="0"/>
                <w:color w:val="24313D"/>
                <w:sz w:val="16"/>
              </w:rPr>
              <w:t>Rationales, Remediation, and Form A/Form B Readiness</w:t>
            </w:r>
          </w:p>
        </w:tc>
        <w:tc>
          <w:tcPr>
            <w:tcW w:type="dxa" w:w="1656"/>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5–15 min</w:t>
            </w:r>
          </w:p>
        </w:tc>
        <w:tc>
          <w:tcPr>
            <w:tcW w:type="dxa" w:w="3384"/>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Core + simulations</w:t>
            </w:r>
          </w:p>
        </w:tc>
      </w:tr>
    </w:tbl>
    <w:p>
      <w:r>
        <w:br w:type="page"/>
      </w:r>
    </w:p>
    <w:p>
      <w:pPr>
        <w:spacing w:after="0"/>
      </w:pPr>
      <w:r>
        <w:rPr>
          <w:rFonts w:ascii="Arial" w:hAnsi="Arial"/>
          <w:b/>
          <w:i w:val="0"/>
          <w:color w:val="1F7A8C"/>
          <w:sz w:val="20"/>
        </w:rPr>
        <w:t>TRACK 1</w:t>
      </w:r>
    </w:p>
    <w:p>
      <w:pPr>
        <w:pStyle w:val="Heading1"/>
        <w:keepNext/>
      </w:pPr>
      <w:r>
        <w:t>Clinical Reasoning Reset: Task, Timing, and the Systemic Lens</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Workbook coverage</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WB1: Exam Strategy and Clinical Reasoning</w:t>
            </w:r>
          </w:p>
        </w:tc>
      </w:tr>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Recording target</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Approximately 5–15 minutes at a natural coaching pace</w:t>
            </w:r>
          </w:p>
        </w:tc>
      </w:tr>
    </w:tbl>
    <w:tbl>
      <w:tblPr>
        <w:tblW w:type="auto" w:w="0"/>
        <w:jc w:val="center"/>
        <w:tblLayout w:type="fixed"/>
        <w:tblLook w:firstColumn="1" w:firstRow="1" w:lastColumn="0" w:lastRow="0" w:noHBand="0" w:noVBand="1" w:val="04A0"/>
      </w:tblPr>
      <w:tblGrid>
        <w:gridCol w:w="10224"/>
      </w:tblGrid>
      <w:tr>
        <w:tc>
          <w:tcPr>
            <w:tcW w:type="dxa" w:w="10282"/>
            <w:shd w:fill="DDEFF2"/>
            <w:tcBorders>
              <w:top w:val="single" w:sz="9" w:color="1F7A8C"/>
              <w:left w:val="single" w:sz="9" w:color="1F7A8C"/>
              <w:bottom w:val="single" w:sz="9" w:color="1F7A8C"/>
              <w:right w:val="single" w:sz="9" w:color="1F7A8C"/>
            </w:tcBorders>
            <w:tcMar>
              <w:top w:w="110" w:type="dxa"/>
              <w:start w:w="135" w:type="dxa"/>
              <w:bottom w:w="110" w:type="dxa"/>
              <w:end w:w="135" w:type="dxa"/>
            </w:tcMar>
          </w:tcPr>
          <w:p>
            <w:r>
              <w:rPr>
                <w:rFonts w:ascii="Arial" w:hAnsi="Arial"/>
                <w:b/>
                <w:i w:val="0"/>
                <w:color w:val="1F7A8C"/>
                <w:sz w:val="19"/>
              </w:rPr>
              <w:t xml:space="preserve">PURPOSE  </w:t>
            </w:r>
            <w:r>
              <w:rPr>
                <w:rFonts w:ascii="Arial" w:hAnsi="Arial"/>
                <w:b w:val="0"/>
                <w:i w:val="0"/>
                <w:color w:val="24313D"/>
                <w:sz w:val="19"/>
              </w:rPr>
              <w:t>Reset the reasoning sequence before a study session or practice set, especially when several answers sound clinically reasonable.</w:t>
            </w:r>
          </w:p>
        </w:tc>
      </w:tr>
    </w:tbl>
    <w:p>
      <w:pPr>
        <w:pStyle w:val="Heading2"/>
        <w:keepNext/>
      </w:pPr>
      <w:r>
        <w:t>Authoritative Narration</w:t>
      </w:r>
    </w:p>
    <w:p>
      <w:pPr>
        <w:spacing w:after="100"/>
      </w:pPr>
      <w:r>
        <w:rPr>
          <w:rFonts w:ascii="Arial" w:hAnsi="Arial"/>
          <w:b w:val="0"/>
          <w:i w:val="0"/>
          <w:color w:val="24313D"/>
          <w:sz w:val="20"/>
        </w:rPr>
        <w:t>This first track is your reasoning reset. Use it before practice questions, after a discouraging score, or anytime you notice that you are solving the story instead of answering the question. The goal is not to memorize one perfect response. The goal is to identify the task, find the controlling priority, and choose the best-timed action supported by the facts.</w:t>
      </w:r>
    </w:p>
    <w:p>
      <w:pPr>
        <w:spacing w:after="100"/>
        <w:ind w:left="259" w:right="259"/>
      </w:pPr>
      <w:r>
        <w:rPr>
          <w:rFonts w:ascii="Arial" w:hAnsi="Arial"/>
          <w:b/>
          <w:i/>
          <w:color w:val="1F7A8C"/>
          <w:sz w:val="19"/>
        </w:rPr>
        <w:t>Take one slow breath. As you listen, picture a short vignette and practice naming the task and the current stage before you decide what to do next.</w:t>
      </w:r>
    </w:p>
    <w:p>
      <w:pPr>
        <w:spacing w:after="100"/>
      </w:pPr>
      <w:r>
        <w:rPr>
          <w:rFonts w:ascii="Arial" w:hAnsi="Arial"/>
          <w:b w:val="0"/>
          <w:i w:val="0"/>
          <w:color w:val="24313D"/>
          <w:sz w:val="20"/>
        </w:rPr>
        <w:t>Now shift to Workbook 1, Exam Strategy and Clinical Reasoning. The anchor for this topic is Clinical Decision Hierarchy + Three-Pass Method. The workbook sequence is Task  to  Priority  to  Fit  to  Answer. Do not worry about reciting the exact punctuation of the sequence. Use it as a mental path that keeps the case organized and prevents you from jumping to a later-stage answer.</w:t>
      </w:r>
    </w:p>
    <w:p>
      <w:pPr>
        <w:spacing w:after="100"/>
      </w:pPr>
      <w:r>
        <w:rPr>
          <w:rFonts w:ascii="Arial" w:hAnsi="Arial"/>
          <w:b w:val="0"/>
          <w:i w:val="0"/>
          <w:color w:val="24313D"/>
          <w:sz w:val="20"/>
        </w:rPr>
        <w:t>First, Read the final question and qualifier before solving the full vignette. FIRST, NEXT, BEST, and MOST identify different tasks. Second, Use sequence: Emergency → Duty → Role → Assess → Plan → Intervene → Review. Third, Add the LMFT lens: identify the individual, relationship pattern, context, and appropriate treatment unit. Together, these rules tell you what information controls the next decision and what information is merely background.</w:t>
      </w:r>
    </w:p>
    <w:p>
      <w:pPr>
        <w:spacing w:after="100"/>
      </w:pPr>
      <w:r>
        <w:rPr>
          <w:rFonts w:ascii="Arial" w:hAnsi="Arial"/>
          <w:b w:val="0"/>
          <w:i w:val="0"/>
          <w:color w:val="24313D"/>
          <w:sz w:val="20"/>
        </w:rPr>
        <w:t>The first common trap is Choosing the strongest or most sophisticated action instead of the best-timed action. Another trap is Assuming facts, motives, consent, safety, or readiness that the vignette does not provide. A third trap is Forcing conjoint or family treatment when safety, privacy, medical urgency, or individual assessment controls the sequence. Notice that each trap can produce an answer that sounds helpful. The problem is usually timing, evidence, role, context, or intensity.</w:t>
      </w:r>
    </w:p>
    <w:p>
      <w:pPr>
        <w:spacing w:after="100"/>
        <w:ind w:left="259" w:right="259"/>
      </w:pPr>
      <w:r>
        <w:rPr>
          <w:rFonts w:ascii="Arial" w:hAnsi="Arial"/>
          <w:b/>
          <w:i/>
          <w:color w:val="1F7A8C"/>
          <w:sz w:val="19"/>
        </w:rPr>
        <w:t>Pause and answer these questions aloud. What exact task is the question asking? What stage of care is the case in? Which option fits the known facts without adding assumptions? Do not continue until you can answer using only the facts that the vignette actually provides.</w:t>
      </w:r>
    </w:p>
    <w:p>
      <w:pPr>
        <w:spacing w:after="100"/>
      </w:pPr>
      <w:r>
        <w:rPr>
          <w:rFonts w:ascii="Arial" w:hAnsi="Arial"/>
          <w:b w:val="0"/>
          <w:i w:val="0"/>
          <w:color w:val="24313D"/>
          <w:sz w:val="20"/>
        </w:rPr>
        <w:t>Your practice action for this topic is: For each missed item, record the task word, decision stage, overlooked fact, and corrective rule.</w:t>
      </w:r>
    </w:p>
    <w:p>
      <w:pPr>
        <w:spacing w:after="100"/>
      </w:pPr>
      <w:r>
        <w:rPr>
          <w:rFonts w:ascii="Arial" w:hAnsi="Arial"/>
          <w:b w:val="0"/>
          <w:i w:val="0"/>
          <w:color w:val="24313D"/>
          <w:sz w:val="20"/>
        </w:rPr>
        <w:t>Now apply the reasoning to a short scenario.</w:t>
      </w:r>
    </w:p>
    <w:p>
      <w:pPr>
        <w:spacing w:after="100"/>
      </w:pPr>
      <w:r>
        <w:rPr>
          <w:rFonts w:ascii="Arial" w:hAnsi="Arial"/>
          <w:b w:val="0"/>
          <w:i w:val="0"/>
          <w:color w:val="24313D"/>
          <w:sz w:val="20"/>
        </w:rPr>
        <w:t>A couple begins therapy after repeated arguments. One partner says the other has become controlling and has recently blocked the doorway during conflict. The question asks what the therapist should do first. A communication exercise may eventually be useful, and conjoint goal setting may sound collaborative. But the doorway detail creates a decision-critical safety question. The best first response is to assess the nature, frequency, escalation, fear, coercion, and immediate safety implications before choosing a routine couple intervention or assuming conjoint work is appropriate.</w:t>
      </w:r>
    </w:p>
    <w:p>
      <w:pPr>
        <w:spacing w:after="100"/>
        <w:ind w:left="259" w:right="259"/>
      </w:pPr>
      <w:r>
        <w:rPr>
          <w:rFonts w:ascii="Arial" w:hAnsi="Arial"/>
          <w:b/>
          <w:i/>
          <w:color w:val="1F7A8C"/>
          <w:sz w:val="19"/>
        </w:rPr>
        <w:t>Pause. State the controlling priority, the missing fact if one remains, and the best next step. Then explain why the most tempting later-stage answer is premature.</w:t>
      </w:r>
    </w:p>
    <w:p>
      <w:pPr>
        <w:spacing w:after="100"/>
      </w:pPr>
      <w:r>
        <w:rPr>
          <w:rFonts w:ascii="Arial" w:hAnsi="Arial"/>
          <w:b w:val="0"/>
          <w:i w:val="0"/>
          <w:color w:val="24313D"/>
          <w:sz w:val="20"/>
        </w:rPr>
        <w:t>Before you begin the next practice set, say the sequence aloud: task, safety or duty, role, assessment, formulation, plan, intervention, review. Then add the systemic question: what individual, relationship, and contextual pattern is actually maintaining this case?</w:t>
      </w:r>
    </w:p>
    <w:p>
      <w:r>
        <w:br w:type="page"/>
      </w:r>
    </w:p>
    <w:p>
      <w:pPr>
        <w:spacing w:after="0"/>
      </w:pPr>
      <w:r>
        <w:rPr>
          <w:rFonts w:ascii="Arial" w:hAnsi="Arial"/>
          <w:b/>
          <w:i w:val="0"/>
          <w:color w:val="1F7A8C"/>
          <w:sz w:val="20"/>
        </w:rPr>
        <w:t>TRACK 2</w:t>
      </w:r>
    </w:p>
    <w:p>
      <w:pPr>
        <w:pStyle w:val="Heading1"/>
        <w:keepNext/>
      </w:pPr>
      <w:r>
        <w:t>Engagement and Assessment: Intake, Development, and Relational Context</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Workbook coverage</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WB2: Clinical Engagement, Intake, and Mental Status Assessment; WB3: Developmental, Psychosocial, and Diversity Assessment; WB4: Relational, Family-System, Trauma, and Strengths Assessment</w:t>
            </w:r>
          </w:p>
        </w:tc>
      </w:tr>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Recording target</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Approximately 5–15 minutes at a natural coaching pace</w:t>
            </w:r>
          </w:p>
        </w:tc>
      </w:tr>
    </w:tbl>
    <w:tbl>
      <w:tblPr>
        <w:tblW w:type="auto" w:w="0"/>
        <w:jc w:val="center"/>
        <w:tblLayout w:type="fixed"/>
        <w:tblLook w:firstColumn="1" w:firstRow="1" w:lastColumn="0" w:lastRow="0" w:noHBand="0" w:noVBand="1" w:val="04A0"/>
      </w:tblPr>
      <w:tblGrid>
        <w:gridCol w:w="10224"/>
      </w:tblGrid>
      <w:tr>
        <w:tc>
          <w:tcPr>
            <w:tcW w:type="dxa" w:w="10282"/>
            <w:shd w:fill="DDEFF2"/>
            <w:tcBorders>
              <w:top w:val="single" w:sz="9" w:color="1F7A8C"/>
              <w:left w:val="single" w:sz="9" w:color="1F7A8C"/>
              <w:bottom w:val="single" w:sz="9" w:color="1F7A8C"/>
              <w:right w:val="single" w:sz="9" w:color="1F7A8C"/>
            </w:tcBorders>
            <w:tcMar>
              <w:top w:w="110" w:type="dxa"/>
              <w:start w:w="135" w:type="dxa"/>
              <w:bottom w:w="110" w:type="dxa"/>
              <w:end w:w="135" w:type="dxa"/>
            </w:tcMar>
          </w:tcPr>
          <w:p>
            <w:r>
              <w:rPr>
                <w:rFonts w:ascii="Arial" w:hAnsi="Arial"/>
                <w:b/>
                <w:i w:val="0"/>
                <w:color w:val="1F7A8C"/>
                <w:sz w:val="19"/>
              </w:rPr>
              <w:t xml:space="preserve">PURPOSE  </w:t>
            </w:r>
            <w:r>
              <w:rPr>
                <w:rFonts w:ascii="Arial" w:hAnsi="Arial"/>
                <w:b w:val="0"/>
                <w:i w:val="0"/>
                <w:color w:val="24313D"/>
                <w:sz w:val="19"/>
              </w:rPr>
              <w:t>Integrate engagement, the mental status examination, development, culture, trauma, and relational-system assessment without rushing to conclusions.</w:t>
            </w:r>
          </w:p>
        </w:tc>
      </w:tr>
    </w:tbl>
    <w:p>
      <w:pPr>
        <w:pStyle w:val="Heading2"/>
        <w:keepNext/>
      </w:pPr>
      <w:r>
        <w:t>Authoritative Narration</w:t>
      </w:r>
    </w:p>
    <w:p>
      <w:pPr>
        <w:spacing w:after="100"/>
      </w:pPr>
      <w:r>
        <w:rPr>
          <w:rFonts w:ascii="Arial" w:hAnsi="Arial"/>
          <w:b w:val="0"/>
          <w:i w:val="0"/>
          <w:color w:val="24313D"/>
          <w:sz w:val="20"/>
        </w:rPr>
        <w:t>Assessment questions often feel difficult because the vignette gives many details at once. Your job is to organize those details, not react to the most dramatic sentence. In this track, you will connect intake and mental status information with developmental, cultural, trauma, and family-system context. The central rule is simple: observe carefully, clarify what is missing, and let the formulation grow from multiple sources rather than from one person’s interpretation.</w:t>
      </w:r>
    </w:p>
    <w:p>
      <w:pPr>
        <w:spacing w:after="100"/>
        <w:ind w:left="259" w:right="259"/>
      </w:pPr>
      <w:r>
        <w:rPr>
          <w:rFonts w:ascii="Arial" w:hAnsi="Arial"/>
          <w:b/>
          <w:i/>
          <w:color w:val="1F7A8C"/>
          <w:sz w:val="19"/>
        </w:rPr>
        <w:t>Take one slow breath. As you listen, picture a short vignette and practice naming the task and the current stage before you decide what to do next.</w:t>
      </w:r>
    </w:p>
    <w:p>
      <w:pPr>
        <w:spacing w:after="100"/>
      </w:pPr>
      <w:r>
        <w:rPr>
          <w:rFonts w:ascii="Arial" w:hAnsi="Arial"/>
          <w:b w:val="0"/>
          <w:i w:val="0"/>
          <w:color w:val="24313D"/>
          <w:sz w:val="20"/>
        </w:rPr>
        <w:t>Now shift to Workbook 2, Clinical Engagement, Intake, and Mental Status Assessment. The anchor for this topic is Integrated Intake + MSE Snapshot. The workbook sequence is Role • Safety • Baseline • Context • Next Step. Do not worry about reciting the exact punctuation of the sequence. Use it as a mental path that keeps the case organized and prevents you from jumping to a later-stage answer.</w:t>
      </w:r>
    </w:p>
    <w:p>
      <w:pPr>
        <w:spacing w:after="100"/>
      </w:pPr>
      <w:r>
        <w:rPr>
          <w:rFonts w:ascii="Arial" w:hAnsi="Arial"/>
          <w:b w:val="0"/>
          <w:i w:val="0"/>
          <w:color w:val="24313D"/>
          <w:sz w:val="20"/>
        </w:rPr>
        <w:t>First, Engagement and assessment occur together; the relationship itself provides clinical data. Second, Clarify referral source, participants, therapist role, confidentiality frame, and who the client is before deciding what to do. Third, Use the MSE as a current behavioral snapshot: observe, describe, compare with baseline, and consider medical, medication, substance, sleep, and contextual factors. Together, these rules tell you what information controls the next decision and what information is merely background.</w:t>
      </w:r>
    </w:p>
    <w:p>
      <w:pPr>
        <w:spacing w:after="100"/>
      </w:pPr>
      <w:r>
        <w:rPr>
          <w:rFonts w:ascii="Arial" w:hAnsi="Arial"/>
          <w:b w:val="0"/>
          <w:i w:val="0"/>
          <w:color w:val="24313D"/>
          <w:sz w:val="20"/>
        </w:rPr>
        <w:t>The first common trap is Taking sides or treating one participant’s report as the complete truth. Another trap is Converting observations into motives or diagnoses without adequate evidence. A third trap is Ignoring sudden changes, physical signs, medication effects, or substance use that may require medical attention. Notice that each trap can produce an answer that sounds helpful. The problem is usually timing, evidence, role, context, or intensity.</w:t>
      </w:r>
    </w:p>
    <w:p>
      <w:pPr>
        <w:spacing w:after="100"/>
        <w:ind w:left="259" w:right="259"/>
      </w:pPr>
      <w:r>
        <w:rPr>
          <w:rFonts w:ascii="Arial" w:hAnsi="Arial"/>
          <w:b/>
          <w:i/>
          <w:color w:val="1F7A8C"/>
          <w:sz w:val="19"/>
        </w:rPr>
        <w:t>Pause and answer these questions aloud. Who is the client and what is my role? What is observed versus inferred? What changed, when, and what else could explain it? Do not continue until you can answer using only the facts that the vignette actually provides.</w:t>
      </w:r>
    </w:p>
    <w:p>
      <w:pPr>
        <w:spacing w:after="100"/>
      </w:pPr>
      <w:r>
        <w:rPr>
          <w:rFonts w:ascii="Arial" w:hAnsi="Arial"/>
          <w:b w:val="0"/>
          <w:i w:val="0"/>
          <w:color w:val="24313D"/>
          <w:sz w:val="20"/>
        </w:rPr>
        <w:t>Your practice action for this topic is: Practice writing one sentence of observation before one sentence of interpretation.</w:t>
      </w:r>
    </w:p>
    <w:p>
      <w:pPr>
        <w:spacing w:after="100"/>
      </w:pPr>
      <w:r>
        <w:rPr>
          <w:rFonts w:ascii="Arial" w:hAnsi="Arial"/>
          <w:b w:val="0"/>
          <w:i w:val="0"/>
          <w:color w:val="24313D"/>
          <w:sz w:val="20"/>
        </w:rPr>
        <w:t>Now shift to Workbook 3, Developmental, Psychosocial, and Diversity Assessment. The anchor for this topic is Contextual Reasoning Sequence. The workbook sequence is Locate  to  Systems  to  Change  to  Meaning  to  Strengths  to  Pattern  to  Action. Do not worry about reciting the exact punctuation of the sequence. Use it as a mental path that keeps the case organized and prevents you from jumping to a later-stage answer.</w:t>
      </w:r>
    </w:p>
    <w:p>
      <w:pPr>
        <w:spacing w:after="100"/>
      </w:pPr>
      <w:r>
        <w:rPr>
          <w:rFonts w:ascii="Arial" w:hAnsi="Arial"/>
          <w:b w:val="0"/>
          <w:i w:val="0"/>
          <w:color w:val="24313D"/>
          <w:sz w:val="20"/>
        </w:rPr>
        <w:t>First, Locate the client in developmental level, life stage, family life cycle, and recent transitions—not age alone. Second, Ask how culture, identity, trauma, power, access, and systems shape the client’s meaning and options. Third, Assess barriers and protective resources together, then identify the maintaining pattern and next assessment or intervention step. Together, these rules tell you what information controls the next decision and what information is merely background.</w:t>
      </w:r>
    </w:p>
    <w:p>
      <w:pPr>
        <w:spacing w:after="100"/>
      </w:pPr>
      <w:r>
        <w:rPr>
          <w:rFonts w:ascii="Arial" w:hAnsi="Arial"/>
          <w:b w:val="0"/>
          <w:i w:val="0"/>
          <w:color w:val="24313D"/>
          <w:sz w:val="20"/>
        </w:rPr>
        <w:t>The first common trap is Using developmental or cultural stereotypes as explanations. Another trap is Pathologizing difference or treating structural stress as an individual defect. A third trap is Giving advice before understanding the transition, system, and client-defined meaning. Notice that each trap can produce an answer that sounds helpful. The problem is usually timing, evidence, role, context, or intensity.</w:t>
      </w:r>
    </w:p>
    <w:p>
      <w:pPr>
        <w:spacing w:after="100"/>
        <w:ind w:left="259" w:right="259"/>
      </w:pPr>
      <w:r>
        <w:rPr>
          <w:rFonts w:ascii="Arial" w:hAnsi="Arial"/>
          <w:b/>
          <w:i/>
          <w:color w:val="1F7A8C"/>
          <w:sz w:val="19"/>
        </w:rPr>
        <w:t>Pause and answer these questions aloud. What developmental and family transition is occurring? What systems and power conditions matter? What strength or resource can be used clinically? Do not continue until you can answer using only the facts that the vignette actually provides.</w:t>
      </w:r>
    </w:p>
    <w:p>
      <w:pPr>
        <w:spacing w:after="100"/>
      </w:pPr>
      <w:r>
        <w:rPr>
          <w:rFonts w:ascii="Arial" w:hAnsi="Arial"/>
          <w:b w:val="0"/>
          <w:i w:val="0"/>
          <w:color w:val="24313D"/>
          <w:sz w:val="20"/>
        </w:rPr>
        <w:t>Your practice action for this topic is: Build a five-line context map before answering the practice bank.</w:t>
      </w:r>
    </w:p>
    <w:p>
      <w:pPr>
        <w:spacing w:after="100"/>
      </w:pPr>
      <w:r>
        <w:rPr>
          <w:rFonts w:ascii="Arial" w:hAnsi="Arial"/>
          <w:b w:val="0"/>
          <w:i w:val="0"/>
          <w:color w:val="24313D"/>
          <w:sz w:val="20"/>
        </w:rPr>
        <w:t>Now shift to Workbook 4, Relational, Family-System, Trauma, and Strengths Assessment. The anchor for this topic is RELATE Assessment Map. The workbook sequence is Relationships • Emotional Injury • Life System • Aggression • Tools • Existing Strengths. Do not worry about reciting the exact punctuation of the sequence. Use it as a mental path that keeps the case organized and prevents you from jumping to a later-stage answer.</w:t>
      </w:r>
    </w:p>
    <w:p>
      <w:pPr>
        <w:spacing w:after="100"/>
      </w:pPr>
      <w:r>
        <w:rPr>
          <w:rFonts w:ascii="Arial" w:hAnsi="Arial"/>
          <w:b w:val="0"/>
          <w:i w:val="0"/>
          <w:color w:val="24313D"/>
          <w:sz w:val="20"/>
        </w:rPr>
        <w:t>First, Assess relational patterns, boundaries, roles, support, intimacy, trauma, aggression, and protection—not only conflict history. Second, Place a safety and consent gate before detailed trauma, violence, sexuality, or joint disclosure work. Third, Use measures, consultation, and referral only when they answer a specific unresolved clinical question and preserve continuity. Together, these rules tell you what information controls the next decision and what information is merely background.</w:t>
      </w:r>
    </w:p>
    <w:p>
      <w:pPr>
        <w:spacing w:after="100"/>
      </w:pPr>
      <w:r>
        <w:rPr>
          <w:rFonts w:ascii="Arial" w:hAnsi="Arial"/>
          <w:b w:val="0"/>
          <w:i w:val="0"/>
          <w:color w:val="24313D"/>
          <w:sz w:val="20"/>
        </w:rPr>
        <w:t>The first common trap is Treating one person’s account or a screening score as the diagnosis. Another trap is Pressing for detail before safety, pacing, and consent are established. A third trap is Using vague strengths language that does not change the formulation or plan. Notice that each trap can produce an answer that sounds helpful. The problem is usually timing, evidence, role, context, or intensity.</w:t>
      </w:r>
    </w:p>
    <w:p>
      <w:pPr>
        <w:spacing w:after="100"/>
        <w:ind w:left="259" w:right="259"/>
      </w:pPr>
      <w:r>
        <w:rPr>
          <w:rFonts w:ascii="Arial" w:hAnsi="Arial"/>
          <w:b/>
          <w:i/>
          <w:color w:val="1F7A8C"/>
          <w:sz w:val="19"/>
        </w:rPr>
        <w:t>Pause and answer these questions aloud. What pattern and protection are present? What is known, missing, and from which source? Does this tool or referral change the next decision? Do not continue until you can answer using only the facts that the vignette actually provides.</w:t>
      </w:r>
    </w:p>
    <w:p>
      <w:pPr>
        <w:spacing w:after="100"/>
      </w:pPr>
      <w:r>
        <w:rPr>
          <w:rFonts w:ascii="Arial" w:hAnsi="Arial"/>
          <w:b w:val="0"/>
          <w:i w:val="0"/>
          <w:color w:val="24313D"/>
          <w:sz w:val="20"/>
        </w:rPr>
        <w:t>Your practice action for this topic is: Complete a RELATE map with one item in every domain.</w:t>
      </w:r>
    </w:p>
    <w:p>
      <w:pPr>
        <w:spacing w:after="100"/>
      </w:pPr>
      <w:r>
        <w:rPr>
          <w:rFonts w:ascii="Arial" w:hAnsi="Arial"/>
          <w:b w:val="0"/>
          <w:i w:val="0"/>
          <w:color w:val="24313D"/>
          <w:sz w:val="20"/>
        </w:rPr>
        <w:t>Now apply the reasoning to a short scenario.</w:t>
      </w:r>
    </w:p>
    <w:p>
      <w:pPr>
        <w:spacing w:after="100"/>
      </w:pPr>
      <w:r>
        <w:rPr>
          <w:rFonts w:ascii="Arial" w:hAnsi="Arial"/>
          <w:b w:val="0"/>
          <w:i w:val="0"/>
          <w:color w:val="24313D"/>
          <w:sz w:val="20"/>
        </w:rPr>
        <w:t>A parent brings a sixteen-year-old to therapy because of withdrawal, declining grades, and irritability. The parent calls the behavior defiant. The adolescent reports poor sleep, discrimination at school, and fear about a family member’s immigration status. The therapist also notices slowed movement and limited eye contact. The strongest next step is not to accept the parent’s label or immediately diagnose depression. It is to engage the adolescent directly, assess safety and current functioning, clarify the timeline and baseline, explore sleep and medical or substance factors, and understand the developmental, cultural, and family-system context.</w:t>
      </w:r>
    </w:p>
    <w:p>
      <w:pPr>
        <w:spacing w:after="100"/>
        <w:ind w:left="259" w:right="259"/>
      </w:pPr>
      <w:r>
        <w:rPr>
          <w:rFonts w:ascii="Arial" w:hAnsi="Arial"/>
          <w:b/>
          <w:i/>
          <w:color w:val="1F7A8C"/>
          <w:sz w:val="19"/>
        </w:rPr>
        <w:t>Pause. State the controlling priority, the missing fact if one remains, and the best next step. Then explain why the most tempting later-stage answer is premature.</w:t>
      </w:r>
    </w:p>
    <w:p>
      <w:pPr>
        <w:spacing w:after="100"/>
      </w:pPr>
      <w:r>
        <w:rPr>
          <w:rFonts w:ascii="Arial" w:hAnsi="Arial"/>
          <w:b w:val="0"/>
          <w:i w:val="0"/>
          <w:color w:val="24313D"/>
          <w:sz w:val="20"/>
        </w:rPr>
        <w:t>As you review assessment questions, separate observation from inference. Ask who provided each fact, what has changed from baseline, what safety or consent gate applies, and what additional information would actually change the next clinical decision.</w:t>
      </w:r>
    </w:p>
    <w:p>
      <w:r>
        <w:br w:type="page"/>
      </w:r>
    </w:p>
    <w:p>
      <w:pPr>
        <w:spacing w:after="0"/>
      </w:pPr>
      <w:r>
        <w:rPr>
          <w:rFonts w:ascii="Arial" w:hAnsi="Arial"/>
          <w:b/>
          <w:i w:val="0"/>
          <w:color w:val="1F7A8C"/>
          <w:sz w:val="20"/>
        </w:rPr>
        <w:t>TRACK 3</w:t>
      </w:r>
    </w:p>
    <w:p>
      <w:pPr>
        <w:pStyle w:val="Heading1"/>
        <w:keepNext/>
      </w:pPr>
      <w:r>
        <w:t>Diagnosis Without Premature Closure</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Workbook coverage</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WB5: Diagnosis and Differential Diagnosis</w:t>
            </w:r>
          </w:p>
        </w:tc>
      </w:tr>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Recording target</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Approximately 5–15 minutes at a natural coaching pace</w:t>
            </w:r>
          </w:p>
        </w:tc>
      </w:tr>
    </w:tbl>
    <w:tbl>
      <w:tblPr>
        <w:tblW w:type="auto" w:w="0"/>
        <w:jc w:val="center"/>
        <w:tblLayout w:type="fixed"/>
        <w:tblLook w:firstColumn="1" w:firstRow="1" w:lastColumn="0" w:lastRow="0" w:noHBand="0" w:noVBand="1" w:val="04A0"/>
      </w:tblPr>
      <w:tblGrid>
        <w:gridCol w:w="10224"/>
      </w:tblGrid>
      <w:tr>
        <w:tc>
          <w:tcPr>
            <w:tcW w:type="dxa" w:w="10282"/>
            <w:shd w:fill="DDEFF2"/>
            <w:tcBorders>
              <w:top w:val="single" w:sz="9" w:color="1F7A8C"/>
              <w:left w:val="single" w:sz="9" w:color="1F7A8C"/>
              <w:bottom w:val="single" w:sz="9" w:color="1F7A8C"/>
              <w:right w:val="single" w:sz="9" w:color="1F7A8C"/>
            </w:tcBorders>
            <w:tcMar>
              <w:top w:w="110" w:type="dxa"/>
              <w:start w:w="135" w:type="dxa"/>
              <w:bottom w:w="110" w:type="dxa"/>
              <w:end w:w="135" w:type="dxa"/>
            </w:tcMar>
          </w:tcPr>
          <w:p>
            <w:r>
              <w:rPr>
                <w:rFonts w:ascii="Arial" w:hAnsi="Arial"/>
                <w:b/>
                <w:i w:val="0"/>
                <w:color w:val="1F7A8C"/>
                <w:sz w:val="19"/>
              </w:rPr>
              <w:t xml:space="preserve">PURPOSE  </w:t>
            </w:r>
            <w:r>
              <w:rPr>
                <w:rFonts w:ascii="Arial" w:hAnsi="Arial"/>
                <w:b w:val="0"/>
                <w:i w:val="0"/>
                <w:color w:val="24313D"/>
                <w:sz w:val="19"/>
              </w:rPr>
              <w:t>Use pattern, timeline, impairment, exclusions, and competing explanations to select a defensible working diagnosis.</w:t>
            </w:r>
          </w:p>
        </w:tc>
      </w:tr>
    </w:tbl>
    <w:p>
      <w:pPr>
        <w:pStyle w:val="Heading2"/>
        <w:keepNext/>
      </w:pPr>
      <w:r>
        <w:t>Authoritative Narration</w:t>
      </w:r>
    </w:p>
    <w:p>
      <w:pPr>
        <w:spacing w:after="100"/>
      </w:pPr>
      <w:r>
        <w:rPr>
          <w:rFonts w:ascii="Arial" w:hAnsi="Arial"/>
          <w:b w:val="0"/>
          <w:i w:val="0"/>
          <w:color w:val="24313D"/>
          <w:sz w:val="20"/>
        </w:rPr>
        <w:t>Diagnostic questions reward disciplined uncertainty. They do not reward choosing the most severe label or the diagnosis associated with one memorable symptom. A diagnosis is a working conclusion that must fit the pattern, chronology, threshold, impairment, and exclusions. When the evidence is incomplete, the correct answer may be further assessment, medical evaluation, collateral information, or a provisional formulation rather than a definitive diagnosis.</w:t>
      </w:r>
    </w:p>
    <w:p>
      <w:pPr>
        <w:spacing w:after="100"/>
        <w:ind w:left="259" w:right="259"/>
      </w:pPr>
      <w:r>
        <w:rPr>
          <w:rFonts w:ascii="Arial" w:hAnsi="Arial"/>
          <w:b/>
          <w:i/>
          <w:color w:val="1F7A8C"/>
          <w:sz w:val="19"/>
        </w:rPr>
        <w:t>Take one slow breath. As you listen, picture a short vignette and practice naming the task and the current stage before you decide what to do next.</w:t>
      </w:r>
    </w:p>
    <w:p>
      <w:pPr>
        <w:spacing w:after="100"/>
      </w:pPr>
      <w:r>
        <w:rPr>
          <w:rFonts w:ascii="Arial" w:hAnsi="Arial"/>
          <w:b w:val="0"/>
          <w:i w:val="0"/>
          <w:color w:val="24313D"/>
          <w:sz w:val="20"/>
        </w:rPr>
        <w:t>Now shift to Workbook 5, Diagnosis and Differential Diagnosis. The anchor for this topic is Working Diagnostic Formulation. The workbook sequence is Pattern • Timeline • Impact • Exclusions • Alternatives • Status. Do not worry about reciting the exact punctuation of the sequence. Use it as a mental path that keeps the case organized and prevents you from jumping to a later-stage answer.</w:t>
      </w:r>
    </w:p>
    <w:p>
      <w:pPr>
        <w:spacing w:after="100"/>
      </w:pPr>
      <w:r>
        <w:rPr>
          <w:rFonts w:ascii="Arial" w:hAnsi="Arial"/>
          <w:b w:val="0"/>
          <w:i w:val="0"/>
          <w:color w:val="24313D"/>
          <w:sz w:val="20"/>
        </w:rPr>
        <w:t>First, Diagnosis is a working conclusion based on pattern, threshold, chronology, impairment, and exclusions. Second, Rule out medical, neurological, medication, substance, and sleep explanations before locking in a psychiatric diagnosis. Third, Use working, provisional, differential, rule-out, and contextual status language accurately; state only what the evidence supports. Together, these rules tell you what information controls the next decision and what information is merely background.</w:t>
      </w:r>
    </w:p>
    <w:p>
      <w:pPr>
        <w:spacing w:after="100"/>
      </w:pPr>
      <w:r>
        <w:rPr>
          <w:rFonts w:ascii="Arial" w:hAnsi="Arial"/>
          <w:b w:val="0"/>
          <w:i w:val="0"/>
          <w:color w:val="24313D"/>
          <w:sz w:val="20"/>
        </w:rPr>
        <w:t>The first common trap is Diagnosing from one dramatic symptom or selecting the most severe-sounding label. Another trap is Ignoring timeline, baseline, periods of use or abstinence, and competing explanations. A third trap is Making one diagnosis explain relational, cultural, environmental, and comorbid factors that require separate attention. Notice that each trap can produce an answer that sounds helpful. The problem is usually timing, evidence, role, context, or intensity.</w:t>
      </w:r>
    </w:p>
    <w:p>
      <w:pPr>
        <w:spacing w:after="100"/>
        <w:ind w:left="259" w:right="259"/>
      </w:pPr>
      <w:r>
        <w:rPr>
          <w:rFonts w:ascii="Arial" w:hAnsi="Arial"/>
          <w:b/>
          <w:i/>
          <w:color w:val="1F7A8C"/>
          <w:sz w:val="19"/>
        </w:rPr>
        <w:t>Pause and answer these questions aloud. What is the pattern and chronology? What exclusions remain? Is the evidence sufficient to diagnose, gather more, or refer? Do not continue until you can answer using only the facts that the vignette actually provides.</w:t>
      </w:r>
    </w:p>
    <w:p>
      <w:pPr>
        <w:spacing w:after="100"/>
      </w:pPr>
      <w:r>
        <w:rPr>
          <w:rFonts w:ascii="Arial" w:hAnsi="Arial"/>
          <w:b w:val="0"/>
          <w:i w:val="0"/>
          <w:color w:val="24313D"/>
          <w:sz w:val="20"/>
        </w:rPr>
        <w:t>Your practice action for this topic is: Write a one-sentence working formulation plus two competing explanations.</w:t>
      </w:r>
    </w:p>
    <w:p>
      <w:pPr>
        <w:spacing w:after="100"/>
      </w:pPr>
      <w:r>
        <w:rPr>
          <w:rFonts w:ascii="Arial" w:hAnsi="Arial"/>
          <w:b w:val="0"/>
          <w:i w:val="0"/>
          <w:color w:val="24313D"/>
          <w:sz w:val="20"/>
        </w:rPr>
        <w:t>Now apply the reasoning to a short scenario.</w:t>
      </w:r>
    </w:p>
    <w:p>
      <w:pPr>
        <w:spacing w:after="100"/>
      </w:pPr>
      <w:r>
        <w:rPr>
          <w:rFonts w:ascii="Arial" w:hAnsi="Arial"/>
          <w:b w:val="0"/>
          <w:i w:val="0"/>
          <w:color w:val="24313D"/>
          <w:sz w:val="20"/>
        </w:rPr>
        <w:t>An adult client reports two weeks of insomnia, rapid speech, irritability, and impulsive spending after a medication change. The client also reports heavy energy-drink use and an unclear history of similar episodes. A bipolar-spectrum diagnosis is possible, but the timeline and exclusions are not yet clear. The best next step is to assess the medication change, substances and stimulants, sleep pattern, prior episodes, impairment, psychotic symptoms, safety, and medical factors before prematurely closing the differential.</w:t>
      </w:r>
    </w:p>
    <w:p>
      <w:pPr>
        <w:spacing w:after="100"/>
        <w:ind w:left="259" w:right="259"/>
      </w:pPr>
      <w:r>
        <w:rPr>
          <w:rFonts w:ascii="Arial" w:hAnsi="Arial"/>
          <w:b/>
          <w:i/>
          <w:color w:val="1F7A8C"/>
          <w:sz w:val="19"/>
        </w:rPr>
        <w:t>Pause. State the controlling priority, the missing fact if one remains, and the best next step. Then explain why the most tempting later-stage answer is premature.</w:t>
      </w:r>
    </w:p>
    <w:p>
      <w:pPr>
        <w:spacing w:after="100"/>
      </w:pPr>
      <w:r>
        <w:rPr>
          <w:rFonts w:ascii="Arial" w:hAnsi="Arial"/>
          <w:b w:val="0"/>
          <w:i w:val="0"/>
          <w:color w:val="24313D"/>
          <w:sz w:val="20"/>
        </w:rPr>
        <w:t>For each diagnosis question, build a one-sentence working formulation and name at least two competing explanations. Then decide whether the evidence supports diagnosis, further assessment, consultation, or referral.</w:t>
      </w:r>
    </w:p>
    <w:p>
      <w:r>
        <w:br w:type="page"/>
      </w:r>
    </w:p>
    <w:p>
      <w:pPr>
        <w:spacing w:after="0"/>
      </w:pPr>
      <w:r>
        <w:rPr>
          <w:rFonts w:ascii="Arial" w:hAnsi="Arial"/>
          <w:b/>
          <w:i w:val="0"/>
          <w:color w:val="1F7A8C"/>
          <w:sz w:val="20"/>
        </w:rPr>
        <w:t>TRACK 4</w:t>
      </w:r>
    </w:p>
    <w:p>
      <w:pPr>
        <w:pStyle w:val="Heading1"/>
        <w:keepNext/>
      </w:pPr>
      <w:r>
        <w:t>Crisis, Abuse, and Safety Sequencing</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Workbook coverage</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WB6: Crisis, Abuse, and Safety</w:t>
            </w:r>
          </w:p>
        </w:tc>
      </w:tr>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Recording target</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Approximately 5–15 minutes at a natural coaching pace</w:t>
            </w:r>
          </w:p>
        </w:tc>
      </w:tr>
    </w:tbl>
    <w:tbl>
      <w:tblPr>
        <w:tblW w:type="auto" w:w="0"/>
        <w:jc w:val="center"/>
        <w:tblLayout w:type="fixed"/>
        <w:tblLook w:firstColumn="1" w:firstRow="1" w:lastColumn="0" w:lastRow="0" w:noHBand="0" w:noVBand="1" w:val="04A0"/>
      </w:tblPr>
      <w:tblGrid>
        <w:gridCol w:w="10224"/>
      </w:tblGrid>
      <w:tr>
        <w:tc>
          <w:tcPr>
            <w:tcW w:type="dxa" w:w="10282"/>
            <w:shd w:fill="DDEFF2"/>
            <w:tcBorders>
              <w:top w:val="single" w:sz="9" w:color="1F7A8C"/>
              <w:left w:val="single" w:sz="9" w:color="1F7A8C"/>
              <w:bottom w:val="single" w:sz="9" w:color="1F7A8C"/>
              <w:right w:val="single" w:sz="9" w:color="1F7A8C"/>
            </w:tcBorders>
            <w:tcMar>
              <w:top w:w="110" w:type="dxa"/>
              <w:start w:w="135" w:type="dxa"/>
              <w:bottom w:w="110" w:type="dxa"/>
              <w:end w:w="135" w:type="dxa"/>
            </w:tcMar>
          </w:tcPr>
          <w:p>
            <w:r>
              <w:rPr>
                <w:rFonts w:ascii="Arial" w:hAnsi="Arial"/>
                <w:b/>
                <w:i w:val="0"/>
                <w:color w:val="1F7A8C"/>
                <w:sz w:val="19"/>
              </w:rPr>
              <w:t xml:space="preserve">PURPOSE  </w:t>
            </w:r>
            <w:r>
              <w:rPr>
                <w:rFonts w:ascii="Arial" w:hAnsi="Arial"/>
                <w:b w:val="0"/>
                <w:i w:val="0"/>
                <w:color w:val="24313D"/>
                <w:sz w:val="19"/>
              </w:rPr>
              <w:t>Move from vague risk language to direct assessment, proportionate protection, documentation, and continuity.</w:t>
            </w:r>
          </w:p>
        </w:tc>
      </w:tr>
    </w:tbl>
    <w:p>
      <w:pPr>
        <w:pStyle w:val="Heading2"/>
        <w:keepNext/>
      </w:pPr>
      <w:r>
        <w:t>Authoritative Narration</w:t>
      </w:r>
    </w:p>
    <w:p>
      <w:pPr>
        <w:spacing w:after="100"/>
      </w:pPr>
      <w:r>
        <w:rPr>
          <w:rFonts w:ascii="Arial" w:hAnsi="Arial"/>
          <w:b w:val="0"/>
          <w:i w:val="0"/>
          <w:color w:val="24313D"/>
          <w:sz w:val="20"/>
        </w:rPr>
        <w:t>Crisis questions become manageable when you stop asking whether the client is generally high risk and start asking which specific facts control the next step. Direct assessment is not the same as automatic hospitalization. A reportable concern is not the same as a fully investigated conclusion. The exam is looking for a proportionate sequence: stabilize what is immediately unstable, assess the missing decision-critical facts, act when a duty or danger is established, and document the rationale and follow-up.</w:t>
      </w:r>
    </w:p>
    <w:p>
      <w:pPr>
        <w:spacing w:after="100"/>
        <w:ind w:left="259" w:right="259"/>
      </w:pPr>
      <w:r>
        <w:rPr>
          <w:rFonts w:ascii="Arial" w:hAnsi="Arial"/>
          <w:b/>
          <w:i/>
          <w:color w:val="1F7A8C"/>
          <w:sz w:val="19"/>
        </w:rPr>
        <w:t>Take one slow breath. As you listen, picture a short vignette and practice naming the task and the current stage before you decide what to do next.</w:t>
      </w:r>
    </w:p>
    <w:p>
      <w:pPr>
        <w:spacing w:after="100"/>
      </w:pPr>
      <w:r>
        <w:rPr>
          <w:rFonts w:ascii="Arial" w:hAnsi="Arial"/>
          <w:b w:val="0"/>
          <w:i w:val="0"/>
          <w:color w:val="24313D"/>
          <w:sz w:val="20"/>
        </w:rPr>
        <w:t>Now shift to Workbook 6, Crisis, Abuse, and Safety. The anchor for this topic is SAFER Crisis Sequence. The workbook sequence is Stabilize • Assess • Formulate • Execute • Record/Reconnect. Do not worry about reciting the exact punctuation of the sequence. Use it as a mental path that keeps the case organized and prevents you from jumping to a later-stage answer.</w:t>
      </w:r>
    </w:p>
    <w:p>
      <w:pPr>
        <w:spacing w:after="100"/>
      </w:pPr>
      <w:r>
        <w:rPr>
          <w:rFonts w:ascii="Arial" w:hAnsi="Arial"/>
          <w:b w:val="0"/>
          <w:i w:val="0"/>
          <w:color w:val="24313D"/>
          <w:sz w:val="20"/>
        </w:rPr>
        <w:t>First, When risk is incomplete, assess directly; when danger or a duty is established, act proportionately. Second, Move from labels to specific facts: intent, plan, means, timing, history, protective factors, location, access, and reachability. Third, Recognize when the controlling issue is medical, legal/reporting, relational, or level of care, then create a plan that can actually be used. Together, these rules tell you what information controls the next decision and what information is merely background.</w:t>
      </w:r>
    </w:p>
    <w:p>
      <w:pPr>
        <w:spacing w:after="100"/>
      </w:pPr>
      <w:r>
        <w:rPr>
          <w:rFonts w:ascii="Arial" w:hAnsi="Arial"/>
          <w:b w:val="0"/>
          <w:i w:val="0"/>
          <w:color w:val="24313D"/>
          <w:sz w:val="20"/>
        </w:rPr>
        <w:t>The first common trap is Substituting reassurance, a safety contract, or a generic resource list for direct assessment. Another trap is Using the most restrictive response before acuity, capacity, and feasible alternatives are considered. A third trap is Failing to document rationale, handoff, and follow-up after the immediate action. Notice that each trap can produce an answer that sounds helpful. The problem is usually timing, evidence, role, context, or intensity.</w:t>
      </w:r>
    </w:p>
    <w:p>
      <w:pPr>
        <w:spacing w:after="100"/>
        <w:ind w:left="259" w:right="259"/>
      </w:pPr>
      <w:r>
        <w:rPr>
          <w:rFonts w:ascii="Arial" w:hAnsi="Arial"/>
          <w:b/>
          <w:i/>
          <w:color w:val="1F7A8C"/>
          <w:sz w:val="19"/>
        </w:rPr>
        <w:t>Pause and answer these questions aloud. What immediate signal requires clarification? What facts determine acuity and duty? Is the plan reachable, realistic, and followed up? Do not continue until you can answer using only the facts that the vignette actually provides.</w:t>
      </w:r>
    </w:p>
    <w:p>
      <w:pPr>
        <w:spacing w:after="100"/>
      </w:pPr>
      <w:r>
        <w:rPr>
          <w:rFonts w:ascii="Arial" w:hAnsi="Arial"/>
          <w:b w:val="0"/>
          <w:i w:val="0"/>
          <w:color w:val="24313D"/>
          <w:sz w:val="20"/>
        </w:rPr>
        <w:t>Your practice action for this topic is: Practice stating the next two questions you would ask before naming an intervention.</w:t>
      </w:r>
    </w:p>
    <w:p>
      <w:pPr>
        <w:spacing w:after="100"/>
      </w:pPr>
      <w:r>
        <w:rPr>
          <w:rFonts w:ascii="Arial" w:hAnsi="Arial"/>
          <w:b w:val="0"/>
          <w:i w:val="0"/>
          <w:color w:val="24313D"/>
          <w:sz w:val="20"/>
        </w:rPr>
        <w:t>Now apply the reasoning to a short scenario.</w:t>
      </w:r>
    </w:p>
    <w:p>
      <w:pPr>
        <w:spacing w:after="100"/>
      </w:pPr>
      <w:r>
        <w:rPr>
          <w:rFonts w:ascii="Arial" w:hAnsi="Arial"/>
          <w:b w:val="0"/>
          <w:i w:val="0"/>
          <w:color w:val="24313D"/>
          <w:sz w:val="20"/>
        </w:rPr>
        <w:t>During a telehealth session, a client says, “Everyone would be better off without me,” then the video freezes. The therapist knows the client recently moved but does not have the current address. The next action is not to continue routine exploration as though the connection is intact, and it is not to assume imminent intent from one statement. The therapist should attempt immediate reconnection, assess suicidal intent, plan, means, timing, protective factors, and current location, and activate the appropriate emergency or support response if the risk cannot be safely managed.</w:t>
      </w:r>
    </w:p>
    <w:p>
      <w:pPr>
        <w:spacing w:after="100"/>
        <w:ind w:left="259" w:right="259"/>
      </w:pPr>
      <w:r>
        <w:rPr>
          <w:rFonts w:ascii="Arial" w:hAnsi="Arial"/>
          <w:b/>
          <w:i/>
          <w:color w:val="1F7A8C"/>
          <w:sz w:val="19"/>
        </w:rPr>
        <w:t>Pause. State the controlling priority, the missing fact if one remains, and the best next step. Then explain why the most tempting later-stage answer is premature.</w:t>
      </w:r>
    </w:p>
    <w:p>
      <w:pPr>
        <w:spacing w:after="100"/>
      </w:pPr>
      <w:r>
        <w:rPr>
          <w:rFonts w:ascii="Arial" w:hAnsi="Arial"/>
          <w:b w:val="0"/>
          <w:i w:val="0"/>
          <w:color w:val="24313D"/>
          <w:sz w:val="20"/>
        </w:rPr>
        <w:t>Practice naming the next two questions you would ask before naming an intervention. Then add the operational details: location, access, responsibility, handoff, documentation, and follow-up.</w:t>
      </w:r>
    </w:p>
    <w:p>
      <w:r>
        <w:br w:type="page"/>
      </w:r>
    </w:p>
    <w:p>
      <w:pPr>
        <w:spacing w:after="0"/>
      </w:pPr>
      <w:r>
        <w:rPr>
          <w:rFonts w:ascii="Arial" w:hAnsi="Arial"/>
          <w:b/>
          <w:i w:val="0"/>
          <w:color w:val="1F7A8C"/>
          <w:sz w:val="20"/>
        </w:rPr>
        <w:t>TRACK 5</w:t>
      </w:r>
    </w:p>
    <w:p>
      <w:pPr>
        <w:pStyle w:val="Heading1"/>
        <w:keepNext/>
      </w:pPr>
      <w:r>
        <w:t>Planning, Progress, and Termination</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Workbook coverage</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WB7: Planning, Progress, and Termination</w:t>
            </w:r>
          </w:p>
        </w:tc>
      </w:tr>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Recording target</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Approximately 5–15 minutes at a natural coaching pace</w:t>
            </w:r>
          </w:p>
        </w:tc>
      </w:tr>
    </w:tbl>
    <w:tbl>
      <w:tblPr>
        <w:tblW w:type="auto" w:w="0"/>
        <w:jc w:val="center"/>
        <w:tblLayout w:type="fixed"/>
        <w:tblLook w:firstColumn="1" w:firstRow="1" w:lastColumn="0" w:lastRow="0" w:noHBand="0" w:noVBand="1" w:val="04A0"/>
      </w:tblPr>
      <w:tblGrid>
        <w:gridCol w:w="10224"/>
      </w:tblGrid>
      <w:tr>
        <w:tc>
          <w:tcPr>
            <w:tcW w:type="dxa" w:w="10282"/>
            <w:shd w:fill="DDEFF2"/>
            <w:tcBorders>
              <w:top w:val="single" w:sz="9" w:color="1F7A8C"/>
              <w:left w:val="single" w:sz="9" w:color="1F7A8C"/>
              <w:bottom w:val="single" w:sz="9" w:color="1F7A8C"/>
              <w:right w:val="single" w:sz="9" w:color="1F7A8C"/>
            </w:tcBorders>
            <w:tcMar>
              <w:top w:w="110" w:type="dxa"/>
              <w:start w:w="135" w:type="dxa"/>
              <w:bottom w:w="110" w:type="dxa"/>
              <w:end w:w="135" w:type="dxa"/>
            </w:tcMar>
          </w:tcPr>
          <w:p>
            <w:r>
              <w:rPr>
                <w:rFonts w:ascii="Arial" w:hAnsi="Arial"/>
                <w:b/>
                <w:i w:val="0"/>
                <w:color w:val="1F7A8C"/>
                <w:sz w:val="19"/>
              </w:rPr>
              <w:t xml:space="preserve">PURPOSE  </w:t>
            </w:r>
            <w:r>
              <w:rPr>
                <w:rFonts w:ascii="Arial" w:hAnsi="Arial"/>
                <w:b w:val="0"/>
                <w:i w:val="0"/>
                <w:color w:val="24313D"/>
                <w:sz w:val="19"/>
              </w:rPr>
              <w:t>Translate assessment findings into collaborative goals, measurable actions, progress review, revision, and planned endings.</w:t>
            </w:r>
          </w:p>
        </w:tc>
      </w:tr>
    </w:tbl>
    <w:p>
      <w:pPr>
        <w:pStyle w:val="Heading2"/>
        <w:keepNext/>
      </w:pPr>
      <w:r>
        <w:t>Authoritative Narration</w:t>
      </w:r>
    </w:p>
    <w:p>
      <w:pPr>
        <w:spacing w:after="100"/>
      </w:pPr>
      <w:r>
        <w:rPr>
          <w:rFonts w:ascii="Arial" w:hAnsi="Arial"/>
          <w:b w:val="0"/>
          <w:i w:val="0"/>
          <w:color w:val="24313D"/>
          <w:sz w:val="20"/>
        </w:rPr>
        <w:t>A treatment plan is not a list of techniques. It is a defensible chain from assessment to formulation, goal, action, measure, and review. Planning questions often include a tempting intervention that may be effective in general but is not clearly connected to the stated problem or maintaining pattern. The better answer is the one that fits the formulation, the treatment unit, the client’s priorities, and the current stage of care.</w:t>
      </w:r>
    </w:p>
    <w:p>
      <w:pPr>
        <w:spacing w:after="100"/>
        <w:ind w:left="259" w:right="259"/>
      </w:pPr>
      <w:r>
        <w:rPr>
          <w:rFonts w:ascii="Arial" w:hAnsi="Arial"/>
          <w:b/>
          <w:i/>
          <w:color w:val="1F7A8C"/>
          <w:sz w:val="19"/>
        </w:rPr>
        <w:t>Take one slow breath. As you listen, picture a short vignette and practice naming the task and the current stage before you decide what to do next.</w:t>
      </w:r>
    </w:p>
    <w:p>
      <w:pPr>
        <w:spacing w:after="100"/>
      </w:pPr>
      <w:r>
        <w:rPr>
          <w:rFonts w:ascii="Arial" w:hAnsi="Arial"/>
          <w:b w:val="0"/>
          <w:i w:val="0"/>
          <w:color w:val="24313D"/>
          <w:sz w:val="20"/>
        </w:rPr>
        <w:t>Now shift to Workbook 7, Planning, Progress, and Termination. The anchor for this topic is PLAN-ER + CLOSE. The workbook sequence is Prioritize • Link • Agree • Name • Evaluate • Revise. Do not worry about reciting the exact punctuation of the sequence. Use it as a mental path that keeps the case organized and prevents you from jumping to a later-stage answer.</w:t>
      </w:r>
    </w:p>
    <w:p>
      <w:pPr>
        <w:spacing w:after="100"/>
      </w:pPr>
      <w:r>
        <w:rPr>
          <w:rFonts w:ascii="Arial" w:hAnsi="Arial"/>
          <w:b w:val="0"/>
          <w:i w:val="0"/>
          <w:color w:val="24313D"/>
          <w:sz w:val="20"/>
        </w:rPr>
        <w:t>First, Create a defensible chain: assessment finding → formulation → goal → action → measure → review. Second, Goals must be collaborative, specific enough to recognize progress, and linked to the maintaining pattern and treatment unit. Third, Use CLOSE for transitions: Confirm, Look, Organize, Summarize, End; plan continuity and relapse prevention rather than ending abruptly. Together, these rules tell you what information controls the next decision and what information is merely background.</w:t>
      </w:r>
    </w:p>
    <w:p>
      <w:pPr>
        <w:spacing w:after="100"/>
      </w:pPr>
      <w:r>
        <w:rPr>
          <w:rFonts w:ascii="Arial" w:hAnsi="Arial"/>
          <w:b w:val="0"/>
          <w:i w:val="0"/>
          <w:color w:val="24313D"/>
          <w:sz w:val="20"/>
        </w:rPr>
        <w:t>The first common trap is Writing broad goals that cannot be measured or tied to a formulation. Another trap is Choosing a modality or level of care because it is familiar rather than because it fits the target. A third trap is Blaming the client for limited progress before reassessing diagnosis, alliance, access, implementation, intensity, or treatment unit. Notice that each trap can produce an answer that sounds helpful. The problem is usually timing, evidence, role, context, or intensity.</w:t>
      </w:r>
    </w:p>
    <w:p>
      <w:pPr>
        <w:spacing w:after="100"/>
        <w:ind w:left="259" w:right="259"/>
      </w:pPr>
      <w:r>
        <w:rPr>
          <w:rFonts w:ascii="Arial" w:hAnsi="Arial"/>
          <w:b/>
          <w:i/>
          <w:color w:val="1F7A8C"/>
          <w:sz w:val="19"/>
        </w:rPr>
        <w:t>Pause and answer these questions aloud. What priority is the plan addressing? How does the action link to the formulation? What measure and review point make revision possible? Do not continue until you can answer using only the facts that the vignette actually provides.</w:t>
      </w:r>
    </w:p>
    <w:p>
      <w:pPr>
        <w:spacing w:after="100"/>
      </w:pPr>
      <w:r>
        <w:rPr>
          <w:rFonts w:ascii="Arial" w:hAnsi="Arial"/>
          <w:b w:val="0"/>
          <w:i w:val="0"/>
          <w:color w:val="24313D"/>
          <w:sz w:val="20"/>
        </w:rPr>
        <w:t>Your practice action for this topic is: Rewrite one vague goal into a measurable clinical or relational goal.</w:t>
      </w:r>
    </w:p>
    <w:p>
      <w:pPr>
        <w:spacing w:after="100"/>
      </w:pPr>
      <w:r>
        <w:rPr>
          <w:rFonts w:ascii="Arial" w:hAnsi="Arial"/>
          <w:b w:val="0"/>
          <w:i w:val="0"/>
          <w:color w:val="24313D"/>
          <w:sz w:val="20"/>
        </w:rPr>
        <w:t>Now apply the reasoning to a short scenario.</w:t>
      </w:r>
    </w:p>
    <w:p>
      <w:pPr>
        <w:spacing w:after="100"/>
      </w:pPr>
      <w:r>
        <w:rPr>
          <w:rFonts w:ascii="Arial" w:hAnsi="Arial"/>
          <w:b w:val="0"/>
          <w:i w:val="0"/>
          <w:color w:val="24313D"/>
          <w:sz w:val="20"/>
        </w:rPr>
        <w:t>A family has attended six sessions for escalating conflict around a young adult’s return home. The therapist has used communication skills, but attendance is inconsistent and the family reports little change. The next step is not simply to add another technique. The therapist should revisit the formulation, clarify shared and individual goals, examine barriers to attendance and implementation, identify the maintaining interaction pattern, choose a measurable target, and agree on how progress will be reviewed.</w:t>
      </w:r>
    </w:p>
    <w:p>
      <w:pPr>
        <w:spacing w:after="100"/>
        <w:ind w:left="259" w:right="259"/>
      </w:pPr>
      <w:r>
        <w:rPr>
          <w:rFonts w:ascii="Arial" w:hAnsi="Arial"/>
          <w:b/>
          <w:i/>
          <w:color w:val="1F7A8C"/>
          <w:sz w:val="19"/>
        </w:rPr>
        <w:t>Pause. State the controlling priority, the missing fact if one remains, and the best next step. Then explain why the most tempting later-stage answer is premature.</w:t>
      </w:r>
    </w:p>
    <w:p>
      <w:pPr>
        <w:spacing w:after="100"/>
      </w:pPr>
      <w:r>
        <w:rPr>
          <w:rFonts w:ascii="Arial" w:hAnsi="Arial"/>
          <w:b w:val="0"/>
          <w:i w:val="0"/>
          <w:color w:val="24313D"/>
          <w:sz w:val="20"/>
        </w:rPr>
        <w:t>When you study planning questions, rewrite vague goals into observable outcomes. When you study termination questions, look for continuity, relapse prevention, referrals when needed, review of gains, and a clear ending rather than abrupt discharge.</w:t>
      </w:r>
    </w:p>
    <w:p>
      <w:r>
        <w:br w:type="page"/>
      </w:r>
    </w:p>
    <w:p>
      <w:pPr>
        <w:spacing w:after="0"/>
      </w:pPr>
      <w:r>
        <w:rPr>
          <w:rFonts w:ascii="Arial" w:hAnsi="Arial"/>
          <w:b/>
          <w:i w:val="0"/>
          <w:color w:val="1F7A8C"/>
          <w:sz w:val="20"/>
        </w:rPr>
        <w:t>TRACK 6</w:t>
      </w:r>
    </w:p>
    <w:p>
      <w:pPr>
        <w:pStyle w:val="Heading1"/>
        <w:keepNext/>
      </w:pPr>
      <w:r>
        <w:t>Choosing Relational, Trauma-Informed, and Contextual Interventions</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Workbook coverage</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WB8: Family, Couple, Attachment, and Relational Interventions; WB9: Trauma, Psychological, Behavioral, and Recovery Interventions; WB10: Developmental, Cultural, and Contextual Interventions</w:t>
            </w:r>
          </w:p>
        </w:tc>
      </w:tr>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Recording target</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Approximately 5–15 minutes at a natural coaching pace</w:t>
            </w:r>
          </w:p>
        </w:tc>
      </w:tr>
    </w:tbl>
    <w:tbl>
      <w:tblPr>
        <w:tblW w:type="auto" w:w="0"/>
        <w:jc w:val="center"/>
        <w:tblLayout w:type="fixed"/>
        <w:tblLook w:firstColumn="1" w:firstRow="1" w:lastColumn="0" w:lastRow="0" w:noHBand="0" w:noVBand="1" w:val="04A0"/>
      </w:tblPr>
      <w:tblGrid>
        <w:gridCol w:w="10224"/>
      </w:tblGrid>
      <w:tr>
        <w:tc>
          <w:tcPr>
            <w:tcW w:type="dxa" w:w="10282"/>
            <w:shd w:fill="DDEFF2"/>
            <w:tcBorders>
              <w:top w:val="single" w:sz="9" w:color="1F7A8C"/>
              <w:left w:val="single" w:sz="9" w:color="1F7A8C"/>
              <w:bottom w:val="single" w:sz="9" w:color="1F7A8C"/>
              <w:right w:val="single" w:sz="9" w:color="1F7A8C"/>
            </w:tcBorders>
            <w:tcMar>
              <w:top w:w="110" w:type="dxa"/>
              <w:start w:w="135" w:type="dxa"/>
              <w:bottom w:w="110" w:type="dxa"/>
              <w:end w:w="135" w:type="dxa"/>
            </w:tcMar>
          </w:tcPr>
          <w:p>
            <w:r>
              <w:rPr>
                <w:rFonts w:ascii="Arial" w:hAnsi="Arial"/>
                <w:b/>
                <w:i w:val="0"/>
                <w:color w:val="1F7A8C"/>
                <w:sz w:val="19"/>
              </w:rPr>
              <w:t xml:space="preserve">PURPOSE  </w:t>
            </w:r>
            <w:r>
              <w:rPr>
                <w:rFonts w:ascii="Arial" w:hAnsi="Arial"/>
                <w:b w:val="0"/>
                <w:i w:val="0"/>
                <w:color w:val="24313D"/>
                <w:sz w:val="19"/>
              </w:rPr>
              <w:t>Match treatment unit, modality, intensity, and technique to the maintaining pattern, safety conditions, development, culture, access, and response.</w:t>
            </w:r>
          </w:p>
        </w:tc>
      </w:tr>
    </w:tbl>
    <w:p>
      <w:pPr>
        <w:pStyle w:val="Heading2"/>
        <w:keepNext/>
      </w:pPr>
      <w:r>
        <w:t>Authoritative Narration</w:t>
      </w:r>
    </w:p>
    <w:p>
      <w:pPr>
        <w:spacing w:after="100"/>
      </w:pPr>
      <w:r>
        <w:rPr>
          <w:rFonts w:ascii="Arial" w:hAnsi="Arial"/>
          <w:b w:val="0"/>
          <w:i w:val="0"/>
          <w:color w:val="24313D"/>
          <w:sz w:val="20"/>
        </w:rPr>
        <w:t>Intervention questions often include several evidence-informed options. The exam is rarely asking which technique is globally best. It is asking which intervention fits this client, this system, this target, this stage, and these safety and access conditions. Begin with the formulation. Then choose the smallest effective safe treatment unit and the least unnecessarily intensive response that can address the maintaining process.</w:t>
      </w:r>
    </w:p>
    <w:p>
      <w:pPr>
        <w:spacing w:after="100"/>
        <w:ind w:left="259" w:right="259"/>
      </w:pPr>
      <w:r>
        <w:rPr>
          <w:rFonts w:ascii="Arial" w:hAnsi="Arial"/>
          <w:b/>
          <w:i/>
          <w:color w:val="1F7A8C"/>
          <w:sz w:val="19"/>
        </w:rPr>
        <w:t>Take one slow breath. As you listen, picture a short vignette and practice naming the task and the current stage before you decide what to do next.</w:t>
      </w:r>
    </w:p>
    <w:p>
      <w:pPr>
        <w:spacing w:after="100"/>
      </w:pPr>
      <w:r>
        <w:rPr>
          <w:rFonts w:ascii="Arial" w:hAnsi="Arial"/>
          <w:b w:val="0"/>
          <w:i w:val="0"/>
          <w:color w:val="24313D"/>
          <w:sz w:val="20"/>
        </w:rPr>
        <w:t>Now shift to Workbook 8, Family, Couple, Attachment, and Relational Interventions. The anchor for this topic is SYSTEM Treatment-Frame Sequence. The workbook sequence is Safety  to  Who  to  Shared Goal  to  Role  to  Information  to  Access  to  Follow-Up. Do not worry about reciting the exact punctuation of the sequence. Use it as a mental path that keeps the case organized and prevents you from jumping to a later-stage answer.</w:t>
      </w:r>
    </w:p>
    <w:p>
      <w:pPr>
        <w:spacing w:after="100"/>
      </w:pPr>
      <w:r>
        <w:rPr>
          <w:rFonts w:ascii="Arial" w:hAnsi="Arial"/>
          <w:b w:val="0"/>
          <w:i w:val="0"/>
          <w:color w:val="24313D"/>
          <w:sz w:val="20"/>
        </w:rPr>
        <w:t>First, Choose the smallest effective safe system; more participants do not automatically create better care. Second, Sequence relational work: safety, alliance, formulation, goals/unit, reorganization, and review. Third, Target the maintaining process—cycle, boundary, hierarchy, role, attachment response, or transition—then match the modality and stage. Together, these rules tell you what information controls the next decision and what information is merely background.</w:t>
      </w:r>
    </w:p>
    <w:p>
      <w:pPr>
        <w:spacing w:after="100"/>
      </w:pPr>
      <w:r>
        <w:rPr>
          <w:rFonts w:ascii="Arial" w:hAnsi="Arial"/>
          <w:b w:val="0"/>
          <w:i w:val="0"/>
          <w:color w:val="24313D"/>
          <w:sz w:val="20"/>
        </w:rPr>
        <w:t>The first common trap is Beginning conjoint work when coercion, retaliation, privacy, or voluntariness is unresolved. Another trap is Aligning with one participant or placing a child between adults. A third trap is Referring to a group or specialist without screening fit, clarifying purpose, and preserving continuity. Notice that each trap can produce an answer that sounds helpful. The problem is usually timing, evidence, role, context, or intensity.</w:t>
      </w:r>
    </w:p>
    <w:p>
      <w:pPr>
        <w:spacing w:after="100"/>
        <w:ind w:left="259" w:right="259"/>
      </w:pPr>
      <w:r>
        <w:rPr>
          <w:rFonts w:ascii="Arial" w:hAnsi="Arial"/>
          <w:b/>
          <w:i/>
          <w:color w:val="1F7A8C"/>
          <w:sz w:val="19"/>
        </w:rPr>
        <w:t>Pause and answer these questions aloud. Who should participate and why? What maintaining relational process is the target? What safety, consent, access, and follow-up conditions are required? Do not continue until you can answer using only the facts that the vignette actually provides.</w:t>
      </w:r>
    </w:p>
    <w:p>
      <w:pPr>
        <w:spacing w:after="100"/>
      </w:pPr>
      <w:r>
        <w:rPr>
          <w:rFonts w:ascii="Arial" w:hAnsi="Arial"/>
          <w:b w:val="0"/>
          <w:i w:val="0"/>
          <w:color w:val="24313D"/>
          <w:sz w:val="20"/>
        </w:rPr>
        <w:t>Your practice action for this topic is: Draw the interaction cycle and mark the exact point the intervention should change.</w:t>
      </w:r>
    </w:p>
    <w:p>
      <w:pPr>
        <w:spacing w:after="100"/>
      </w:pPr>
      <w:r>
        <w:rPr>
          <w:rFonts w:ascii="Arial" w:hAnsi="Arial"/>
          <w:b w:val="0"/>
          <w:i w:val="0"/>
          <w:color w:val="24313D"/>
          <w:sz w:val="20"/>
        </w:rPr>
        <w:t>Now shift to Workbook 9, Trauma, Psychological, Behavioral, and Recovery Interventions. The anchor for this topic is FITS Intervention Selection. The workbook sequence is Formulation • Immediacy • Target • Suitability • Response Check. Do not worry about reciting the exact punctuation of the sequence. Use it as a mental path that keeps the case organized and prevents you from jumping to a later-stage answer.</w:t>
      </w:r>
    </w:p>
    <w:p>
      <w:pPr>
        <w:spacing w:after="100"/>
      </w:pPr>
      <w:r>
        <w:rPr>
          <w:rFonts w:ascii="Arial" w:hAnsi="Arial"/>
          <w:b w:val="0"/>
          <w:i w:val="0"/>
          <w:color w:val="24313D"/>
          <w:sz w:val="20"/>
        </w:rPr>
        <w:t>First, Select the intervention because of the formulation, urgency, target, client/system fit, and measurable response—not the technique name. Second, Match methods to maintaining mechanisms such as avoidance, reinforcement, dysregulation, ambivalence, grief, or reassurance cycles. Third, Adapt for development, relationships, recovery stage, culture, access, and medical risk; reassess before adding more techniques. Together, these rules tell you what information controls the next decision and what information is merely background.</w:t>
      </w:r>
    </w:p>
    <w:p>
      <w:pPr>
        <w:spacing w:after="100"/>
      </w:pPr>
      <w:r>
        <w:rPr>
          <w:rFonts w:ascii="Arial" w:hAnsi="Arial"/>
          <w:b w:val="0"/>
          <w:i w:val="0"/>
          <w:color w:val="24313D"/>
          <w:sz w:val="20"/>
        </w:rPr>
        <w:t>The first common trap is Beginning trauma processing during instability or severe dysregulation. Another trap is Confronting ambivalence or using conjoint work automatically when safety or readiness is unresolved. A third trap is Technique-shopping after nonresponse instead of reassessing diagnosis, alliance, implementation, intensity, access, and treatment unit. Notice that each trap can produce an answer that sounds helpful. The problem is usually timing, evidence, role, context, or intensity.</w:t>
      </w:r>
    </w:p>
    <w:p>
      <w:pPr>
        <w:spacing w:after="100"/>
        <w:ind w:left="259" w:right="259"/>
      </w:pPr>
      <w:r>
        <w:rPr>
          <w:rFonts w:ascii="Arial" w:hAnsi="Arial"/>
          <w:b/>
          <w:i/>
          <w:color w:val="1F7A8C"/>
          <w:sz w:val="19"/>
        </w:rPr>
        <w:t>Pause and answer these questions aloud. What mechanism maintains the problem? What is urgent before the target intervention? How will response be measured and reviewed? Do not continue until you can answer using only the facts that the vignette actually provides.</w:t>
      </w:r>
    </w:p>
    <w:p>
      <w:pPr>
        <w:spacing w:after="100"/>
      </w:pPr>
      <w:r>
        <w:rPr>
          <w:rFonts w:ascii="Arial" w:hAnsi="Arial"/>
          <w:b w:val="0"/>
          <w:i w:val="0"/>
          <w:color w:val="24313D"/>
          <w:sz w:val="20"/>
        </w:rPr>
        <w:t>Your practice action for this topic is: For one intervention, state the mechanism it is intended to change.</w:t>
      </w:r>
    </w:p>
    <w:p>
      <w:pPr>
        <w:spacing w:after="100"/>
      </w:pPr>
      <w:r>
        <w:rPr>
          <w:rFonts w:ascii="Arial" w:hAnsi="Arial"/>
          <w:b w:val="0"/>
          <w:i w:val="0"/>
          <w:color w:val="24313D"/>
          <w:sz w:val="20"/>
        </w:rPr>
        <w:t>Now shift to Workbook 10, Developmental, Cultural, and Contextual Interventions. The anchor for this topic is CARE Adaptation Sequence. The workbook sequence is Context • Access/Alliance • Relational Adaptation • Evaluate. Do not worry about reciting the exact punctuation of the sequence. Use it as a mental path that keeps the case organized and prevents you from jumping to a later-stage answer.</w:t>
      </w:r>
    </w:p>
    <w:p>
      <w:pPr>
        <w:spacing w:after="100"/>
      </w:pPr>
      <w:r>
        <w:rPr>
          <w:rFonts w:ascii="Arial" w:hAnsi="Arial"/>
          <w:b w:val="0"/>
          <w:i w:val="0"/>
          <w:color w:val="24313D"/>
          <w:sz w:val="20"/>
        </w:rPr>
        <w:t>First, Context must change delivery: pacing, language, modality, participants, examples, materials, and goals. Second, Match intervention to demonstrated capacity, developmental stage, family life cycle, identity, spirituality, and client-defined meaning. Third, Treat transportation, technology, housing, cost, work, language, caregiving, and disability access as treatment variables. Together, these rules tell you what information controls the next decision and what information is merely background.</w:t>
      </w:r>
    </w:p>
    <w:p>
      <w:pPr>
        <w:spacing w:after="100"/>
      </w:pPr>
      <w:r>
        <w:rPr>
          <w:rFonts w:ascii="Arial" w:hAnsi="Arial"/>
          <w:b w:val="0"/>
          <w:i w:val="0"/>
          <w:color w:val="24313D"/>
          <w:sz w:val="20"/>
        </w:rPr>
        <w:t>The first common trap is Assuming preferences or needs from demographic categories. Another trap is Inviting family or changing modality by default rather than from evidence and client choice. A third trap is Labeling missed sessions or access barriers as resistance or noncommitment. Notice that each trap can produce an answer that sounds helpful. The problem is usually timing, evidence, role, context, or intensity.</w:t>
      </w:r>
    </w:p>
    <w:p>
      <w:pPr>
        <w:spacing w:after="100"/>
        <w:ind w:left="259" w:right="259"/>
      </w:pPr>
      <w:r>
        <w:rPr>
          <w:rFonts w:ascii="Arial" w:hAnsi="Arial"/>
          <w:b/>
          <w:i/>
          <w:color w:val="1F7A8C"/>
          <w:sz w:val="19"/>
        </w:rPr>
        <w:t>Pause and answer these questions aloud. What meaning does the client assign to the situation? What barrier or power condition changes delivery? What adaptation will be evaluated for effectiveness? Do not continue until you can answer using only the facts that the vignette actually provides.</w:t>
      </w:r>
    </w:p>
    <w:p>
      <w:pPr>
        <w:spacing w:after="100"/>
      </w:pPr>
      <w:r>
        <w:rPr>
          <w:rFonts w:ascii="Arial" w:hAnsi="Arial"/>
          <w:b w:val="0"/>
          <w:i w:val="0"/>
          <w:color w:val="24313D"/>
          <w:sz w:val="20"/>
        </w:rPr>
        <w:t>Your practice action for this topic is: Name one concrete adaptation and the outcome that would show it helped.</w:t>
      </w:r>
    </w:p>
    <w:p>
      <w:pPr>
        <w:spacing w:after="100"/>
      </w:pPr>
      <w:r>
        <w:rPr>
          <w:rFonts w:ascii="Arial" w:hAnsi="Arial"/>
          <w:b w:val="0"/>
          <w:i w:val="0"/>
          <w:color w:val="24313D"/>
          <w:sz w:val="20"/>
        </w:rPr>
        <w:t>Now apply the reasoning to a short scenario.</w:t>
      </w:r>
    </w:p>
    <w:p>
      <w:pPr>
        <w:spacing w:after="100"/>
      </w:pPr>
      <w:r>
        <w:rPr>
          <w:rFonts w:ascii="Arial" w:hAnsi="Arial"/>
          <w:b w:val="0"/>
          <w:i w:val="0"/>
          <w:color w:val="24313D"/>
          <w:sz w:val="20"/>
        </w:rPr>
        <w:t>A ten-year-old has trauma-related nightmares and school avoidance after witnessing violence. The caregiver is overwhelmed, transportation is unreliable, and the child becomes dysregulated when asked for detailed trauma narratives. The best intervention plan should not force exposure work immediately or ignore the caregiver and access barriers. It should prioritize stabilization, developmentally appropriate coping, caregiver support, gradual and consent-based trauma processing when readiness is established, school coordination with proper authorization, and ongoing response monitoring.</w:t>
      </w:r>
    </w:p>
    <w:p>
      <w:pPr>
        <w:spacing w:after="100"/>
        <w:ind w:left="259" w:right="259"/>
      </w:pPr>
      <w:r>
        <w:rPr>
          <w:rFonts w:ascii="Arial" w:hAnsi="Arial"/>
          <w:b/>
          <w:i/>
          <w:color w:val="1F7A8C"/>
          <w:sz w:val="19"/>
        </w:rPr>
        <w:t>Pause. State the controlling priority, the missing fact if one remains, and the best next step. Then explain why the most tempting later-stage answer is premature.</w:t>
      </w:r>
    </w:p>
    <w:p>
      <w:pPr>
        <w:spacing w:after="100"/>
      </w:pPr>
      <w:r>
        <w:rPr>
          <w:rFonts w:ascii="Arial" w:hAnsi="Arial"/>
          <w:b w:val="0"/>
          <w:i w:val="0"/>
          <w:color w:val="24313D"/>
          <w:sz w:val="20"/>
        </w:rPr>
        <w:t>Before selecting an intervention, name the maintaining mechanism: avoidance, reinforcement, attachment distress, boundary confusion, dysregulation, grief, developmental mismatch, cultural rupture, or an access barrier. Then ask what treatment unit and modality can address that mechanism safely and practically.</w:t>
      </w:r>
    </w:p>
    <w:p>
      <w:r>
        <w:br w:type="page"/>
      </w:r>
    </w:p>
    <w:p>
      <w:pPr>
        <w:spacing w:after="0"/>
      </w:pPr>
      <w:r>
        <w:rPr>
          <w:rFonts w:ascii="Arial" w:hAnsi="Arial"/>
          <w:b/>
          <w:i w:val="0"/>
          <w:color w:val="1F7A8C"/>
          <w:sz w:val="20"/>
        </w:rPr>
        <w:t>TRACK 7</w:t>
      </w:r>
    </w:p>
    <w:p>
      <w:pPr>
        <w:pStyle w:val="Heading1"/>
        <w:keepNext/>
      </w:pPr>
      <w:r>
        <w:t>Theory, Collaboration, and California Professional Practice</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Workbook coverage</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WB11: Theory, Groups, Referral, and Interdisciplinary Collaboration; WB12: California Legal, Ethical, and Professional Practice</w:t>
            </w:r>
          </w:p>
        </w:tc>
      </w:tr>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Recording target</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Approximately 5–15 minutes at a natural coaching pace</w:t>
            </w:r>
          </w:p>
        </w:tc>
      </w:tr>
    </w:tbl>
    <w:tbl>
      <w:tblPr>
        <w:tblW w:type="auto" w:w="0"/>
        <w:jc w:val="center"/>
        <w:tblLayout w:type="fixed"/>
        <w:tblLook w:firstColumn="1" w:firstRow="1" w:lastColumn="0" w:lastRow="0" w:noHBand="0" w:noVBand="1" w:val="04A0"/>
      </w:tblPr>
      <w:tblGrid>
        <w:gridCol w:w="10224"/>
      </w:tblGrid>
      <w:tr>
        <w:tc>
          <w:tcPr>
            <w:tcW w:type="dxa" w:w="10282"/>
            <w:shd w:fill="DDEFF2"/>
            <w:tcBorders>
              <w:top w:val="single" w:sz="9" w:color="1F7A8C"/>
              <w:left w:val="single" w:sz="9" w:color="1F7A8C"/>
              <w:bottom w:val="single" w:sz="9" w:color="1F7A8C"/>
              <w:right w:val="single" w:sz="9" w:color="1F7A8C"/>
            </w:tcBorders>
            <w:tcMar>
              <w:top w:w="110" w:type="dxa"/>
              <w:start w:w="135" w:type="dxa"/>
              <w:bottom w:w="110" w:type="dxa"/>
              <w:end w:w="135" w:type="dxa"/>
            </w:tcMar>
          </w:tcPr>
          <w:p>
            <w:r>
              <w:rPr>
                <w:rFonts w:ascii="Arial" w:hAnsi="Arial"/>
                <w:b/>
                <w:i w:val="0"/>
                <w:color w:val="1F7A8C"/>
                <w:sz w:val="19"/>
              </w:rPr>
              <w:t xml:space="preserve">PURPOSE  </w:t>
            </w:r>
            <w:r>
              <w:rPr>
                <w:rFonts w:ascii="Arial" w:hAnsi="Arial"/>
                <w:b w:val="0"/>
                <w:i w:val="0"/>
                <w:color w:val="24313D"/>
                <w:sz w:val="19"/>
              </w:rPr>
              <w:t>Use theory as a formulation tool while clarifying role, consent, information authority, competence, consultation, collaboration, records, and professional boundaries.</w:t>
            </w:r>
          </w:p>
        </w:tc>
      </w:tr>
    </w:tbl>
    <w:p>
      <w:pPr>
        <w:pStyle w:val="Heading2"/>
        <w:keepNext/>
      </w:pPr>
      <w:r>
        <w:t>Authoritative Narration</w:t>
      </w:r>
    </w:p>
    <w:p>
      <w:pPr>
        <w:spacing w:after="100"/>
      </w:pPr>
      <w:r>
        <w:rPr>
          <w:rFonts w:ascii="Arial" w:hAnsi="Arial"/>
          <w:b w:val="0"/>
          <w:i w:val="0"/>
          <w:color w:val="24313D"/>
          <w:sz w:val="20"/>
        </w:rPr>
        <w:t>Professional-practice questions frequently contain competing duties. A consultant, supervisor, school professional, physician, family member, payer, or technology platform may all be involved, but involvement does not automatically create authority to receive information or direct treatment. Start by identifying the client, your role, the purpose of the contact, the controlling duty, and the minimum information needed.</w:t>
      </w:r>
    </w:p>
    <w:p>
      <w:pPr>
        <w:spacing w:after="100"/>
        <w:ind w:left="259" w:right="259"/>
      </w:pPr>
      <w:r>
        <w:rPr>
          <w:rFonts w:ascii="Arial" w:hAnsi="Arial"/>
          <w:b/>
          <w:i/>
          <w:color w:val="1F7A8C"/>
          <w:sz w:val="19"/>
        </w:rPr>
        <w:t>Take one slow breath. As you listen, picture a short vignette and practice naming the task and the current stage before you decide what to do next.</w:t>
      </w:r>
    </w:p>
    <w:p>
      <w:pPr>
        <w:spacing w:after="100"/>
      </w:pPr>
      <w:r>
        <w:rPr>
          <w:rFonts w:ascii="Arial" w:hAnsi="Arial"/>
          <w:b w:val="0"/>
          <w:i w:val="0"/>
          <w:color w:val="24313D"/>
          <w:sz w:val="20"/>
        </w:rPr>
        <w:t>Now shift to Workbook 11, Theory, Groups, Referral, and Interdisciplinary Collaboration. The anchor for this topic is THEORY + GROUP. The workbook sequence is Target • Hypothesis • Evidence • Orientation Fit • Readiness • Yield/Review. Do not worry about reciting the exact punctuation of the sequence. Use it as a mental path that keeps the case organized and prevents you from jumping to a later-stage answer.</w:t>
      </w:r>
    </w:p>
    <w:p>
      <w:pPr>
        <w:spacing w:after="100"/>
      </w:pPr>
      <w:r>
        <w:rPr>
          <w:rFonts w:ascii="Arial" w:hAnsi="Arial"/>
          <w:b w:val="0"/>
          <w:i w:val="0"/>
          <w:color w:val="24313D"/>
          <w:sz w:val="20"/>
        </w:rPr>
        <w:t>First, Theory is a testable decision map linking observations, maintaining hypothesis, target, intervention, and response. Second, Choose an orientation because its mechanism fits the case; integrate approaches coherently rather than collecting techniques. Third, Use GROUP for selection and facilitation: Goal, Readiness, Organization, Understanding limits, Process/safety; collaborate with consent and role clarity. Together, these rules tell you what information controls the next decision and what information is merely background.</w:t>
      </w:r>
    </w:p>
    <w:p>
      <w:pPr>
        <w:spacing w:after="100"/>
      </w:pPr>
      <w:r>
        <w:rPr>
          <w:rFonts w:ascii="Arial" w:hAnsi="Arial"/>
          <w:b w:val="0"/>
          <w:i w:val="0"/>
          <w:color w:val="24313D"/>
          <w:sz w:val="20"/>
        </w:rPr>
        <w:t>The first common trap is Matching vocabulary or diagnosis to a theory without naming the mechanism. Another trap is Selecting a group without screening purpose, readiness, composition, and risk. A third trap is Assuming consultation or referral transfers the therapist’s responsibility or permits broad information sharing. Notice that each trap can produce an answer that sounds helpful. The problem is usually timing, evidence, role, context, or intensity.</w:t>
      </w:r>
    </w:p>
    <w:p>
      <w:pPr>
        <w:spacing w:after="100"/>
        <w:ind w:left="259" w:right="259"/>
      </w:pPr>
      <w:r>
        <w:rPr>
          <w:rFonts w:ascii="Arial" w:hAnsi="Arial"/>
          <w:b/>
          <w:i/>
          <w:color w:val="1F7A8C"/>
          <w:sz w:val="19"/>
        </w:rPr>
        <w:t>Pause and answer these questions aloud. What mechanism is the theory explaining? Is the client or group ready for this format? What is each provider’s role and what information is necessary? Do not continue until you can answer using only the facts that the vignette actually provides.</w:t>
      </w:r>
    </w:p>
    <w:p>
      <w:pPr>
        <w:spacing w:after="100"/>
      </w:pPr>
      <w:r>
        <w:rPr>
          <w:rFonts w:ascii="Arial" w:hAnsi="Arial"/>
          <w:b w:val="0"/>
          <w:i w:val="0"/>
          <w:color w:val="24313D"/>
          <w:sz w:val="20"/>
        </w:rPr>
        <w:t>Your practice action for this topic is: Complete one THEORY statement: target, hypothesis, evidence, orientation, and review indicator.</w:t>
      </w:r>
    </w:p>
    <w:p>
      <w:pPr>
        <w:spacing w:after="100"/>
      </w:pPr>
      <w:r>
        <w:rPr>
          <w:rFonts w:ascii="Arial" w:hAnsi="Arial"/>
          <w:b w:val="0"/>
          <w:i w:val="0"/>
          <w:color w:val="24313D"/>
          <w:sz w:val="20"/>
        </w:rPr>
        <w:t>Now shift to Workbook 12, California Legal, Ethical, and Professional Practice. The anchor for this topic is PROTECT Professional-Practice Sequence. The workbook sequence is Problem/People • Role/Rules • Obtain Facts • Threat • Ethical Options • Consult • Take/Track. Do not worry about reciting the exact punctuation of the sequence. Use it as a mental path that keeps the case organized and prevents you from jumping to a later-stage answer.</w:t>
      </w:r>
    </w:p>
    <w:p>
      <w:pPr>
        <w:spacing w:after="100"/>
      </w:pPr>
      <w:r>
        <w:rPr>
          <w:rFonts w:ascii="Arial" w:hAnsi="Arial"/>
          <w:b w:val="0"/>
          <w:i w:val="0"/>
          <w:color w:val="24313D"/>
          <w:sz w:val="20"/>
        </w:rPr>
        <w:t>First, Identify the controlling issue before choosing an action: client welfare, privacy, safety, competence, role, law, ethics, or continuity. Second, Separate client status, participation, payment, consent, authorization, privilege, legal process, and information authority. Third, Protect record integrity, boundaries, competence, technology practice, third-party communication, consultation, and continuity of care. Together, these rules tell you what information controls the next decision and what information is merely background.</w:t>
      </w:r>
    </w:p>
    <w:p>
      <w:pPr>
        <w:spacing w:after="100"/>
      </w:pPr>
      <w:r>
        <w:rPr>
          <w:rFonts w:ascii="Arial" w:hAnsi="Arial"/>
          <w:b w:val="0"/>
          <w:i w:val="0"/>
          <w:color w:val="24313D"/>
          <w:sz w:val="20"/>
        </w:rPr>
        <w:t>The first common trap is Assuming payment, participation, consent, a subpoena, or an agency policy automatically authorizes disclosure or action. Another trap is Overdisclosing, altering records, acting outside competence, or delaying consultation when risk is present. A third trap is Ending or referring abruptly without stabilization, transition planning, and documentation. Notice that each trap can produce an answer that sounds helpful. The problem is usually timing, evidence, role, context, or intensity.</w:t>
      </w:r>
    </w:p>
    <w:p>
      <w:pPr>
        <w:spacing w:after="100"/>
        <w:ind w:left="259" w:right="259"/>
      </w:pPr>
      <w:r>
        <w:rPr>
          <w:rFonts w:ascii="Arial" w:hAnsi="Arial"/>
          <w:b/>
          <w:i/>
          <w:color w:val="1F7A8C"/>
          <w:sz w:val="19"/>
        </w:rPr>
        <w:t>Pause and answer these questions aloud. Who is the client and what is my role? What authority or duty actually controls? What action protects welfare with the least unnecessary disclosure or disruption? Do not continue until you can answer using only the facts that the vignette actually provides.</w:t>
      </w:r>
    </w:p>
    <w:p>
      <w:pPr>
        <w:spacing w:after="100"/>
      </w:pPr>
      <w:r>
        <w:rPr>
          <w:rFonts w:ascii="Arial" w:hAnsi="Arial"/>
          <w:b w:val="0"/>
          <w:i w:val="0"/>
          <w:color w:val="24313D"/>
          <w:sz w:val="20"/>
        </w:rPr>
        <w:t>Your practice action for this topic is: Write the issue, authority, facts still needed, consultation plan, action, and documentation step.</w:t>
      </w:r>
    </w:p>
    <w:p>
      <w:pPr>
        <w:spacing w:after="100"/>
      </w:pPr>
      <w:r>
        <w:rPr>
          <w:rFonts w:ascii="Arial" w:hAnsi="Arial"/>
          <w:b w:val="0"/>
          <w:i w:val="0"/>
          <w:color w:val="24313D"/>
          <w:sz w:val="20"/>
        </w:rPr>
        <w:t>Now apply the reasoning to a short scenario.</w:t>
      </w:r>
    </w:p>
    <w:p>
      <w:pPr>
        <w:spacing w:after="100"/>
      </w:pPr>
      <w:r>
        <w:rPr>
          <w:rFonts w:ascii="Arial" w:hAnsi="Arial"/>
          <w:b w:val="0"/>
          <w:i w:val="0"/>
          <w:color w:val="24313D"/>
          <w:sz w:val="20"/>
        </w:rPr>
        <w:t>The parent of a twenty-one-year-old client pays for therapy and asks the therapist for weekly progress updates. The client has not authorized disclosure. The therapist should not assume that payment creates access to clinical information. The appropriate response is to protect confidentiality, clarify the client’s preferences and any valid authorization, explain the limits of information sharing, and address payment or scheduling matters without disclosing protected clinical content.</w:t>
      </w:r>
    </w:p>
    <w:p>
      <w:pPr>
        <w:spacing w:after="100"/>
        <w:ind w:left="259" w:right="259"/>
      </w:pPr>
      <w:r>
        <w:rPr>
          <w:rFonts w:ascii="Arial" w:hAnsi="Arial"/>
          <w:b/>
          <w:i/>
          <w:color w:val="1F7A8C"/>
          <w:sz w:val="19"/>
        </w:rPr>
        <w:t>Pause. State the controlling priority, the missing fact if one remains, and the best next step. Then explain why the most tempting later-stage answer is premature.</w:t>
      </w:r>
    </w:p>
    <w:p>
      <w:pPr>
        <w:spacing w:after="100"/>
      </w:pPr>
      <w:r>
        <w:rPr>
          <w:rFonts w:ascii="Arial" w:hAnsi="Arial"/>
          <w:b w:val="0"/>
          <w:i w:val="0"/>
          <w:color w:val="24313D"/>
          <w:sz w:val="20"/>
        </w:rPr>
        <w:t>Use theory to explain the maintaining pattern, not to decorate the answer. Use collaboration to coordinate a defined purpose, not to spread information broadly. And when legal or ethical authority is unclear, gather the missing facts, consult appropriately, document the reasoning, and take the most protective proportionate action supported by the situation.</w:t>
      </w:r>
    </w:p>
    <w:p>
      <w:r>
        <w:br w:type="page"/>
      </w:r>
    </w:p>
    <w:p>
      <w:pPr>
        <w:spacing w:after="0"/>
      </w:pPr>
      <w:r>
        <w:rPr>
          <w:rFonts w:ascii="Arial" w:hAnsi="Arial"/>
          <w:b/>
          <w:i w:val="0"/>
          <w:color w:val="1F7A8C"/>
          <w:sz w:val="20"/>
        </w:rPr>
        <w:t>TRACK 8</w:t>
      </w:r>
    </w:p>
    <w:p>
      <w:pPr>
        <w:pStyle w:val="Heading1"/>
        <w:keepNext/>
      </w:pPr>
      <w:r>
        <w:t>Rationales, Remediation, and Form A/Form B Readiness</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Workbook coverage</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Core reasoning, rationales, remediation, Form A, and Form B</w:t>
            </w:r>
          </w:p>
        </w:tc>
      </w:tr>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Recording target</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Approximately 5–15 minutes at a natural coaching pace</w:t>
            </w:r>
          </w:p>
        </w:tc>
      </w:tr>
    </w:tbl>
    <w:tbl>
      <w:tblPr>
        <w:tblW w:type="auto" w:w="0"/>
        <w:jc w:val="center"/>
        <w:tblLayout w:type="fixed"/>
        <w:tblLook w:firstColumn="1" w:firstRow="1" w:lastColumn="0" w:lastRow="0" w:noHBand="0" w:noVBand="1" w:val="04A0"/>
      </w:tblPr>
      <w:tblGrid>
        <w:gridCol w:w="10224"/>
      </w:tblGrid>
      <w:tr>
        <w:tc>
          <w:tcPr>
            <w:tcW w:type="dxa" w:w="10282"/>
            <w:shd w:fill="DDEFF2"/>
            <w:tcBorders>
              <w:top w:val="single" w:sz="9" w:color="1F7A8C"/>
              <w:left w:val="single" w:sz="9" w:color="1F7A8C"/>
              <w:bottom w:val="single" w:sz="9" w:color="1F7A8C"/>
              <w:right w:val="single" w:sz="9" w:color="1F7A8C"/>
            </w:tcBorders>
            <w:tcMar>
              <w:top w:w="110" w:type="dxa"/>
              <w:start w:w="135" w:type="dxa"/>
              <w:bottom w:w="110" w:type="dxa"/>
              <w:end w:w="135" w:type="dxa"/>
            </w:tcMar>
          </w:tcPr>
          <w:p>
            <w:r>
              <w:rPr>
                <w:rFonts w:ascii="Arial" w:hAnsi="Arial"/>
                <w:b/>
                <w:i w:val="0"/>
                <w:color w:val="1F7A8C"/>
                <w:sz w:val="19"/>
              </w:rPr>
              <w:t xml:space="preserve">PURPOSE  </w:t>
            </w:r>
            <w:r>
              <w:rPr>
                <w:rFonts w:ascii="Arial" w:hAnsi="Arial"/>
                <w:b w:val="0"/>
                <w:i w:val="0"/>
                <w:color w:val="24313D"/>
                <w:sz w:val="19"/>
              </w:rPr>
              <w:t>Turn errors into decision rules, protect the diagnostic value of the simulations, and enter the final exam-preparation phase with a repeatable plan.</w:t>
            </w:r>
          </w:p>
        </w:tc>
      </w:tr>
    </w:tbl>
    <w:p>
      <w:pPr>
        <w:pStyle w:val="Heading2"/>
        <w:keepNext/>
      </w:pPr>
      <w:r>
        <w:t>Authoritative Narration</w:t>
      </w:r>
    </w:p>
    <w:p>
      <w:pPr>
        <w:spacing w:after="100"/>
      </w:pPr>
      <w:r>
        <w:rPr>
          <w:rFonts w:ascii="Arial" w:hAnsi="Arial"/>
          <w:b w:val="0"/>
          <w:i w:val="0"/>
          <w:color w:val="24313D"/>
          <w:sz w:val="20"/>
        </w:rPr>
        <w:t>This final track is not a content lecture. It is a performance review system. Your missed questions are data about how you are reasoning under pressure. The goal is to identify whether a miss came from content, task reading, sequencing, assumptions, role confusion, context, excessive intensity, follow-up, pacing, or confidence. Once you know the pattern, remediation becomes specific instead of discouraging.</w:t>
      </w:r>
    </w:p>
    <w:p>
      <w:pPr>
        <w:spacing w:after="100"/>
        <w:ind w:left="259" w:right="259"/>
      </w:pPr>
      <w:r>
        <w:rPr>
          <w:rFonts w:ascii="Arial" w:hAnsi="Arial"/>
          <w:b/>
          <w:i/>
          <w:color w:val="1F7A8C"/>
          <w:sz w:val="19"/>
        </w:rPr>
        <w:t>Take one slow breath. As you listen, picture a short vignette and practice naming the task and the current stage before you decide what to do next.</w:t>
      </w:r>
    </w:p>
    <w:p>
      <w:pPr>
        <w:spacing w:after="100"/>
      </w:pPr>
      <w:r>
        <w:rPr>
          <w:rFonts w:ascii="Arial" w:hAnsi="Arial"/>
          <w:b w:val="0"/>
          <w:i w:val="0"/>
          <w:color w:val="24313D"/>
          <w:sz w:val="20"/>
        </w:rPr>
        <w:t>Begin with the core sequence: Task → Safety/Duty → Role → Assessment → Formulation → Plan → Intervention → Review. This sequence is not a rigid formula. It is a protection against solving the wrong problem or acting at the wrong stage.</w:t>
      </w:r>
    </w:p>
    <w:p>
      <w:pPr>
        <w:spacing w:after="100"/>
      </w:pPr>
      <w:r>
        <w:rPr>
          <w:rFonts w:ascii="Arial" w:hAnsi="Arial"/>
          <w:b w:val="0"/>
          <w:i w:val="0"/>
          <w:color w:val="24313D"/>
          <w:sz w:val="20"/>
        </w:rPr>
        <w:t>Read the final question first and identify the requested stage.</w:t>
      </w:r>
    </w:p>
    <w:p>
      <w:pPr>
        <w:spacing w:after="100"/>
      </w:pPr>
      <w:r>
        <w:rPr>
          <w:rFonts w:ascii="Arial" w:hAnsi="Arial"/>
          <w:b w:val="0"/>
          <w:i w:val="0"/>
          <w:color w:val="24313D"/>
          <w:sz w:val="20"/>
        </w:rPr>
        <w:t>When two answers are reasonable, choose the one supported by known facts and best timed in the clinical sequence.</w:t>
      </w:r>
    </w:p>
    <w:p>
      <w:pPr>
        <w:spacing w:after="100"/>
      </w:pPr>
      <w:r>
        <w:rPr>
          <w:rFonts w:ascii="Arial" w:hAnsi="Arial"/>
          <w:b w:val="0"/>
          <w:i w:val="0"/>
          <w:color w:val="24313D"/>
          <w:sz w:val="20"/>
        </w:rPr>
        <w:t>Apply a systemic lens without forcing conjoint care: identify reciprocal patterns, context, power, safety, and the appropriate treatment unit.</w:t>
      </w:r>
    </w:p>
    <w:p>
      <w:pPr>
        <w:spacing w:after="100"/>
      </w:pPr>
      <w:r>
        <w:rPr>
          <w:rFonts w:ascii="Arial" w:hAnsi="Arial"/>
          <w:b w:val="0"/>
          <w:i w:val="0"/>
          <w:color w:val="24313D"/>
          <w:sz w:val="20"/>
        </w:rPr>
        <w:t>Use the least assumptive, least unnecessarily intensive, ethically and legally sound action that preserves continuity.</w:t>
      </w:r>
    </w:p>
    <w:p>
      <w:pPr>
        <w:spacing w:after="100"/>
        <w:ind w:left="259" w:right="259"/>
      </w:pPr>
      <w:r>
        <w:rPr>
          <w:rFonts w:ascii="Arial" w:hAnsi="Arial"/>
          <w:b/>
          <w:i/>
          <w:color w:val="1F7A8C"/>
          <w:sz w:val="19"/>
        </w:rPr>
        <w:t>Pause and name the six checks you should make before committing to an answer: Task word; Immediate safety or controlling duty; Therapist role and treatment unit; Known versus missing facts; Client preference, consent, and context; Timing, proportionality, and follow-up.</w:t>
      </w:r>
    </w:p>
    <w:p>
      <w:pPr>
        <w:spacing w:after="100"/>
      </w:pPr>
      <w:r>
        <w:rPr>
          <w:rFonts w:ascii="Arial" w:hAnsi="Arial"/>
          <w:b w:val="0"/>
          <w:i w:val="0"/>
          <w:color w:val="24313D"/>
          <w:sz w:val="20"/>
        </w:rPr>
        <w:t>Now use the error categories. Each category should produce a corrective decision rule, not a vague note such as “read more carefully.”</w:t>
      </w:r>
    </w:p>
    <w:p>
      <w:pPr>
        <w:spacing w:after="100"/>
      </w:pPr>
      <w:r>
        <w:rPr>
          <w:rFonts w:ascii="Arial" w:hAnsi="Arial"/>
          <w:b w:val="0"/>
          <w:i w:val="0"/>
          <w:color w:val="24313D"/>
          <w:sz w:val="20"/>
        </w:rPr>
        <w:t>Task Error. Misread FIRST/NEXT/BEST/MOST or answered a different question. Correction: Rewrite the final question in your own words before comparing options.</w:t>
      </w:r>
    </w:p>
    <w:p>
      <w:pPr>
        <w:spacing w:after="100"/>
      </w:pPr>
      <w:r>
        <w:rPr>
          <w:rFonts w:ascii="Arial" w:hAnsi="Arial"/>
          <w:b w:val="0"/>
          <w:i w:val="0"/>
          <w:color w:val="24313D"/>
          <w:sz w:val="20"/>
        </w:rPr>
        <w:t>Sequence Error. Selected a reasonable action too early or skipped assessment, consent, stabilization, or planning. Correction: Name the current stage and the required step that comes before the tempting option.</w:t>
      </w:r>
    </w:p>
    <w:p>
      <w:pPr>
        <w:spacing w:after="100"/>
      </w:pPr>
      <w:r>
        <w:rPr>
          <w:rFonts w:ascii="Arial" w:hAnsi="Arial"/>
          <w:b w:val="0"/>
          <w:i w:val="0"/>
          <w:color w:val="24313D"/>
          <w:sz w:val="20"/>
        </w:rPr>
        <w:t>Assumption Error. Added facts, motives, readiness, risk, diagnosis, access, or authority not supplied. Correction: Underline only facts given; reject options that depend on invented information.</w:t>
      </w:r>
    </w:p>
    <w:p>
      <w:pPr>
        <w:spacing w:after="100"/>
      </w:pPr>
      <w:r>
        <w:rPr>
          <w:rFonts w:ascii="Arial" w:hAnsi="Arial"/>
          <w:b w:val="0"/>
          <w:i w:val="0"/>
          <w:color w:val="24313D"/>
          <w:sz w:val="20"/>
        </w:rPr>
        <w:t>Role/Scope Error. Chose an action outside professional role, authority, competence, or information rights. Correction: Identify the role, client, duty, and consultation or referral purpose.</w:t>
      </w:r>
    </w:p>
    <w:p>
      <w:pPr>
        <w:spacing w:after="100"/>
      </w:pPr>
      <w:r>
        <w:rPr>
          <w:rFonts w:ascii="Arial" w:hAnsi="Arial"/>
          <w:b w:val="0"/>
          <w:i w:val="0"/>
          <w:color w:val="24313D"/>
          <w:sz w:val="20"/>
        </w:rPr>
        <w:t>Fit/Context Error. Ignored development, culture, relationship pattern, environment, access, or client preference. Correction: State how person/system/context changes the answer.</w:t>
      </w:r>
    </w:p>
    <w:p>
      <w:pPr>
        <w:spacing w:after="100"/>
      </w:pPr>
      <w:r>
        <w:rPr>
          <w:rFonts w:ascii="Arial" w:hAnsi="Arial"/>
          <w:b w:val="0"/>
          <w:i w:val="0"/>
          <w:color w:val="24313D"/>
          <w:sz w:val="20"/>
        </w:rPr>
        <w:t>Intensity Error. Selected more control, disclosure, service, participants, or level of care than necessary. Correction: Choose the least intrusive effective safe response supported by the facts.</w:t>
      </w:r>
    </w:p>
    <w:p>
      <w:pPr>
        <w:spacing w:after="100"/>
      </w:pPr>
      <w:r>
        <w:rPr>
          <w:rFonts w:ascii="Arial" w:hAnsi="Arial"/>
          <w:b w:val="0"/>
          <w:i w:val="0"/>
          <w:color w:val="24313D"/>
          <w:sz w:val="20"/>
        </w:rPr>
        <w:t>Follow-Up Error. Acted without documenting, evaluating, coordinating, or preserving continuity. Correction: Add the review, handoff, or outcome-check step.</w:t>
      </w:r>
    </w:p>
    <w:p>
      <w:pPr>
        <w:spacing w:after="100"/>
      </w:pPr>
      <w:r>
        <w:rPr>
          <w:rFonts w:ascii="Arial" w:hAnsi="Arial"/>
          <w:b w:val="0"/>
          <w:i w:val="0"/>
          <w:color w:val="24313D"/>
          <w:sz w:val="20"/>
        </w:rPr>
        <w:t>Add two LMFT-specific checks. Did you identify the treatment unit rather than assuming individual, couple, or family care? Did you apply a systemic lens without forcing conjoint work when safety, privacy, consent, or the clinical target called for a different format?</w:t>
      </w:r>
    </w:p>
    <w:p>
      <w:pPr>
        <w:spacing w:after="100"/>
      </w:pPr>
      <w:r>
        <w:rPr>
          <w:rFonts w:ascii="Arial" w:hAnsi="Arial"/>
          <w:b w:val="0"/>
          <w:i w:val="0"/>
          <w:color w:val="24313D"/>
          <w:sz w:val="20"/>
        </w:rPr>
        <w:t>For Form A, simulate the real experience as closely as practical. Use the intended timing, avoid looking up answers, complete the full form, and review detailed rationales only after submission. The score is useful, but the pattern of errors is more useful.</w:t>
      </w:r>
    </w:p>
    <w:p>
      <w:pPr>
        <w:spacing w:after="100"/>
      </w:pPr>
      <w:r>
        <w:rPr>
          <w:rFonts w:ascii="Arial" w:hAnsi="Arial"/>
          <w:b w:val="0"/>
          <w:i w:val="0"/>
          <w:color w:val="24313D"/>
          <w:sz w:val="20"/>
        </w:rPr>
        <w:t>During remediation, group misses by decision rule. Return to the matching workbook section, companion lesson, quick-reference sheet, and flashcards. Then answer a new or previously missed item using the corrected sequence. Remediation is complete when you can explain why the distractor is weaker, not merely when you remember the answer letter.</w:t>
      </w:r>
    </w:p>
    <w:p>
      <w:pPr>
        <w:spacing w:after="100"/>
      </w:pPr>
      <w:r>
        <w:rPr>
          <w:rFonts w:ascii="Arial" w:hAnsi="Arial"/>
          <w:b w:val="0"/>
          <w:i w:val="0"/>
          <w:color w:val="24313D"/>
          <w:sz w:val="20"/>
        </w:rPr>
        <w:t>Protect Form B. Take it after the required remediation, under simulated conditions, as the final readiness measure. Restrict casual retakes because familiarity can inflate confidence without improving transferable reasoning.</w:t>
      </w:r>
    </w:p>
    <w:p>
      <w:pPr>
        <w:spacing w:after="100"/>
      </w:pPr>
      <w:r>
        <w:rPr>
          <w:rFonts w:ascii="Arial" w:hAnsi="Arial"/>
          <w:b w:val="0"/>
          <w:i w:val="0"/>
          <w:color w:val="24313D"/>
          <w:sz w:val="20"/>
        </w:rPr>
        <w:t>On the day before a major simulation or the licensing examination, do not attempt to relearn the entire curriculum. Review your core sequence, your highest-frequency error categories, crisis and duty rules, pacing plan, and a small set of successful correction examples. The goal is organized retrieval, not last-minute overload.</w:t>
      </w:r>
    </w:p>
    <w:p>
      <w:pPr>
        <w:spacing w:after="100"/>
      </w:pPr>
      <w:r>
        <w:rPr>
          <w:rFonts w:ascii="Arial" w:hAnsi="Arial"/>
          <w:b w:val="0"/>
          <w:i w:val="0"/>
          <w:color w:val="24313D"/>
          <w:sz w:val="20"/>
        </w:rPr>
        <w:t>Now apply the reasoning to a short scenario.</w:t>
      </w:r>
    </w:p>
    <w:p>
      <w:pPr>
        <w:spacing w:after="100"/>
      </w:pPr>
      <w:r>
        <w:rPr>
          <w:rFonts w:ascii="Arial" w:hAnsi="Arial"/>
          <w:b w:val="0"/>
          <w:i w:val="0"/>
          <w:color w:val="24313D"/>
          <w:sz w:val="20"/>
        </w:rPr>
        <w:t>Suppose you miss a question because you selected a family meeting before clarifying whether the client consented to family involvement. The correction is not simply to memorize that family meetings are wrong. The correction is to write the decision rule: when third-party involvement is proposed and no controlling emergency is established, clarify the client, consent, role, purpose, and information boundaries before coordinating the meeting. That rule can now transfer to many future questions.</w:t>
      </w:r>
    </w:p>
    <w:p>
      <w:pPr>
        <w:spacing w:after="100"/>
        <w:ind w:left="259" w:right="259"/>
      </w:pPr>
      <w:r>
        <w:rPr>
          <w:rFonts w:ascii="Arial" w:hAnsi="Arial"/>
          <w:b/>
          <w:i/>
          <w:color w:val="1F7A8C"/>
          <w:sz w:val="19"/>
        </w:rPr>
        <w:t>Pause. State the controlling priority, the missing fact if one remains, and the best next step. Then explain why the most tempting later-stage answer is premature.</w:t>
      </w:r>
    </w:p>
    <w:p>
      <w:pPr>
        <w:spacing w:after="100"/>
      </w:pPr>
      <w:r>
        <w:rPr>
          <w:rFonts w:ascii="Arial" w:hAnsi="Arial"/>
          <w:b w:val="0"/>
          <w:i w:val="0"/>
          <w:color w:val="24313D"/>
          <w:sz w:val="20"/>
        </w:rPr>
        <w:t>Take Form A under full simulated conditions, review only after submission, classify every miss, return to the matching workbook and rationale, and practice the corrected pattern. Take Form B only after remediation. Protect it as your final readiness measure, not as casual extra practice.</w:t>
      </w:r>
    </w:p>
    <w:p>
      <w:r>
        <w:br w:type="page"/>
      </w:r>
    </w:p>
    <w:p>
      <w:pPr>
        <w:pStyle w:val="Heading1"/>
        <w:jc w:val="center"/>
      </w:pPr>
      <w:r>
        <w:t>Collection Completion Checklist</w:t>
      </w:r>
    </w:p>
    <w:tbl>
      <w:tblPr>
        <w:tblW w:type="auto" w:w="0"/>
        <w:jc w:val="center"/>
        <w:tblLayout w:type="fixed"/>
        <w:tblLook w:firstColumn="1" w:firstRow="1" w:lastColumn="0" w:lastRow="0" w:noHBand="0" w:noVBand="1" w:val="04A0"/>
      </w:tblPr>
      <w:tblGrid>
        <w:gridCol w:w="792"/>
        <w:gridCol w:w="9432"/>
      </w:tblGrid>
      <w:tr>
        <w:trPr>
          <w:cantSplit/>
        </w:trPr>
        <w:tc>
          <w:tcPr>
            <w:tcW w:type="dxa" w:w="5141"/>
            <w:shd w:fill="FFFFFF"/>
            <w:tcBorders>
              <w:top w:val="single" w:sz="5" w:color="B7C4CE"/>
              <w:left w:val="single" w:sz="5" w:color="B7C4CE"/>
              <w:bottom w:val="single" w:sz="5" w:color="B7C4CE"/>
              <w:right w:val="single" w:sz="5" w:color="B7C4CE"/>
            </w:tcBorders>
            <w:tcMar>
              <w:top w:w="85" w:type="dxa"/>
              <w:start w:w="95" w:type="dxa"/>
              <w:bottom w:w="85" w:type="dxa"/>
              <w:end w:w="95" w:type="dxa"/>
            </w:tcMar>
          </w:tcPr>
          <w:p>
            <w:pPr>
              <w:jc w:val="center"/>
            </w:pPr>
            <w:r>
              <w:rPr>
                <w:rFonts w:ascii="Arial" w:hAnsi="Arial"/>
                <w:b/>
                <w:i w:val="0"/>
                <w:color w:val="1F7A8C"/>
                <w:sz w:val="22"/>
              </w:rPr>
              <w:t>☐</w:t>
            </w:r>
          </w:p>
        </w:tc>
        <w:tc>
          <w:tcPr>
            <w:tcW w:type="dxa" w:w="5141"/>
            <w:shd w:fill="FFFFFF"/>
            <w:tcBorders>
              <w:top w:val="single" w:sz="5" w:color="B7C4CE"/>
              <w:left w:val="single" w:sz="5" w:color="B7C4CE"/>
              <w:bottom w:val="single" w:sz="5" w:color="B7C4CE"/>
              <w:right w:val="single" w:sz="5" w:color="B7C4CE"/>
            </w:tcBorders>
            <w:tcMar>
              <w:top w:w="85" w:type="dxa"/>
              <w:start w:w="95" w:type="dxa"/>
              <w:bottom w:w="85" w:type="dxa"/>
              <w:end w:w="95" w:type="dxa"/>
            </w:tcMar>
          </w:tcPr>
          <w:p>
            <w:r>
              <w:rPr>
                <w:rFonts w:ascii="Arial" w:hAnsi="Arial"/>
                <w:b w:val="0"/>
                <w:i w:val="0"/>
                <w:color w:val="24313D"/>
                <w:sz w:val="18"/>
              </w:rPr>
              <w:t>Track titles and workbook coverage match the CTA curriculum sequence.</w:t>
            </w:r>
          </w:p>
        </w:tc>
      </w:tr>
      <w:tr>
        <w:trPr>
          <w:cantSplit/>
        </w:trPr>
        <w:tc>
          <w:tcPr>
            <w:tcW w:type="dxa" w:w="5141"/>
            <w:shd w:fill="F3F7FA"/>
            <w:tcBorders>
              <w:top w:val="single" w:sz="5" w:color="B7C4CE"/>
              <w:left w:val="single" w:sz="5" w:color="B7C4CE"/>
              <w:bottom w:val="single" w:sz="5" w:color="B7C4CE"/>
              <w:right w:val="single" w:sz="5" w:color="B7C4CE"/>
            </w:tcBorders>
            <w:tcMar>
              <w:top w:w="85" w:type="dxa"/>
              <w:start w:w="95" w:type="dxa"/>
              <w:bottom w:w="85" w:type="dxa"/>
              <w:end w:w="95" w:type="dxa"/>
            </w:tcMar>
          </w:tcPr>
          <w:p>
            <w:pPr>
              <w:jc w:val="center"/>
            </w:pPr>
            <w:r>
              <w:rPr>
                <w:rFonts w:ascii="Arial" w:hAnsi="Arial"/>
                <w:b/>
                <w:i w:val="0"/>
                <w:color w:val="1F7A8C"/>
                <w:sz w:val="22"/>
              </w:rPr>
              <w:t>☐</w:t>
            </w:r>
          </w:p>
        </w:tc>
        <w:tc>
          <w:tcPr>
            <w:tcW w:type="dxa" w:w="5141"/>
            <w:shd w:fill="F3F7FA"/>
            <w:tcBorders>
              <w:top w:val="single" w:sz="5" w:color="B7C4CE"/>
              <w:left w:val="single" w:sz="5" w:color="B7C4CE"/>
              <w:bottom w:val="single" w:sz="5" w:color="B7C4CE"/>
              <w:right w:val="single" w:sz="5" w:color="B7C4CE"/>
            </w:tcBorders>
            <w:tcMar>
              <w:top w:w="85" w:type="dxa"/>
              <w:start w:w="95" w:type="dxa"/>
              <w:bottom w:w="85" w:type="dxa"/>
              <w:end w:w="95" w:type="dxa"/>
            </w:tcMar>
          </w:tcPr>
          <w:p>
            <w:r>
              <w:rPr>
                <w:rFonts w:ascii="Arial" w:hAnsi="Arial"/>
                <w:b w:val="0"/>
                <w:i w:val="0"/>
                <w:color w:val="24313D"/>
                <w:sz w:val="18"/>
              </w:rPr>
              <w:t>Narration was reviewed before recording and read verbatim during recording.</w:t>
            </w:r>
          </w:p>
        </w:tc>
      </w:tr>
      <w:tr>
        <w:trPr>
          <w:cantSplit/>
        </w:trPr>
        <w:tc>
          <w:tcPr>
            <w:tcW w:type="dxa" w:w="5141"/>
            <w:shd w:fill="FFFFFF"/>
            <w:tcBorders>
              <w:top w:val="single" w:sz="5" w:color="B7C4CE"/>
              <w:left w:val="single" w:sz="5" w:color="B7C4CE"/>
              <w:bottom w:val="single" w:sz="5" w:color="B7C4CE"/>
              <w:right w:val="single" w:sz="5" w:color="B7C4CE"/>
            </w:tcBorders>
            <w:tcMar>
              <w:top w:w="85" w:type="dxa"/>
              <w:start w:w="95" w:type="dxa"/>
              <w:bottom w:w="85" w:type="dxa"/>
              <w:end w:w="95" w:type="dxa"/>
            </w:tcMar>
          </w:tcPr>
          <w:p>
            <w:pPr>
              <w:jc w:val="center"/>
            </w:pPr>
            <w:r>
              <w:rPr>
                <w:rFonts w:ascii="Arial" w:hAnsi="Arial"/>
                <w:b/>
                <w:i w:val="0"/>
                <w:color w:val="1F7A8C"/>
                <w:sz w:val="22"/>
              </w:rPr>
              <w:t>☐</w:t>
            </w:r>
          </w:p>
        </w:tc>
        <w:tc>
          <w:tcPr>
            <w:tcW w:type="dxa" w:w="5141"/>
            <w:shd w:fill="FFFFFF"/>
            <w:tcBorders>
              <w:top w:val="single" w:sz="5" w:color="B7C4CE"/>
              <w:left w:val="single" w:sz="5" w:color="B7C4CE"/>
              <w:bottom w:val="single" w:sz="5" w:color="B7C4CE"/>
              <w:right w:val="single" w:sz="5" w:color="B7C4CE"/>
            </w:tcBorders>
            <w:tcMar>
              <w:top w:w="85" w:type="dxa"/>
              <w:start w:w="95" w:type="dxa"/>
              <w:bottom w:w="85" w:type="dxa"/>
              <w:end w:w="95" w:type="dxa"/>
            </w:tcMar>
          </w:tcPr>
          <w:p>
            <w:r>
              <w:rPr>
                <w:rFonts w:ascii="Arial" w:hAnsi="Arial"/>
                <w:b w:val="0"/>
                <w:i w:val="0"/>
                <w:color w:val="24313D"/>
                <w:sz w:val="18"/>
              </w:rPr>
              <w:t>Audio edits preserve the meaning and order of the authoritative transcript.</w:t>
            </w:r>
          </w:p>
        </w:tc>
      </w:tr>
      <w:tr>
        <w:trPr>
          <w:cantSplit/>
        </w:trPr>
        <w:tc>
          <w:tcPr>
            <w:tcW w:type="dxa" w:w="5141"/>
            <w:shd w:fill="F3F7FA"/>
            <w:tcBorders>
              <w:top w:val="single" w:sz="5" w:color="B7C4CE"/>
              <w:left w:val="single" w:sz="5" w:color="B7C4CE"/>
              <w:bottom w:val="single" w:sz="5" w:color="B7C4CE"/>
              <w:right w:val="single" w:sz="5" w:color="B7C4CE"/>
            </w:tcBorders>
            <w:tcMar>
              <w:top w:w="85" w:type="dxa"/>
              <w:start w:w="95" w:type="dxa"/>
              <w:bottom w:w="85" w:type="dxa"/>
              <w:end w:w="95" w:type="dxa"/>
            </w:tcMar>
          </w:tcPr>
          <w:p>
            <w:pPr>
              <w:jc w:val="center"/>
            </w:pPr>
            <w:r>
              <w:rPr>
                <w:rFonts w:ascii="Arial" w:hAnsi="Arial"/>
                <w:b/>
                <w:i w:val="0"/>
                <w:color w:val="1F7A8C"/>
                <w:sz w:val="22"/>
              </w:rPr>
              <w:t>☐</w:t>
            </w:r>
          </w:p>
        </w:tc>
        <w:tc>
          <w:tcPr>
            <w:tcW w:type="dxa" w:w="5141"/>
            <w:shd w:fill="F3F7FA"/>
            <w:tcBorders>
              <w:top w:val="single" w:sz="5" w:color="B7C4CE"/>
              <w:left w:val="single" w:sz="5" w:color="B7C4CE"/>
              <w:bottom w:val="single" w:sz="5" w:color="B7C4CE"/>
              <w:right w:val="single" w:sz="5" w:color="B7C4CE"/>
            </w:tcBorders>
            <w:tcMar>
              <w:top w:w="85" w:type="dxa"/>
              <w:start w:w="95" w:type="dxa"/>
              <w:bottom w:w="85" w:type="dxa"/>
              <w:end w:w="95" w:type="dxa"/>
            </w:tcMar>
          </w:tcPr>
          <w:p>
            <w:r>
              <w:rPr>
                <w:rFonts w:ascii="Arial" w:hAnsi="Arial"/>
                <w:b w:val="0"/>
                <w:i w:val="0"/>
                <w:color w:val="24313D"/>
                <w:sz w:val="18"/>
              </w:rPr>
              <w:t>Captions or transcript files match the final audio word for word.</w:t>
            </w:r>
          </w:p>
        </w:tc>
      </w:tr>
      <w:tr>
        <w:trPr>
          <w:cantSplit/>
        </w:trPr>
        <w:tc>
          <w:tcPr>
            <w:tcW w:type="dxa" w:w="5141"/>
            <w:shd w:fill="FFFFFF"/>
            <w:tcBorders>
              <w:top w:val="single" w:sz="5" w:color="B7C4CE"/>
              <w:left w:val="single" w:sz="5" w:color="B7C4CE"/>
              <w:bottom w:val="single" w:sz="5" w:color="B7C4CE"/>
              <w:right w:val="single" w:sz="5" w:color="B7C4CE"/>
            </w:tcBorders>
            <w:tcMar>
              <w:top w:w="85" w:type="dxa"/>
              <w:start w:w="95" w:type="dxa"/>
              <w:bottom w:w="85" w:type="dxa"/>
              <w:end w:w="95" w:type="dxa"/>
            </w:tcMar>
          </w:tcPr>
          <w:p>
            <w:pPr>
              <w:jc w:val="center"/>
            </w:pPr>
            <w:r>
              <w:rPr>
                <w:rFonts w:ascii="Arial" w:hAnsi="Arial"/>
                <w:b/>
                <w:i w:val="0"/>
                <w:color w:val="1F7A8C"/>
                <w:sz w:val="22"/>
              </w:rPr>
              <w:t>☐</w:t>
            </w:r>
          </w:p>
        </w:tc>
        <w:tc>
          <w:tcPr>
            <w:tcW w:type="dxa" w:w="5141"/>
            <w:shd w:fill="FFFFFF"/>
            <w:tcBorders>
              <w:top w:val="single" w:sz="5" w:color="B7C4CE"/>
              <w:left w:val="single" w:sz="5" w:color="B7C4CE"/>
              <w:bottom w:val="single" w:sz="5" w:color="B7C4CE"/>
              <w:right w:val="single" w:sz="5" w:color="B7C4CE"/>
            </w:tcBorders>
            <w:tcMar>
              <w:top w:w="85" w:type="dxa"/>
              <w:start w:w="95" w:type="dxa"/>
              <w:bottom w:w="85" w:type="dxa"/>
              <w:end w:w="95" w:type="dxa"/>
            </w:tcMar>
          </w:tcPr>
          <w:p>
            <w:r>
              <w:rPr>
                <w:rFonts w:ascii="Arial" w:hAnsi="Arial"/>
                <w:b w:val="0"/>
                <w:i w:val="0"/>
                <w:color w:val="24313D"/>
                <w:sz w:val="18"/>
              </w:rPr>
              <w:t>Version number and publication date remain consistent across script, audio, and platform upload.</w:t>
            </w:r>
          </w:p>
        </w:tc>
      </w:tr>
      <w:tr>
        <w:trPr>
          <w:cantSplit/>
        </w:trPr>
        <w:tc>
          <w:tcPr>
            <w:tcW w:type="dxa" w:w="5141"/>
            <w:shd w:fill="F3F7FA"/>
            <w:tcBorders>
              <w:top w:val="single" w:sz="5" w:color="B7C4CE"/>
              <w:left w:val="single" w:sz="5" w:color="B7C4CE"/>
              <w:bottom w:val="single" w:sz="5" w:color="B7C4CE"/>
              <w:right w:val="single" w:sz="5" w:color="B7C4CE"/>
            </w:tcBorders>
            <w:tcMar>
              <w:top w:w="85" w:type="dxa"/>
              <w:start w:w="95" w:type="dxa"/>
              <w:bottom w:w="85" w:type="dxa"/>
              <w:end w:w="95" w:type="dxa"/>
            </w:tcMar>
          </w:tcPr>
          <w:p>
            <w:pPr>
              <w:jc w:val="center"/>
            </w:pPr>
            <w:r>
              <w:rPr>
                <w:rFonts w:ascii="Arial" w:hAnsi="Arial"/>
                <w:b/>
                <w:i w:val="0"/>
                <w:color w:val="1F7A8C"/>
                <w:sz w:val="22"/>
              </w:rPr>
              <w:t>☐</w:t>
            </w:r>
          </w:p>
        </w:tc>
        <w:tc>
          <w:tcPr>
            <w:tcW w:type="dxa" w:w="5141"/>
            <w:shd w:fill="F3F7FA"/>
            <w:tcBorders>
              <w:top w:val="single" w:sz="5" w:color="B7C4CE"/>
              <w:left w:val="single" w:sz="5" w:color="B7C4CE"/>
              <w:bottom w:val="single" w:sz="5" w:color="B7C4CE"/>
              <w:right w:val="single" w:sz="5" w:color="B7C4CE"/>
            </w:tcBorders>
            <w:tcMar>
              <w:top w:w="85" w:type="dxa"/>
              <w:start w:w="95" w:type="dxa"/>
              <w:bottom w:w="85" w:type="dxa"/>
              <w:end w:w="95" w:type="dxa"/>
            </w:tcMar>
          </w:tcPr>
          <w:p>
            <w:r>
              <w:rPr>
                <w:rFonts w:ascii="Arial" w:hAnsi="Arial"/>
                <w:b w:val="0"/>
                <w:i w:val="0"/>
                <w:color w:val="24313D"/>
                <w:sz w:val="18"/>
              </w:rPr>
              <w:t>The learner is directed to current official resources for examination, licensing, legal, medical, or emergency questions.</w:t>
            </w:r>
          </w:p>
        </w:tc>
      </w:tr>
    </w:tbl>
    <w:p>
      <w:pPr>
        <w:spacing w:before="320"/>
        <w:jc w:val="center"/>
      </w:pPr>
      <w:r>
        <w:rPr>
          <w:rFonts w:ascii="Arial" w:hAnsi="Arial"/>
          <w:b w:val="0"/>
          <w:i/>
          <w:color w:val="68737D"/>
          <w:sz w:val="17"/>
        </w:rPr>
        <w:t>Clinical Training Academy • Educational exam-preparation resource • No guarantee of examination passage</w:t>
      </w:r>
    </w:p>
    <w:sectPr w:rsidR="00FC693F" w:rsidRPr="0006063C" w:rsidSect="00034616">
      <w:headerReference w:type="default" r:id="rId9"/>
      <w:footerReference w:type="default" r:id="rId10"/>
      <w:pgSz w:w="12240" w:h="15840"/>
      <w:pgMar w:top="792" w:right="979" w:bottom="792" w:left="979"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8737D"/>
        <w:sz w:val="16"/>
      </w:rPr>
      <w:t xml:space="preserve">Clinical Training Academy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1F7A8C"/>
        <w:sz w:val="15"/>
      </w:rPr>
      <w:t>CLINICAL TRAINING ACADEMY  •  LMFT AUDIO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1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1F7A8C"/>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20"/>
      <w:contextualSpacing/>
    </w:pPr>
    <w:rPr>
      <w:rFonts w:asciiTheme="majorHAnsi" w:eastAsiaTheme="majorEastAsia" w:hAnsiTheme="majorHAnsi" w:cstheme="majorBidi" w:ascii="Arial" w:hAnsi="Arial"/>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20" w:after="80"/>
    </w:pPr>
    <w:rPr>
      <w:rFonts w:asciiTheme="majorHAnsi" w:eastAsiaTheme="majorEastAsia" w:hAnsiTheme="majorHAnsi" w:cstheme="majorBidi" w:ascii="Arial" w:hAnsi="Arial"/>
      <w:b/>
      <w:i/>
      <w:iCs/>
      <w:color w:val="1F7A8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