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Thinking Relationally and Systemically</w:t>
      </w:r>
    </w:p>
    <w:p>
      <w:pPr>
        <w:jc w:val="center"/>
      </w:pPr>
      <w:r>
        <w:rPr>
          <w:rFonts w:ascii="Aptos Display" w:hAnsi="Aptos Display"/>
          <w:b/>
          <w:color w:val="2AA7D6"/>
          <w:sz w:val="32"/>
        </w:rPr>
        <w:t>LMFT-Specific Multimedia Script 01</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LMFT candidates to identify the treatment unit, track reciprocal patterns, include context and power, and select answers that reflect systemic assessment without assigning simplistic blame.</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strengthening relational, family-systems, and scenario-based clinical reasoning.</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before or alongside relational assessment and intervention workbooks.</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Workbooks 4 and 8, with reinforcement from Workbooks 2, 3, and 10.</w:t>
            </w:r>
          </w:p>
        </w:tc>
      </w:tr>
    </w:tbl>
    <w:p>
      <w:pPr>
        <w:spacing w:after="20"/>
      </w:pPr>
    </w:p>
    <w:p>
      <w:pPr>
        <w:pStyle w:val="Heading1"/>
      </w:pPr>
      <w:r>
        <w:t>Learning Outcomes</w:t>
      </w:r>
    </w:p>
    <w:p>
      <w:pPr>
        <w:pStyle w:val="ListBullet"/>
        <w:spacing w:after="40"/>
        <w:ind w:left="360" w:hanging="216"/>
      </w:pPr>
      <w:r>
        <w:t>Identify the relevant treatment unit and relational context.</w:t>
      </w:r>
    </w:p>
    <w:p>
      <w:pPr>
        <w:pStyle w:val="ListBullet"/>
        <w:spacing w:after="40"/>
        <w:ind w:left="360" w:hanging="216"/>
      </w:pPr>
      <w:r>
        <w:t>Distinguish reciprocal influence from equal blame.</w:t>
      </w:r>
    </w:p>
    <w:p>
      <w:pPr>
        <w:pStyle w:val="ListBullet"/>
        <w:spacing w:after="40"/>
        <w:ind w:left="360" w:hanging="216"/>
      </w:pPr>
      <w:r>
        <w:t>Track sequences, roles, boundaries, alliances, and strengths.</w:t>
      </w:r>
    </w:p>
    <w:p>
      <w:pPr>
        <w:pStyle w:val="ListBullet"/>
        <w:spacing w:after="40"/>
        <w:ind w:left="360" w:hanging="216"/>
      </w:pPr>
      <w:r>
        <w:t>Apply a systemic reasoning check to LMFT exam scenarios.</w:t>
      </w:r>
    </w:p>
    <w:p>
      <w:pPr>
        <w:pStyle w:val="Heading1"/>
      </w:pPr>
      <w:r>
        <w:t>Voice and Presentation Direction</w:t>
      </w:r>
    </w:p>
    <w:p>
      <w:pPr>
        <w:pStyle w:val="ListBullet"/>
        <w:spacing w:after="40"/>
        <w:ind w:left="360" w:hanging="216"/>
      </w:pPr>
      <w:r>
        <w:t>Use everyday relational examples before introducing systems language.</w:t>
      </w:r>
    </w:p>
    <w:p>
      <w:pPr>
        <w:pStyle w:val="ListBullet"/>
        <w:spacing w:after="40"/>
        <w:ind w:left="360" w:hanging="216"/>
      </w:pPr>
      <w:r>
        <w:t>Avoid blaming language and avoid treating one person as the entire problem.</w:t>
      </w:r>
    </w:p>
    <w:p>
      <w:pPr>
        <w:pStyle w:val="ListBullet"/>
        <w:spacing w:after="40"/>
        <w:ind w:left="360" w:hanging="216"/>
      </w:pPr>
      <w:r>
        <w:t>Name safety, coercion, and power as conditions that can change the treatment format.</w:t>
      </w:r>
    </w:p>
    <w:p>
      <w:pPr>
        <w:pStyle w:val="ListBullet"/>
        <w:spacing w:after="40"/>
        <w:ind w:left="360" w:hanging="216"/>
      </w:pPr>
      <w:r>
        <w:t>Reinforce that systemic hypotheses remain tentative and revisable.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warm, clinically grounded tone. Emphasize patterns and multiple perspectives without implying that all participants hold equal power or responsibility. Pause after each systemic reasoning question.</w:t>
            </w:r>
          </w:p>
        </w:tc>
      </w:tr>
    </w:tbl>
    <w:p>
      <w:pPr>
        <w:spacing w:after="20"/>
      </w:pPr>
    </w:p>
    <w:p>
      <w:pPr>
        <w:pStyle w:val="Heading1"/>
      </w:pPr>
      <w:r>
        <w:t>Slide-by-Slide Script</w:t>
      </w:r>
    </w:p>
    <w:p>
      <w:pPr>
        <w:pStyle w:val="Heading2"/>
        <w:keepNext/>
      </w:pPr>
      <w:r>
        <w:t>Slide 1: Relational Thinking Changes the Question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single-person problem label widens into a map of relationships, context, and recurring interactions.</w:t>
            </w:r>
          </w:p>
        </w:tc>
        <w:tc>
          <w:tcPr>
            <w:tcW w:type="dxa" w:w="5112"/>
            <w:shd w:fill="DCEFF6"/>
            <w:tcMar>
              <w:top w:w="90" w:type="dxa"/>
              <w:start w:w="110" w:type="dxa"/>
              <w:bottom w:w="90" w:type="dxa"/>
              <w:end w:w="110" w:type="dxa"/>
            </w:tcMar>
            <w:vAlign w:val="top"/>
          </w:tcPr>
          <w:p>
            <w:pPr>
              <w:keepNext/>
              <w:keepLines/>
            </w:pPr>
            <w:r>
              <w:rPr>
                <w:color w:val="243B53"/>
                <w:sz w:val="17"/>
              </w:rPr>
              <w:t>From “Who Is the Problem?” to “What Pattern Is Happening?”</w:t>
            </w:r>
          </w:p>
        </w:tc>
      </w:tr>
    </w:tbl>
    <w:p>
      <w:pPr>
        <w:pStyle w:val="CTALabel"/>
        <w:keepNext/>
      </w:pPr>
      <w:r>
        <w:t>Narration</w:t>
      </w:r>
    </w:p>
    <w:p>
      <w:pPr>
        <w:pStyle w:val="CTANarration"/>
        <w:keepLines/>
        <w:ind w:left="259" w:right="173"/>
      </w:pPr>
      <w:r>
        <w:t>LMFT questions often become clearer when you shift from asking who is the problem to asking what pattern is happening, who is affected, and what keeps the pattern going. Relational thinking does not ignore individual symptoms. It places those symptoms within interactions, development, culture, stress, resources, and safety. The best exam answer often gathers multiple perspectives and clarifies the sequence before choosing a technique or accepting the referral label as the final formulation.</w:t>
      </w:r>
    </w:p>
    <w:p>
      <w:pPr>
        <w:pStyle w:val="Heading2"/>
        <w:keepNext/>
      </w:pPr>
      <w:r>
        <w:t>Slide 2: Identify the Treatment Unit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Nested circles labeled individual, couple, family, and larger system.</w:t>
            </w:r>
          </w:p>
        </w:tc>
        <w:tc>
          <w:tcPr>
            <w:tcW w:type="dxa" w:w="5112"/>
            <w:shd w:fill="DCEFF6"/>
            <w:tcMar>
              <w:top w:w="90" w:type="dxa"/>
              <w:start w:w="110" w:type="dxa"/>
              <w:bottom w:w="90" w:type="dxa"/>
              <w:end w:w="110" w:type="dxa"/>
            </w:tcMar>
            <w:vAlign w:val="top"/>
          </w:tcPr>
          <w:p>
            <w:pPr>
              <w:keepNext/>
              <w:keepLines/>
            </w:pPr>
            <w:r>
              <w:rPr>
                <w:color w:val="243B53"/>
                <w:sz w:val="17"/>
              </w:rPr>
              <w:t>Who Is the Client System?</w:t>
            </w:r>
          </w:p>
        </w:tc>
      </w:tr>
    </w:tbl>
    <w:p>
      <w:pPr>
        <w:pStyle w:val="CTALabel"/>
        <w:keepNext/>
      </w:pPr>
      <w:r>
        <w:t>Narration</w:t>
      </w:r>
    </w:p>
    <w:p>
      <w:pPr>
        <w:pStyle w:val="CTANarration"/>
        <w:keepLines/>
        <w:ind w:left="259" w:right="173"/>
      </w:pPr>
      <w:r>
        <w:t>Start by identifying the treatment unit. The person in the room may be an individual, but the clinically relevant unit may include a couple, parent-child relationship, family, caregiver network, or other system. Ask who requested treatment, who is participating, whose goals are being represented, and who may be affected by change. The exam may test whether you preserve the client’s voice while still assessing the relationships and systems that shape the presenting concern.</w:t>
      </w:r>
    </w:p>
    <w:p>
      <w:pPr>
        <w:pStyle w:val="Heading2"/>
        <w:keepNext/>
      </w:pPr>
      <w:r>
        <w:t>Slide 3: Track Sequences, Not Isolated Moments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circular sequence: cue, response, counterresponse, escalation, temporary relief, repeat.</w:t>
            </w:r>
          </w:p>
        </w:tc>
        <w:tc>
          <w:tcPr>
            <w:tcW w:type="dxa" w:w="5112"/>
            <w:shd w:fill="DCEFF6"/>
            <w:tcMar>
              <w:top w:w="90" w:type="dxa"/>
              <w:start w:w="110" w:type="dxa"/>
              <w:bottom w:w="90" w:type="dxa"/>
              <w:end w:w="110" w:type="dxa"/>
            </w:tcMar>
            <w:vAlign w:val="top"/>
          </w:tcPr>
          <w:p>
            <w:pPr>
              <w:keepNext/>
              <w:keepLines/>
            </w:pPr>
            <w:r>
              <w:rPr>
                <w:color w:val="243B53"/>
                <w:sz w:val="17"/>
              </w:rPr>
              <w:t>Cue → Response → Counterresponse → Repeat</w:t>
            </w:r>
          </w:p>
        </w:tc>
      </w:tr>
    </w:tbl>
    <w:p>
      <w:pPr>
        <w:pStyle w:val="CTALabel"/>
        <w:keepNext/>
      </w:pPr>
      <w:r>
        <w:t>Narration</w:t>
      </w:r>
    </w:p>
    <w:p>
      <w:pPr>
        <w:pStyle w:val="CTANarration"/>
        <w:keepLines/>
        <w:ind w:left="259" w:right="173"/>
      </w:pPr>
      <w:r>
        <w:t>A systemic formulation tracks what happens before, during, and after the problem behavior. One partner pursues, the other withdraws, the first intensifies, and the second shuts down further. A child escalates, a caregiver gives in, the immediate conflict stops, and the pattern becomes more likely next time. The task is not to decide who started it. The task is to understand the sequence, the function of each response, and the points where the cycle can change.</w:t>
      </w:r>
    </w:p>
    <w:p>
      <w:pPr>
        <w:pStyle w:val="Heading2"/>
        <w:keepNext/>
      </w:pPr>
      <w:r>
        <w:t>Slide 4: Reciprocal Influence Is Not Equal Blame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Two arrows of influence beside an unequal power scale.</w:t>
            </w:r>
          </w:p>
        </w:tc>
        <w:tc>
          <w:tcPr>
            <w:tcW w:type="dxa" w:w="5112"/>
            <w:shd w:fill="DCEFF6"/>
            <w:tcMar>
              <w:top w:w="90" w:type="dxa"/>
              <w:start w:w="110" w:type="dxa"/>
              <w:bottom w:w="90" w:type="dxa"/>
              <w:end w:w="110" w:type="dxa"/>
            </w:tcMar>
            <w:vAlign w:val="top"/>
          </w:tcPr>
          <w:p>
            <w:pPr>
              <w:keepNext/>
              <w:keepLines/>
            </w:pPr>
            <w:r>
              <w:rPr>
                <w:color w:val="243B53"/>
                <w:sz w:val="17"/>
              </w:rPr>
              <w:t>Mutual Influence ≠ Equal Responsibility</w:t>
            </w:r>
          </w:p>
        </w:tc>
      </w:tr>
    </w:tbl>
    <w:p>
      <w:pPr>
        <w:pStyle w:val="CTALabel"/>
        <w:keepNext/>
      </w:pPr>
      <w:r>
        <w:t>Narration</w:t>
      </w:r>
    </w:p>
    <w:p>
      <w:pPr>
        <w:pStyle w:val="CTANarration"/>
        <w:keepLines/>
        <w:ind w:left="259" w:right="173"/>
      </w:pPr>
      <w:r>
        <w:t>Systemic thinking recognizes reciprocal influence, but it does not mean every participant is equally responsible. A frightened partner’s accommodation may affect a coercive pattern, but the person using threats remains responsible for the threats. A child’s behavior may influence family stress, but adults retain caregiving responsibility. On the exam, reject answers that use systems language to minimize abuse, excuse exploitation, or pressure a less powerful person into unsafe conjoint work.</w:t>
      </w:r>
    </w:p>
    <w:p>
      <w:pPr>
        <w:pStyle w:val="Heading2"/>
        <w:keepNext/>
      </w:pPr>
      <w:r>
        <w:t>Slide 5: Include Development, Culture, and Context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Context layers around a family: development, culture, health, housing, discrimination, school, work.</w:t>
            </w:r>
          </w:p>
        </w:tc>
        <w:tc>
          <w:tcPr>
            <w:tcW w:type="dxa" w:w="5112"/>
            <w:shd w:fill="DCEFF6"/>
            <w:tcMar>
              <w:top w:w="90" w:type="dxa"/>
              <w:start w:w="110" w:type="dxa"/>
              <w:bottom w:w="90" w:type="dxa"/>
              <w:end w:w="110" w:type="dxa"/>
            </w:tcMar>
            <w:vAlign w:val="top"/>
          </w:tcPr>
          <w:p>
            <w:pPr>
              <w:keepNext/>
              <w:keepLines/>
            </w:pPr>
            <w:r>
              <w:rPr>
                <w:color w:val="243B53"/>
                <w:sz w:val="17"/>
              </w:rPr>
              <w:t>Patterns Occur in Context</w:t>
            </w:r>
          </w:p>
        </w:tc>
      </w:tr>
    </w:tbl>
    <w:p>
      <w:pPr>
        <w:pStyle w:val="CTALabel"/>
        <w:keepNext/>
      </w:pPr>
      <w:r>
        <w:t>Narration</w:t>
      </w:r>
    </w:p>
    <w:p>
      <w:pPr>
        <w:pStyle w:val="CTANarration"/>
        <w:keepLines/>
        <w:ind w:left="259" w:right="173"/>
      </w:pPr>
      <w:r>
        <w:t>Relational patterns do not occur in a vacuum. Developmental stage, culture, migration, disability, health, finances, housing, discrimination, caregiving demands, and community support can shape what a behavior means and what intervention is feasible. A quiet adolescent may be anxious, culturally deferential, depressed, frightened, or simply waiting for space to speak. Good assessment describes what is observed, asks how the family understands it, and avoids turning one cultural assumption into a diagnosis.</w:t>
      </w:r>
    </w:p>
    <w:p>
      <w:pPr>
        <w:pStyle w:val="Heading2"/>
        <w:keepNext/>
      </w:pPr>
      <w:r>
        <w:t>Slide 6: Assess Roles, Boundaries, and Alliances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Family map showing roles, boundaries, coalitions, and cross-generational tension.</w:t>
            </w:r>
          </w:p>
        </w:tc>
        <w:tc>
          <w:tcPr>
            <w:tcW w:type="dxa" w:w="5112"/>
            <w:shd w:fill="DCEFF6"/>
            <w:tcMar>
              <w:top w:w="90" w:type="dxa"/>
              <w:start w:w="110" w:type="dxa"/>
              <w:bottom w:w="90" w:type="dxa"/>
              <w:end w:w="110" w:type="dxa"/>
            </w:tcMar>
            <w:vAlign w:val="top"/>
          </w:tcPr>
          <w:p>
            <w:pPr>
              <w:keepNext/>
              <w:keepLines/>
            </w:pPr>
            <w:r>
              <w:rPr>
                <w:color w:val="243B53"/>
                <w:sz w:val="17"/>
              </w:rPr>
              <w:t>Roles • Boundaries • Alliances • Hierarchy</w:t>
            </w:r>
          </w:p>
        </w:tc>
      </w:tr>
    </w:tbl>
    <w:p>
      <w:pPr>
        <w:pStyle w:val="CTALabel"/>
        <w:keepNext/>
      </w:pPr>
      <w:r>
        <w:t>Narration</w:t>
      </w:r>
    </w:p>
    <w:p>
      <w:pPr>
        <w:pStyle w:val="CTANarration"/>
        <w:keepLines/>
        <w:ind w:left="259" w:right="173"/>
      </w:pPr>
      <w:r>
        <w:t>Look for how responsibilities and influence are organized. Are boundaries overly rigid or diffuse? Is a child carrying an adult role? Are two family members aligned against a third? Does one person speak for everyone? These observations are hypotheses, not verdicts. The first response is usually to invite perspectives, clarify the interaction, and assess functioning and safety rather than announcing a structural label or immediately reorganizing the family.</w:t>
      </w:r>
    </w:p>
    <w:p>
      <w:pPr>
        <w:pStyle w:val="Heading2"/>
        <w:keepNext/>
      </w:pPr>
      <w:r>
        <w:t>Slide 7: Find Strengths and Exceptions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pattern map with highlighted exceptions and existing supports.</w:t>
            </w:r>
          </w:p>
        </w:tc>
        <w:tc>
          <w:tcPr>
            <w:tcW w:type="dxa" w:w="5112"/>
            <w:shd w:fill="DCEFF6"/>
            <w:tcMar>
              <w:top w:w="90" w:type="dxa"/>
              <w:start w:w="110" w:type="dxa"/>
              <w:bottom w:w="90" w:type="dxa"/>
              <w:end w:w="110" w:type="dxa"/>
            </w:tcMar>
            <w:vAlign w:val="top"/>
          </w:tcPr>
          <w:p>
            <w:pPr>
              <w:keepNext/>
              <w:keepLines/>
            </w:pPr>
            <w:r>
              <w:rPr>
                <w:color w:val="243B53"/>
                <w:sz w:val="17"/>
              </w:rPr>
              <w:t>What Already Works?</w:t>
            </w:r>
          </w:p>
        </w:tc>
      </w:tr>
    </w:tbl>
    <w:p>
      <w:pPr>
        <w:pStyle w:val="CTALabel"/>
        <w:keepNext/>
      </w:pPr>
      <w:r>
        <w:t>Narration</w:t>
      </w:r>
    </w:p>
    <w:p>
      <w:pPr>
        <w:pStyle w:val="CTANarration"/>
        <w:keepLines/>
        <w:ind w:left="259" w:right="173"/>
      </w:pPr>
      <w:r>
        <w:t>Systemic assessment also identifies strengths. Ask when the problem is less intense, how the family has managed previous stress, who can help, and what interactions already support connection or regulation. Exceptions reveal possible leverage points. They also prevent the formulation from becoming a list of deficits. On the exam, a collaborative answer that identifies resources and effective exceptions is often stronger than an answer that defines the system only by dysfunction.</w:t>
      </w:r>
    </w:p>
    <w:p>
      <w:pPr>
        <w:pStyle w:val="Heading2"/>
        <w:keepNext/>
      </w:pPr>
      <w:r>
        <w:t>Slide 8: Hold Multiple Perspectives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Three speech bubbles with overlapping but different views of the same event.</w:t>
            </w:r>
          </w:p>
        </w:tc>
        <w:tc>
          <w:tcPr>
            <w:tcW w:type="dxa" w:w="5112"/>
            <w:shd w:fill="DCEFF6"/>
            <w:tcMar>
              <w:top w:w="90" w:type="dxa"/>
              <w:start w:w="110" w:type="dxa"/>
              <w:bottom w:w="90" w:type="dxa"/>
              <w:end w:w="110" w:type="dxa"/>
            </w:tcMar>
            <w:vAlign w:val="top"/>
          </w:tcPr>
          <w:p>
            <w:pPr>
              <w:keepNext/>
              <w:keepLines/>
            </w:pPr>
            <w:r>
              <w:rPr>
                <w:color w:val="243B53"/>
                <w:sz w:val="17"/>
              </w:rPr>
              <w:t>Different Views Can All Contain Data</w:t>
            </w:r>
          </w:p>
        </w:tc>
      </w:tr>
    </w:tbl>
    <w:p>
      <w:pPr>
        <w:pStyle w:val="CTALabel"/>
        <w:keepNext/>
      </w:pPr>
      <w:r>
        <w:t>Narration</w:t>
      </w:r>
    </w:p>
    <w:p>
      <w:pPr>
        <w:pStyle w:val="CTANarration"/>
        <w:keepLines/>
        <w:ind w:left="259" w:right="173"/>
      </w:pPr>
      <w:r>
        <w:t>In couple and family work, different accounts do not automatically mean someone is lying. Each person may notice different events, meanings, or consequences. The therapist can validate the importance of each perspective without agreeing that every conclusion is accurate. When accounts conflict, clarify specific behavior, timing, impact, and context. Avoid taking sides too early, but do not use neutrality to avoid responding to clear danger, coercion, or exploitation.</w:t>
      </w:r>
    </w:p>
    <w:p>
      <w:pPr>
        <w:pStyle w:val="Heading2"/>
        <w:keepNext/>
      </w:pPr>
      <w:r>
        <w:t>Slide 9: Safety and Power Can Change the Format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conjoint-session icon pauses at a safety checkpoint.</w:t>
            </w:r>
          </w:p>
        </w:tc>
        <w:tc>
          <w:tcPr>
            <w:tcW w:type="dxa" w:w="5112"/>
            <w:shd w:fill="DCEFF6"/>
            <w:tcMar>
              <w:top w:w="90" w:type="dxa"/>
              <w:start w:w="110" w:type="dxa"/>
              <w:bottom w:w="90" w:type="dxa"/>
              <w:end w:w="110" w:type="dxa"/>
            </w:tcMar>
            <w:vAlign w:val="top"/>
          </w:tcPr>
          <w:p>
            <w:pPr>
              <w:keepNext/>
              <w:keepLines/>
            </w:pPr>
            <w:r>
              <w:rPr>
                <w:color w:val="243B53"/>
                <w:sz w:val="17"/>
              </w:rPr>
              <w:t>Assess Safety Before Conjoint Disclosure</w:t>
            </w:r>
          </w:p>
        </w:tc>
      </w:tr>
    </w:tbl>
    <w:p>
      <w:pPr>
        <w:pStyle w:val="CTALabel"/>
        <w:keepNext/>
      </w:pPr>
      <w:r>
        <w:t>Narration</w:t>
      </w:r>
    </w:p>
    <w:p>
      <w:pPr>
        <w:pStyle w:val="CTANarration"/>
        <w:keepLines/>
        <w:ind w:left="259" w:right="173"/>
      </w:pPr>
      <w:r>
        <w:t>A relational approach does not require conjoint treatment. If one partner fears retaliation, if violence or coercive control is present, or if disclosure may increase danger, assess safety and treatment suitability before facilitating open discussion. The correct answer may involve separate assessment, safety planning, consultation, referral, or a different level of care. The treatment format must fit the power and risk conditions, not simply the therapist’s preference for working with the whole system together.</w:t>
      </w:r>
    </w:p>
    <w:p>
      <w:pPr>
        <w:pStyle w:val="Heading2"/>
        <w:keepNext/>
      </w:pPr>
      <w:r>
        <w:t>Slide 10: Example: Pursue and Withdraw</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couple cycle with emotion and behavior labels under each step.</w:t>
            </w:r>
          </w:p>
        </w:tc>
        <w:tc>
          <w:tcPr>
            <w:tcW w:type="dxa" w:w="5112"/>
            <w:shd w:fill="DCEFF6"/>
            <w:tcMar>
              <w:top w:w="90" w:type="dxa"/>
              <w:start w:w="110" w:type="dxa"/>
              <w:bottom w:w="90" w:type="dxa"/>
              <w:end w:w="110" w:type="dxa"/>
            </w:tcMar>
            <w:vAlign w:val="top"/>
          </w:tcPr>
          <w:p>
            <w:pPr>
              <w:keepNext/>
              <w:keepLines/>
            </w:pPr>
            <w:r>
              <w:rPr>
                <w:color w:val="243B53"/>
                <w:sz w:val="17"/>
              </w:rPr>
              <w:t>Name the Cycle Before Choosing the Technique</w:t>
            </w:r>
          </w:p>
        </w:tc>
      </w:tr>
    </w:tbl>
    <w:p>
      <w:pPr>
        <w:pStyle w:val="CTALabel"/>
        <w:keepNext/>
      </w:pPr>
      <w:r>
        <w:t>Narration</w:t>
      </w:r>
    </w:p>
    <w:p>
      <w:pPr>
        <w:pStyle w:val="CTANarration"/>
        <w:keepLines/>
        <w:ind w:left="259" w:right="173"/>
      </w:pPr>
      <w:r>
        <w:t>Consider a couple in which one partner repeatedly demands reassurance and the other becomes silent. A premature answer labels one person needy or the other avoidant and immediately assigns a communication exercise. A stronger first step clarifies triggers, emotions, meanings, escalation, repair attempts, safety, and each partner’s goals. Once the cycle is understood, the therapist can select an intervention that slows the sequence and creates a different response rather than simply correcting one person.</w:t>
      </w:r>
    </w:p>
    <w:p>
      <w:pPr>
        <w:pStyle w:val="Heading2"/>
        <w:keepNext/>
      </w:pPr>
      <w:r>
        <w:t>Slide 11: Example: The Identified Patient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Parents pointing toward a teenager while the family interaction map expands.</w:t>
            </w:r>
          </w:p>
        </w:tc>
        <w:tc>
          <w:tcPr>
            <w:tcW w:type="dxa" w:w="5112"/>
            <w:shd w:fill="DCEFF6"/>
            <w:tcMar>
              <w:top w:w="90" w:type="dxa"/>
              <w:start w:w="110" w:type="dxa"/>
              <w:bottom w:w="90" w:type="dxa"/>
              <w:end w:w="110" w:type="dxa"/>
            </w:tcMar>
            <w:vAlign w:val="top"/>
          </w:tcPr>
          <w:p>
            <w:pPr>
              <w:keepNext/>
              <w:keepLines/>
            </w:pPr>
            <w:r>
              <w:rPr>
                <w:color w:val="243B53"/>
                <w:sz w:val="17"/>
              </w:rPr>
              <w:t>The Referral Label Is Not the Formulation</w:t>
            </w:r>
          </w:p>
        </w:tc>
      </w:tr>
    </w:tbl>
    <w:p>
      <w:pPr>
        <w:pStyle w:val="CTALabel"/>
        <w:keepNext/>
      </w:pPr>
      <w:r>
        <w:t>Narration</w:t>
      </w:r>
    </w:p>
    <w:p>
      <w:pPr>
        <w:pStyle w:val="CTANarration"/>
        <w:keepLines/>
        <w:ind w:left="259" w:right="173"/>
      </w:pPr>
      <w:r>
        <w:t>Now imagine parents who describe their teenager as the cause of every family problem while the teenager remains silent. The exam may tempt you to accept the identified-patient frame or to exclude the teenager because of limited participation. A better response invites each person’s perspective, assesses the teenager directly in a developmentally appropriate way, evaluates safety and functioning, and maps the family sequence. The teenager may have genuine symptoms, but those symptoms should not become the only explanation for the system’s distress.</w:t>
      </w:r>
    </w:p>
    <w:p>
      <w:pPr>
        <w:pStyle w:val="Heading2"/>
        <w:keepNext/>
      </w:pPr>
      <w:r>
        <w:t>Slide 12: Common Systemic Reasoning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blame one person, equalize power, intervene too soon, ignore context.</w:t>
            </w:r>
          </w:p>
        </w:tc>
        <w:tc>
          <w:tcPr>
            <w:tcW w:type="dxa" w:w="5112"/>
            <w:shd w:fill="DCEFF6"/>
            <w:tcMar>
              <w:top w:w="90" w:type="dxa"/>
              <w:start w:w="110" w:type="dxa"/>
              <w:bottom w:w="90" w:type="dxa"/>
              <w:end w:w="110" w:type="dxa"/>
            </w:tcMar>
            <w:vAlign w:val="top"/>
          </w:tcPr>
          <w:p>
            <w:pPr>
              <w:keepNext/>
              <w:keepLines/>
            </w:pPr>
            <w:r>
              <w:rPr>
                <w:color w:val="243B53"/>
                <w:sz w:val="17"/>
              </w:rPr>
              <w:t>Blame • False Equivalence • Premature Technique • Context Blindness</w:t>
            </w:r>
          </w:p>
        </w:tc>
      </w:tr>
    </w:tbl>
    <w:p>
      <w:pPr>
        <w:pStyle w:val="CTALabel"/>
        <w:keepNext/>
      </w:pPr>
      <w:r>
        <w:t>Narration</w:t>
      </w:r>
    </w:p>
    <w:p>
      <w:pPr>
        <w:pStyle w:val="CTANarration"/>
        <w:keepLines/>
        <w:ind w:left="259" w:right="173"/>
      </w:pPr>
      <w:r>
        <w:t>Watch for four traps. First, locating the entire problem inside one person. Second, confusing reciprocal influence with equal responsibility. Third, selecting a couple or family technique before assessing safety, motivation, and the sequence. Fourth, ignoring developmental, cultural, medical, or environmental context. An answer can sound relational and still be unsafe or premature. The strongest option usually preserves complexity while identifying the next clinically necessary step.</w:t>
      </w:r>
    </w:p>
    <w:p>
      <w:pPr>
        <w:pStyle w:val="Heading2"/>
        <w:keepNext/>
      </w:pPr>
      <w:r>
        <w:t>Slide 13: Use the Systemic Reasoning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Checklist beside a relational map.</w:t>
            </w:r>
          </w:p>
        </w:tc>
        <w:tc>
          <w:tcPr>
            <w:tcW w:type="dxa" w:w="5112"/>
            <w:shd w:fill="DCEFF6"/>
            <w:tcMar>
              <w:top w:w="90" w:type="dxa"/>
              <w:start w:w="110" w:type="dxa"/>
              <w:bottom w:w="90" w:type="dxa"/>
              <w:end w:w="110" w:type="dxa"/>
            </w:tcMar>
            <w:vAlign w:val="top"/>
          </w:tcPr>
          <w:p>
            <w:pPr>
              <w:keepNext/>
              <w:keepLines/>
            </w:pPr>
            <w:r>
              <w:rPr>
                <w:color w:val="243B53"/>
                <w:sz w:val="17"/>
              </w:rPr>
              <w:t>Unit • Pattern • Context • Power • Strengths • Next Step</w:t>
            </w:r>
          </w:p>
        </w:tc>
      </w:tr>
    </w:tbl>
    <w:p>
      <w:pPr>
        <w:pStyle w:val="CTALabel"/>
        <w:keepNext/>
      </w:pPr>
      <w:r>
        <w:t>Narration</w:t>
      </w:r>
    </w:p>
    <w:p>
      <w:pPr>
        <w:pStyle w:val="CTANarration"/>
        <w:keepLines/>
        <w:ind w:left="259" w:right="173"/>
      </w:pPr>
      <w:r>
        <w:t>Use this systemic reasoning check. What is the treatment unit? What sequence is repeating? What individual, relational, developmental, cultural, and environmental factors matter? Is power unequal or safety uncertain? What strengths or exceptions are available? What information is still missing before choosing an intervention? This check helps you reject answers that are blaming, overly certain, or disconnected from the client system.</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practice item with a blank cycle map and the systemic check beside it.</w:t>
            </w:r>
          </w:p>
        </w:tc>
        <w:tc>
          <w:tcPr>
            <w:tcW w:type="dxa" w:w="5112"/>
            <w:shd w:fill="DCEFF6"/>
            <w:tcMar>
              <w:top w:w="90" w:type="dxa"/>
              <w:start w:w="110" w:type="dxa"/>
              <w:bottom w:w="90" w:type="dxa"/>
              <w:end w:w="110" w:type="dxa"/>
            </w:tcMar>
            <w:vAlign w:val="top"/>
          </w:tcPr>
          <w:p>
            <w:pPr>
              <w:keepNext/>
              <w:keepLines/>
            </w:pPr>
            <w:r>
              <w:rPr>
                <w:color w:val="243B53"/>
                <w:sz w:val="17"/>
              </w:rPr>
              <w:t>Next: Map the Pattern Before Choosing</w:t>
            </w:r>
          </w:p>
        </w:tc>
      </w:tr>
    </w:tbl>
    <w:p>
      <w:pPr>
        <w:pStyle w:val="CTALabel"/>
        <w:keepNext/>
      </w:pPr>
      <w:r>
        <w:t>Narration</w:t>
      </w:r>
    </w:p>
    <w:p>
      <w:pPr>
        <w:pStyle w:val="CTANarration"/>
        <w:keepLines/>
        <w:ind w:left="259" w:right="173"/>
      </w:pPr>
      <w:r>
        <w:t>During your next LMFT question bank, pause before selecting an answer and map the pattern in one sentence. Identify the treatment unit, the repeated sequence, the context, and any safety or power concern. Then choose the option that gathers the needed relational information or changes the most relevant part of the cycle. Add any blame-based or premature-modality error to your CTA error log.</w:t>
      </w:r>
    </w:p>
    <w:p>
      <w:pPr>
        <w:pStyle w:val="Heading1"/>
      </w:pPr>
      <w:r>
        <w:t>Audio-Only Adaptation Notes</w:t>
      </w:r>
    </w:p>
    <w:p>
      <w:pPr>
        <w:pStyle w:val="ListBullet"/>
        <w:spacing w:after="40"/>
        <w:ind w:left="360" w:hanging="216"/>
      </w:pPr>
      <w:r>
        <w:t>Describe each relational diagram as a sequence so audio listeners can follow the cycle.</w:t>
      </w:r>
    </w:p>
    <w:p>
      <w:pPr>
        <w:pStyle w:val="ListBullet"/>
        <w:spacing w:after="40"/>
        <w:ind w:left="360" w:hanging="216"/>
      </w:pPr>
      <w:r>
        <w:t>Say “reciprocal influence does not mean equal responsibility” slowly and distinctly.</w:t>
      </w:r>
    </w:p>
    <w:p>
      <w:pPr>
        <w:pStyle w:val="ListBullet"/>
        <w:spacing w:after="40"/>
        <w:ind w:left="360" w:hanging="216"/>
      </w:pPr>
      <w:r>
        <w:t>Name the six parts of the systemic reasoning check aloud near the end.</w:t>
      </w:r>
    </w:p>
    <w:p>
      <w:pPr>
        <w:pStyle w:val="ListBullet"/>
        <w:spacing w:after="40"/>
        <w:ind w:left="360" w:hanging="216"/>
      </w:pPr>
      <w:r>
        <w:t>End by directing the student to map one pattern during the next LMFT question bank.</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establish the relational lens used throughout the LMFT program. Later assessment, diagnosis, planning, intervention, and legal-ethical lessons should refer back to the treatment unit, repeated sequence, context, power, safety, and strengths.</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Relationally and Systemically</dc:title>
  <dc:subject>CTA LMFT Multimedia Script 01</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