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Clinical Evaluation and the Mental Status Examination</w:t>
      </w:r>
    </w:p>
    <w:p>
      <w:pPr>
        <w:jc w:val="center"/>
      </w:pPr>
      <w:r>
        <w:rPr>
          <w:rFonts w:ascii="Aptos Display" w:hAnsi="Aptos Display"/>
          <w:b/>
          <w:color w:val="2AA7D6"/>
          <w:sz w:val="32"/>
        </w:rPr>
        <w:t>LMFT-Specific Multimedia Script 02</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LMFT candidates to conduct a focused, culturally responsive clinical evaluation, document mental-status findings behaviorally, and identify when medical, medication, substance, or safety factors require priority action.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preparing for clinical-evaluation and crisis-management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paired with Clinical Engagement, Intake, and Mental Status Assessment.</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Workbooks 2, 3, and 4, with crisis and legal reinforcement from Workbooks 6 and 12.</w:t>
            </w:r>
          </w:p>
        </w:tc>
      </w:tr>
    </w:tbl>
    <w:p>
      <w:pPr>
        <w:spacing w:after="20"/>
      </w:pPr>
    </w:p>
    <w:p>
      <w:pPr>
        <w:pStyle w:val="Heading1"/>
      </w:pPr>
      <w:r>
        <w:t>Learning Outcomes</w:t>
      </w:r>
    </w:p>
    <w:p>
      <w:pPr>
        <w:pStyle w:val="ListBullet"/>
        <w:spacing w:after="40"/>
        <w:ind w:left="360" w:hanging="216"/>
      </w:pPr>
      <w:r>
        <w:t>Sequence engagement, broad assessment, focused clarification, and action.</w:t>
      </w:r>
    </w:p>
    <w:p>
      <w:pPr>
        <w:pStyle w:val="ListBullet"/>
        <w:spacing w:after="40"/>
        <w:ind w:left="360" w:hanging="216"/>
      </w:pPr>
      <w:r>
        <w:t>Identify core mental-status domains without using the MSE as a rigid checklist.</w:t>
      </w:r>
    </w:p>
    <w:p>
      <w:pPr>
        <w:pStyle w:val="ListBullet"/>
        <w:spacing w:after="40"/>
        <w:ind w:left="360" w:hanging="216"/>
      </w:pPr>
      <w:r>
        <w:t>Document observed behavior separately from interpretation.</w:t>
      </w:r>
    </w:p>
    <w:p>
      <w:pPr>
        <w:pStyle w:val="ListBullet"/>
        <w:spacing w:after="40"/>
        <w:ind w:left="360" w:hanging="216"/>
      </w:pPr>
      <w:r>
        <w:t>Recognize medical, medication, substance, and safety priorities.</w:t>
      </w:r>
    </w:p>
    <w:p>
      <w:pPr>
        <w:pStyle w:val="Heading1"/>
      </w:pPr>
      <w:r>
        <w:t>Voice and Presentation Direction</w:t>
      </w:r>
    </w:p>
    <w:p>
      <w:pPr>
        <w:pStyle w:val="ListBullet"/>
        <w:spacing w:after="40"/>
        <w:ind w:left="360" w:hanging="216"/>
      </w:pPr>
      <w:r>
        <w:t>Use neutral behavioral descriptions rather than diagnostic shorthand.</w:t>
      </w:r>
    </w:p>
    <w:p>
      <w:pPr>
        <w:pStyle w:val="ListBullet"/>
        <w:spacing w:after="40"/>
        <w:ind w:left="360" w:hanging="216"/>
      </w:pPr>
      <w:r>
        <w:t>Reinforce cultural, developmental, language, and disability considerations.</w:t>
      </w:r>
    </w:p>
    <w:p>
      <w:pPr>
        <w:pStyle w:val="ListBullet"/>
        <w:spacing w:after="40"/>
        <w:ind w:left="360" w:hanging="216"/>
      </w:pPr>
      <w:r>
        <w:t>Explain why chronology and change from baseline often control the next step.</w:t>
      </w:r>
    </w:p>
    <w:p>
      <w:pPr>
        <w:pStyle w:val="ListBullet"/>
        <w:spacing w:after="40"/>
        <w:ind w:left="360" w:hanging="216"/>
      </w:pPr>
      <w:r>
        <w:t>Name direct safety questions as clear clinical care, not a threat to rapport.</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precise, nonstigmatizing language. Distinguish observation from inference and emphasize that the mental status examination is one part of a broader evaluation. Slow down during safety and medical-priority examples.</w:t>
            </w:r>
          </w:p>
        </w:tc>
      </w:tr>
    </w:tbl>
    <w:p>
      <w:pPr>
        <w:spacing w:after="20"/>
      </w:pPr>
    </w:p>
    <w:p>
      <w:pPr>
        <w:pStyle w:val="Heading1"/>
      </w:pPr>
      <w:r>
        <w:t>Slide-by-Slide Script</w:t>
      </w:r>
    </w:p>
    <w:p>
      <w:pPr>
        <w:pStyle w:val="Heading2"/>
        <w:keepNext/>
      </w:pPr>
      <w:r>
        <w:t>Slide 1: Evaluation Comes Before Technique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Assessment data flowing into a decision point before an intervention toolbox.</w:t>
            </w:r>
          </w:p>
        </w:tc>
        <w:tc>
          <w:tcPr>
            <w:tcW w:type="dxa" w:w="5112"/>
            <w:shd w:fill="DCEFF6"/>
            <w:tcMar>
              <w:top w:w="90" w:type="dxa"/>
              <w:start w:w="110" w:type="dxa"/>
              <w:bottom w:w="90" w:type="dxa"/>
              <w:end w:w="110" w:type="dxa"/>
            </w:tcMar>
            <w:vAlign w:val="top"/>
          </w:tcPr>
          <w:p>
            <w:pPr>
              <w:keepNext/>
              <w:keepLines/>
            </w:pPr>
            <w:r>
              <w:rPr>
                <w:color w:val="243B53"/>
                <w:sz w:val="17"/>
              </w:rPr>
              <w:t>Gather Enough Information Before Acting</w:t>
            </w:r>
          </w:p>
        </w:tc>
      </w:tr>
    </w:tbl>
    <w:p>
      <w:pPr>
        <w:pStyle w:val="CTALabel"/>
        <w:keepNext/>
      </w:pPr>
      <w:r>
        <w:t>Narration</w:t>
      </w:r>
    </w:p>
    <w:p>
      <w:pPr>
        <w:pStyle w:val="CTANarration"/>
        <w:keepLines/>
        <w:ind w:left="259" w:right="173"/>
      </w:pPr>
      <w:r>
        <w:t>Clinical evaluation answers what is happening, how urgent it is, what may be contributing, and what should happen next. LMFT exam questions often offer several helpful interventions, but the best answer may be to gather one more essential fact. Evaluation is not endless information collection. It is targeted assessment that reaches a clinically usable decision about safety, diagnosis, treatment direction, level of care, or referral.</w:t>
      </w:r>
    </w:p>
    <w:p>
      <w:pPr>
        <w:pStyle w:val="Heading2"/>
        <w:keepNext/>
      </w:pPr>
      <w:r>
        <w:t>Slide 2: Engage the Client and Clarify the Role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Alliance bridge leading into referral source, therapist role, confidentiality, and client goals.</w:t>
            </w:r>
          </w:p>
        </w:tc>
        <w:tc>
          <w:tcPr>
            <w:tcW w:type="dxa" w:w="5112"/>
            <w:shd w:fill="DCEFF6"/>
            <w:tcMar>
              <w:top w:w="90" w:type="dxa"/>
              <w:start w:w="110" w:type="dxa"/>
              <w:bottom w:w="90" w:type="dxa"/>
              <w:end w:w="110" w:type="dxa"/>
            </w:tcMar>
            <w:vAlign w:val="top"/>
          </w:tcPr>
          <w:p>
            <w:pPr>
              <w:keepNext/>
              <w:keepLines/>
            </w:pPr>
            <w:r>
              <w:rPr>
                <w:color w:val="243B53"/>
                <w:sz w:val="17"/>
              </w:rPr>
              <w:t>Engagement + Role Clarity = Better Assessment Data</w:t>
            </w:r>
          </w:p>
        </w:tc>
      </w:tr>
    </w:tbl>
    <w:p>
      <w:pPr>
        <w:pStyle w:val="CTALabel"/>
        <w:keepNext/>
      </w:pPr>
      <w:r>
        <w:t>Narration</w:t>
      </w:r>
    </w:p>
    <w:p>
      <w:pPr>
        <w:pStyle w:val="CTANarration"/>
        <w:keepLines/>
        <w:ind w:left="259" w:right="173"/>
      </w:pPr>
      <w:r>
        <w:t>Engagement is part of evaluation, not a step that happens before evaluation. A respectful, transparent opening helps the therapist understand trust, readiness, expectations, culture, and the client system's response to boundaries. At the same time, clarify who initiated the referral, what the therapist's role is, who the client or treatment unit is, what information may be shared, and what choices remain. Role confusion can distort disclosure, participation, and every conclusion that follows.</w:t>
      </w:r>
    </w:p>
    <w:p>
      <w:pPr>
        <w:pStyle w:val="Heading2"/>
        <w:keepNext/>
      </w:pPr>
      <w:r>
        <w:t>Slide 3: Move From Broad to Focused Questions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funnel from open invitation to focused clarification and direct safety questions.</w:t>
            </w:r>
          </w:p>
        </w:tc>
        <w:tc>
          <w:tcPr>
            <w:tcW w:type="dxa" w:w="5112"/>
            <w:shd w:fill="DCEFF6"/>
            <w:tcMar>
              <w:top w:w="90" w:type="dxa"/>
              <w:start w:w="110" w:type="dxa"/>
              <w:bottom w:w="90" w:type="dxa"/>
              <w:end w:w="110" w:type="dxa"/>
            </w:tcMar>
            <w:vAlign w:val="top"/>
          </w:tcPr>
          <w:p>
            <w:pPr>
              <w:keepNext/>
              <w:keepLines/>
            </w:pPr>
            <w:r>
              <w:rPr>
                <w:color w:val="243B53"/>
                <w:sz w:val="17"/>
              </w:rPr>
              <w:t>Open → Clarify → Focus → Confirm</w:t>
            </w:r>
          </w:p>
        </w:tc>
      </w:tr>
    </w:tbl>
    <w:p>
      <w:pPr>
        <w:pStyle w:val="CTALabel"/>
        <w:keepNext/>
      </w:pPr>
      <w:r>
        <w:t>Narration</w:t>
      </w:r>
    </w:p>
    <w:p>
      <w:pPr>
        <w:pStyle w:val="CTANarration"/>
        <w:keepLines/>
        <w:ind w:left="259" w:right="173"/>
      </w:pPr>
      <w:r>
        <w:t>Begin broadly enough to hear the client’s story, then focus where precision matters. Open questions gather context and meaning. Reflections communicate understanding. Clarifying questions test what the therapist heard. Direct questions establish exact facts such as timing, dose, access to means, or current intent. The best interviewing method depends on the task. Do not use indirect language when a specific answer controls safety or medical urgency.</w:t>
      </w:r>
    </w:p>
    <w:p>
      <w:pPr>
        <w:pStyle w:val="Heading2"/>
        <w:keepNext/>
      </w:pPr>
      <w:r>
        <w:t>Slide 4: Assess the Whole Clinical Picture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Integrated domains: symptoms, functioning, relationships, development, culture, health, substances, strengths.</w:t>
            </w:r>
          </w:p>
        </w:tc>
        <w:tc>
          <w:tcPr>
            <w:tcW w:type="dxa" w:w="5112"/>
            <w:shd w:fill="DCEFF6"/>
            <w:tcMar>
              <w:top w:w="90" w:type="dxa"/>
              <w:start w:w="110" w:type="dxa"/>
              <w:bottom w:w="90" w:type="dxa"/>
              <w:end w:w="110" w:type="dxa"/>
            </w:tcMar>
            <w:vAlign w:val="top"/>
          </w:tcPr>
          <w:p>
            <w:pPr>
              <w:keepNext/>
              <w:keepLines/>
            </w:pPr>
            <w:r>
              <w:rPr>
                <w:color w:val="243B53"/>
                <w:sz w:val="17"/>
              </w:rPr>
              <w:t>Symptoms + Functioning + Context + Health + Supports</w:t>
            </w:r>
          </w:p>
        </w:tc>
      </w:tr>
    </w:tbl>
    <w:p>
      <w:pPr>
        <w:pStyle w:val="CTALabel"/>
        <w:keepNext/>
      </w:pPr>
      <w:r>
        <w:t>Narration</w:t>
      </w:r>
    </w:p>
    <w:p>
      <w:pPr>
        <w:pStyle w:val="CTANarration"/>
        <w:keepLines/>
        <w:ind w:left="259" w:right="173"/>
      </w:pPr>
      <w:r>
        <w:t>A complete evaluation includes the presenting concern, onset, course, severity, functional impact, relationships, development, culture, trauma, strengths, health conditions, medications, substance use, prior care, supports, and goals. Not every domain needs equal time in every encounter. The therapist follows the most important clues. A sudden cognitive change after a medication adjustment requires a different priority than a longstanding relational pattern with stable functioning.</w:t>
      </w:r>
    </w:p>
    <w:p>
      <w:pPr>
        <w:pStyle w:val="Heading2"/>
        <w:keepNext/>
      </w:pPr>
      <w:r>
        <w:t>Slide 5: Use the Mental Status Examination as a Snapshot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MSE domains arranged around a current-time snapshot.</w:t>
            </w:r>
          </w:p>
        </w:tc>
        <w:tc>
          <w:tcPr>
            <w:tcW w:type="dxa" w:w="5112"/>
            <w:shd w:fill="DCEFF6"/>
            <w:tcMar>
              <w:top w:w="90" w:type="dxa"/>
              <w:start w:w="110" w:type="dxa"/>
              <w:bottom w:w="90" w:type="dxa"/>
              <w:end w:w="110" w:type="dxa"/>
            </w:tcMar>
            <w:vAlign w:val="top"/>
          </w:tcPr>
          <w:p>
            <w:pPr>
              <w:keepNext/>
              <w:keepLines/>
            </w:pPr>
            <w:r>
              <w:rPr>
                <w:color w:val="243B53"/>
                <w:sz w:val="17"/>
              </w:rPr>
              <w:t>Appearance • Behavior • Speech • Mood/Affect • Thought • Perception • Cognition • Insight/Judgment</w:t>
            </w:r>
          </w:p>
        </w:tc>
      </w:tr>
    </w:tbl>
    <w:p>
      <w:pPr>
        <w:pStyle w:val="CTALabel"/>
        <w:keepNext/>
      </w:pPr>
      <w:r>
        <w:t>Narration</w:t>
      </w:r>
    </w:p>
    <w:p>
      <w:pPr>
        <w:pStyle w:val="CTANarration"/>
        <w:keepLines/>
        <w:ind w:left="259" w:right="173"/>
      </w:pPr>
      <w:r>
        <w:t>The mental status examination is a structured description of current functioning. It commonly includes appearance and behavior, speech, reported mood, observed affect, thought process, thought content, perception, attention and cognition, orientation, memory, insight, judgment, and impulse control. It is a snapshot, not a complete diagnosis. Interpret findings alongside history, baseline, culture, language, development, medical information, and the immediate setting.</w:t>
      </w:r>
    </w:p>
    <w:p>
      <w:pPr>
        <w:pStyle w:val="Heading2"/>
        <w:keepNext/>
      </w:pPr>
      <w:r>
        <w:t>Slide 6: Describe Behavior Before Assigning Meaning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Observed behaviors in one column and unsupported labels crossed out in another.</w:t>
            </w:r>
          </w:p>
        </w:tc>
        <w:tc>
          <w:tcPr>
            <w:tcW w:type="dxa" w:w="5112"/>
            <w:shd w:fill="DCEFF6"/>
            <w:tcMar>
              <w:top w:w="90" w:type="dxa"/>
              <w:start w:w="110" w:type="dxa"/>
              <w:bottom w:w="90" w:type="dxa"/>
              <w:end w:w="110" w:type="dxa"/>
            </w:tcMar>
            <w:vAlign w:val="top"/>
          </w:tcPr>
          <w:p>
            <w:pPr>
              <w:keepNext/>
              <w:keepLines/>
            </w:pPr>
            <w:r>
              <w:rPr>
                <w:color w:val="243B53"/>
                <w:sz w:val="17"/>
              </w:rPr>
              <w:t>Write What You See and Hear</w:t>
            </w:r>
          </w:p>
        </w:tc>
      </w:tr>
    </w:tbl>
    <w:p>
      <w:pPr>
        <w:pStyle w:val="CTALabel"/>
        <w:keepNext/>
      </w:pPr>
      <w:r>
        <w:t>Narration</w:t>
      </w:r>
    </w:p>
    <w:p>
      <w:pPr>
        <w:pStyle w:val="CTANarration"/>
        <w:keepLines/>
        <w:ind w:left="259" w:right="173"/>
      </w:pPr>
      <w:r>
        <w:t>Document observable behavior before inferring why it occurred. “Speaks softly, pauses before answering, and maintains limited eye contact” is more accurate than “guarded and deceptive” when the cause is unknown. The behavior could relate to anxiety, depression, culture, language, trauma, neurodivergence, or the interview context. Behavioral documentation protects accuracy and leaves room for further assessment.</w:t>
      </w:r>
    </w:p>
    <w:p>
      <w:pPr>
        <w:pStyle w:val="Heading2"/>
        <w:keepNext/>
      </w:pPr>
      <w:r>
        <w:t>Slide 7: Compare With Baseline and Establish Chronology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Timeline comparing usual functioning with a new change.</w:t>
            </w:r>
          </w:p>
        </w:tc>
        <w:tc>
          <w:tcPr>
            <w:tcW w:type="dxa" w:w="5112"/>
            <w:shd w:fill="DCEFF6"/>
            <w:tcMar>
              <w:top w:w="90" w:type="dxa"/>
              <w:start w:w="110" w:type="dxa"/>
              <w:bottom w:w="90" w:type="dxa"/>
              <w:end w:w="110" w:type="dxa"/>
            </w:tcMar>
            <w:vAlign w:val="top"/>
          </w:tcPr>
          <w:p>
            <w:pPr>
              <w:keepNext/>
              <w:keepLines/>
            </w:pPr>
            <w:r>
              <w:rPr>
                <w:color w:val="243B53"/>
                <w:sz w:val="17"/>
              </w:rPr>
              <w:t>What Changed? When? How Fast?</w:t>
            </w:r>
          </w:p>
        </w:tc>
      </w:tr>
    </w:tbl>
    <w:p>
      <w:pPr>
        <w:pStyle w:val="CTALabel"/>
        <w:keepNext/>
      </w:pPr>
      <w:r>
        <w:t>Narration</w:t>
      </w:r>
    </w:p>
    <w:p>
      <w:pPr>
        <w:pStyle w:val="CTANarration"/>
        <w:keepLines/>
        <w:ind w:left="259" w:right="173"/>
      </w:pPr>
      <w:r>
        <w:t>Newness and fluctuation are often more important than the label attached to a symptom. Clarify when the change began, what happened around that time, whether it is constant or episodic, and how current functioning compares with baseline. Sudden confusion, unsteady walking, or altered consciousness can indicate medical, medication, intoxication, or withdrawal risk. A longstanding communication style may require a different interpretation.</w:t>
      </w:r>
    </w:p>
    <w:p>
      <w:pPr>
        <w:pStyle w:val="Heading2"/>
        <w:keepNext/>
      </w:pPr>
      <w:r>
        <w:t>Slide 8: Assess Medical, Medication, and Substance Factors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Medication bottle, health record, substance timeline, and referral pathway.</w:t>
            </w:r>
          </w:p>
        </w:tc>
        <w:tc>
          <w:tcPr>
            <w:tcW w:type="dxa" w:w="5112"/>
            <w:shd w:fill="DCEFF6"/>
            <w:tcMar>
              <w:top w:w="90" w:type="dxa"/>
              <w:start w:w="110" w:type="dxa"/>
              <w:bottom w:w="90" w:type="dxa"/>
              <w:end w:w="110" w:type="dxa"/>
            </w:tcMar>
            <w:vAlign w:val="top"/>
          </w:tcPr>
          <w:p>
            <w:pPr>
              <w:keepNext/>
              <w:keepLines/>
            </w:pPr>
            <w:r>
              <w:rPr>
                <w:color w:val="243B53"/>
                <w:sz w:val="17"/>
              </w:rPr>
              <w:t>Assess and Coordinate - Do Not Prescribe</w:t>
            </w:r>
          </w:p>
        </w:tc>
      </w:tr>
    </w:tbl>
    <w:p>
      <w:pPr>
        <w:pStyle w:val="CTALabel"/>
        <w:keepNext/>
      </w:pPr>
      <w:r>
        <w:t>Narration</w:t>
      </w:r>
    </w:p>
    <w:p>
      <w:pPr>
        <w:pStyle w:val="CTANarration"/>
        <w:keepLines/>
        <w:ind w:left="259" w:right="173"/>
      </w:pPr>
      <w:r>
        <w:t>Ask about health conditions, recent injuries, sleep, pain, pregnancy or postpartum changes, medication starts and stops, missed doses, nonprescription products, alcohol, cannabis, stimulants, sedatives, and other substances. LMFTs can assess effects, encourage medical review, coordinate with consent, and respond to emergencies. They should not direct a client to start, stop, or change a medication dose. When physical or cognitive changes may be medically significant, health evaluation comes before psychological interpretation.</w:t>
      </w:r>
    </w:p>
    <w:p>
      <w:pPr>
        <w:pStyle w:val="Heading2"/>
        <w:keepNext/>
      </w:pPr>
      <w:r>
        <w:t>Slide 9: Ask Directly About Safety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Direct safety questions shown as a clear pathway rather than a vague promise.</w:t>
            </w:r>
          </w:p>
        </w:tc>
        <w:tc>
          <w:tcPr>
            <w:tcW w:type="dxa" w:w="5112"/>
            <w:shd w:fill="DCEFF6"/>
            <w:tcMar>
              <w:top w:w="90" w:type="dxa"/>
              <w:start w:w="110" w:type="dxa"/>
              <w:bottom w:w="90" w:type="dxa"/>
              <w:end w:w="110" w:type="dxa"/>
            </w:tcMar>
            <w:vAlign w:val="top"/>
          </w:tcPr>
          <w:p>
            <w:pPr>
              <w:keepNext/>
              <w:keepLines/>
            </w:pPr>
            <w:r>
              <w:rPr>
                <w:color w:val="243B53"/>
                <w:sz w:val="17"/>
              </w:rPr>
              <w:t>Thoughts • Intent • Plan • Means • History • Protective Factors</w:t>
            </w:r>
          </w:p>
        </w:tc>
      </w:tr>
    </w:tbl>
    <w:p>
      <w:pPr>
        <w:pStyle w:val="CTALabel"/>
        <w:keepNext/>
      </w:pPr>
      <w:r>
        <w:t>Narration</w:t>
      </w:r>
    </w:p>
    <w:p>
      <w:pPr>
        <w:pStyle w:val="CTANarration"/>
        <w:keepLines/>
        <w:ind w:left="259" w:right="173"/>
      </w:pPr>
      <w:r>
        <w:t>When a client statement or behavior suggests self-harm, suicide, violence, abuse, or inability to care safely for self or others, ask direct and specific questions. Clarify current thoughts, intent, plan, access, past behavior, substance involvement, protective factors, supports, and immediate environment. A promise to stay safe does not replace assessment. Direct questions usually improve clarity and do not require abandoning empathy or collaboration.</w:t>
      </w:r>
    </w:p>
    <w:p>
      <w:pPr>
        <w:pStyle w:val="Heading2"/>
        <w:keepNext/>
      </w:pPr>
      <w:r>
        <w:t>Slide 10: Use Collateral Information Carefully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Client, records, family, school, and medical sources connected through consent and relevance filters.</w:t>
            </w:r>
          </w:p>
        </w:tc>
        <w:tc>
          <w:tcPr>
            <w:tcW w:type="dxa" w:w="5112"/>
            <w:shd w:fill="DCEFF6"/>
            <w:tcMar>
              <w:top w:w="90" w:type="dxa"/>
              <w:start w:w="110" w:type="dxa"/>
              <w:bottom w:w="90" w:type="dxa"/>
              <w:end w:w="110" w:type="dxa"/>
            </w:tcMar>
            <w:vAlign w:val="top"/>
          </w:tcPr>
          <w:p>
            <w:pPr>
              <w:keepNext/>
              <w:keepLines/>
            </w:pPr>
            <w:r>
              <w:rPr>
                <w:color w:val="243B53"/>
                <w:sz w:val="17"/>
              </w:rPr>
              <w:t>Consent • Relevance • Reliability • Client Participation</w:t>
            </w:r>
          </w:p>
        </w:tc>
      </w:tr>
    </w:tbl>
    <w:p>
      <w:pPr>
        <w:pStyle w:val="CTALabel"/>
        <w:keepNext/>
      </w:pPr>
      <w:r>
        <w:t>Narration</w:t>
      </w:r>
    </w:p>
    <w:p>
      <w:pPr>
        <w:pStyle w:val="CTANarration"/>
        <w:keepLines/>
        <w:ind w:left="259" w:right="173"/>
      </w:pPr>
      <w:r>
        <w:t>Records and collateral sources can clarify baseline, functioning, risk, and prior treatment, but they do not replace current assessment. Determine whether information sharing is authorized or otherwise legally permitted, obtain only what is relevant, and consider the source’s perspective and reliability. Whenever possible, explain the purpose and include the client in the process. Use qualified language support rather than placing a child or family member in an inappropriate interpreting role.</w:t>
      </w:r>
    </w:p>
    <w:p>
      <w:pPr>
        <w:pStyle w:val="Heading2"/>
        <w:keepNext/>
      </w:pPr>
      <w:r>
        <w:t>Slide 11: Example: Confusion After a Medication Change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client timeline showing a medication change followed by confusion and balance problems.</w:t>
            </w:r>
          </w:p>
        </w:tc>
        <w:tc>
          <w:tcPr>
            <w:tcW w:type="dxa" w:w="5112"/>
            <w:shd w:fill="DCEFF6"/>
            <w:tcMar>
              <w:top w:w="90" w:type="dxa"/>
              <w:start w:w="110" w:type="dxa"/>
              <w:bottom w:w="90" w:type="dxa"/>
              <w:end w:w="110" w:type="dxa"/>
            </w:tcMar>
            <w:vAlign w:val="top"/>
          </w:tcPr>
          <w:p>
            <w:pPr>
              <w:keepNext/>
              <w:keepLines/>
            </w:pPr>
            <w:r>
              <w:rPr>
                <w:color w:val="243B53"/>
                <w:sz w:val="17"/>
              </w:rPr>
              <w:t>New Cognitive or Physical Change = Medical Priority</w:t>
            </w:r>
          </w:p>
        </w:tc>
      </w:tr>
    </w:tbl>
    <w:p>
      <w:pPr>
        <w:pStyle w:val="CTALabel"/>
        <w:keepNext/>
      </w:pPr>
      <w:r>
        <w:t>Narration</w:t>
      </w:r>
    </w:p>
    <w:p>
      <w:pPr>
        <w:pStyle w:val="CTANarration"/>
        <w:keepLines/>
        <w:ind w:left="259" w:right="173"/>
      </w:pPr>
      <w:r>
        <w:t>Consider a client who recently changed medication and now appears confused, has blurred vision, and walks unsteadily. A premature answer interprets the behavior as anxiety, resistance, or a relationship strategy. The stronger response assesses immediate safety, clarifies all medications and substances, and arranges prompt medical guidance or emergency evaluation as indicated. The therapist can return to relational meaning after the possible medical cause is addressed.</w:t>
      </w:r>
    </w:p>
    <w:p>
      <w:pPr>
        <w:pStyle w:val="Heading2"/>
        <w:keepNext/>
      </w:pPr>
      <w:r>
        <w:t>Slide 12: Common Evaluation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diagnose from one sign, infer motive, ignore baseline, intervene before priority assessment.</w:t>
            </w:r>
          </w:p>
        </w:tc>
        <w:tc>
          <w:tcPr>
            <w:tcW w:type="dxa" w:w="5112"/>
            <w:shd w:fill="DCEFF6"/>
            <w:tcMar>
              <w:top w:w="90" w:type="dxa"/>
              <w:start w:w="110" w:type="dxa"/>
              <w:bottom w:w="90" w:type="dxa"/>
              <w:end w:w="110" w:type="dxa"/>
            </w:tcMar>
            <w:vAlign w:val="top"/>
          </w:tcPr>
          <w:p>
            <w:pPr>
              <w:keepNext/>
              <w:keepLines/>
            </w:pPr>
            <w:r>
              <w:rPr>
                <w:color w:val="243B53"/>
                <w:sz w:val="17"/>
              </w:rPr>
              <w:t>Single Sign • Assumed Motive • No Baseline • Premature Intervention</w:t>
            </w:r>
          </w:p>
        </w:tc>
      </w:tr>
    </w:tbl>
    <w:p>
      <w:pPr>
        <w:pStyle w:val="CTALabel"/>
        <w:keepNext/>
      </w:pPr>
      <w:r>
        <w:t>Narration</w:t>
      </w:r>
    </w:p>
    <w:p>
      <w:pPr>
        <w:pStyle w:val="CTANarration"/>
        <w:keepLines/>
        <w:ind w:left="259" w:right="173"/>
      </w:pPr>
      <w:r>
        <w:t>Watch for four traps. First, diagnosing from one symptom or one MSE finding. Second, assigning motive to behavior that may have medical, cultural, or contextual explanations. Third, ignoring chronology and baseline. Fourth, choosing a treatment technique before safety, level of care, or contributing factors are clear. A high-quality answer uses the available data and targets the missing fact that will change the decision.</w:t>
      </w:r>
    </w:p>
    <w:p>
      <w:pPr>
        <w:pStyle w:val="Heading2"/>
        <w:keepNext/>
      </w:pPr>
      <w:r>
        <w:t>Slide 13: Use the Clinical Evaluation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Checklist with role, safety, symptoms, function, context, health, baseline, and next decision.</w:t>
            </w:r>
          </w:p>
        </w:tc>
        <w:tc>
          <w:tcPr>
            <w:tcW w:type="dxa" w:w="5112"/>
            <w:shd w:fill="DCEFF6"/>
            <w:tcMar>
              <w:top w:w="90" w:type="dxa"/>
              <w:start w:w="110" w:type="dxa"/>
              <w:bottom w:w="90" w:type="dxa"/>
              <w:end w:w="110" w:type="dxa"/>
            </w:tcMar>
            <w:vAlign w:val="top"/>
          </w:tcPr>
          <w:p>
            <w:pPr>
              <w:keepNext/>
              <w:keepLines/>
            </w:pPr>
            <w:r>
              <w:rPr>
                <w:color w:val="243B53"/>
                <w:sz w:val="17"/>
              </w:rPr>
              <w:t>Role • Safety • Symptoms • Function • Context • Health • Baseline • Decision</w:t>
            </w:r>
          </w:p>
        </w:tc>
      </w:tr>
    </w:tbl>
    <w:p>
      <w:pPr>
        <w:pStyle w:val="CTALabel"/>
        <w:keepNext/>
      </w:pPr>
      <w:r>
        <w:t>Narration</w:t>
      </w:r>
    </w:p>
    <w:p>
      <w:pPr>
        <w:pStyle w:val="CTANarration"/>
        <w:keepLines/>
        <w:ind w:left="259" w:right="173"/>
      </w:pPr>
      <w:r>
        <w:t>Use this evaluation check. What is the therapist’s role? Is there immediate danger or medical urgency? What are the symptoms, severity, and functional effects? What developmental, cultural, relational, and environmental factors matter? What health, medication, or substance factors must be clarified? Is this a change from baseline? What information is still missing before diagnosis, treatment, referral, or documentation?</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practice vignette beside a blank MSE and chronology note.</w:t>
            </w:r>
          </w:p>
        </w:tc>
        <w:tc>
          <w:tcPr>
            <w:tcW w:type="dxa" w:w="5112"/>
            <w:shd w:fill="DCEFF6"/>
            <w:tcMar>
              <w:top w:w="90" w:type="dxa"/>
              <w:start w:w="110" w:type="dxa"/>
              <w:bottom w:w="90" w:type="dxa"/>
              <w:end w:w="110" w:type="dxa"/>
            </w:tcMar>
            <w:vAlign w:val="top"/>
          </w:tcPr>
          <w:p>
            <w:pPr>
              <w:keepNext/>
              <w:keepLines/>
            </w:pPr>
            <w:r>
              <w:rPr>
                <w:color w:val="243B53"/>
                <w:sz w:val="17"/>
              </w:rPr>
              <w:t>Next: Describe, Date, Differentiate, Decide</w:t>
            </w:r>
          </w:p>
        </w:tc>
      </w:tr>
    </w:tbl>
    <w:p>
      <w:pPr>
        <w:pStyle w:val="CTALabel"/>
        <w:keepNext/>
      </w:pPr>
      <w:r>
        <w:t>Narration</w:t>
      </w:r>
    </w:p>
    <w:p>
      <w:pPr>
        <w:pStyle w:val="CTANarration"/>
        <w:keepLines/>
        <w:ind w:left="259" w:right="173"/>
      </w:pPr>
      <w:r>
        <w:t>During your next LMFT question bank, practice four actions: describe the behavior, establish the timeline, differentiate possible causes, and decide the next level of response. When you miss an item, record whether you diagnosed too soon, ignored a medical or substance clue, or avoided a direct safety question. Those patterns belong in your CTA error log.</w:t>
      </w:r>
    </w:p>
    <w:p>
      <w:pPr>
        <w:pStyle w:val="Heading1"/>
      </w:pPr>
      <w:r>
        <w:t>Audio-Only Adaptation Notes</w:t>
      </w:r>
    </w:p>
    <w:p>
      <w:pPr>
        <w:pStyle w:val="ListBullet"/>
        <w:spacing w:after="40"/>
        <w:ind w:left="360" w:hanging="216"/>
      </w:pPr>
      <w:r>
        <w:t>Read the mental-status domains slowly and group them into observable categories.</w:t>
      </w:r>
    </w:p>
    <w:p>
      <w:pPr>
        <w:pStyle w:val="ListBullet"/>
        <w:spacing w:after="40"/>
        <w:ind w:left="360" w:hanging="216"/>
      </w:pPr>
      <w:r>
        <w:t>Verbally distinguish reported mood from observed affect.</w:t>
      </w:r>
    </w:p>
    <w:p>
      <w:pPr>
        <w:pStyle w:val="ListBullet"/>
        <w:spacing w:after="40"/>
        <w:ind w:left="360" w:hanging="216"/>
      </w:pPr>
      <w:r>
        <w:t>Pause after the direct-safety sequence so listeners can repeat the domains.</w:t>
      </w:r>
    </w:p>
    <w:p>
      <w:pPr>
        <w:pStyle w:val="ListBullet"/>
        <w:spacing w:after="40"/>
        <w:ind w:left="360" w:hanging="216"/>
      </w:pPr>
      <w:r>
        <w:t>End with the four verbs: describe, date, differentiate, decide.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serve as the LMFT evaluation reference for later diagnosis, crisis, planning, and intervention lessons. The core rule is to gather enough accurate information to make the next decision while acting immediately when safety or medical urgency is already established.</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Evaluation and the Mental Status Examination</dc:title>
  <dc:subject>CTA LMFT Multimedia Script 02</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