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Diagnosis and Differential Diagnosis</w:t>
      </w:r>
    </w:p>
    <w:p>
      <w:pPr>
        <w:jc w:val="center"/>
      </w:pPr>
      <w:r>
        <w:rPr>
          <w:rFonts w:ascii="Aptos Display" w:hAnsi="Aptos Display"/>
          <w:b/>
          <w:color w:val="2AA7D6"/>
          <w:sz w:val="32"/>
        </w:rPr>
        <w:t>LMFT-Specific Multimedia Script 03</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LMFT candidates to treat diagnosis as a structured, evidence-based, revisable clinical conclusion and to compare psychiatric, medical, medication, substance, developmental, cultural, trauma, and relational explanations before selecting an answer.</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preparing for diagnosis, differential-diagnosis, and clinical-evaluation questions.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LMFT Profession-Specific Strategy Library, paired with Diagnosis and Differential Diagnosis.</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5, with assessment foundations from Workbooks 2 through 4 and crisis reinforcement from Workbook 6.</w:t>
            </w:r>
          </w:p>
        </w:tc>
      </w:tr>
    </w:tbl>
    <w:p>
      <w:pPr>
        <w:spacing w:after="20"/>
      </w:pPr>
    </w:p>
    <w:p>
      <w:pPr>
        <w:pStyle w:val="Heading1"/>
      </w:pPr>
      <w:r>
        <w:t>Learning Outcomes</w:t>
      </w:r>
    </w:p>
    <w:p>
      <w:pPr>
        <w:pStyle w:val="ListBullet"/>
        <w:spacing w:after="40"/>
        <w:ind w:left="360" w:hanging="216"/>
      </w:pPr>
      <w:r>
        <w:t>Distinguish a working diagnosis from a premature label.</w:t>
      </w:r>
    </w:p>
    <w:p>
      <w:pPr>
        <w:pStyle w:val="ListBullet"/>
        <w:spacing w:after="40"/>
        <w:ind w:left="360" w:hanging="216"/>
      </w:pPr>
      <w:r>
        <w:t>Use pattern, duration, impairment, and exclusion data.</w:t>
      </w:r>
    </w:p>
    <w:p>
      <w:pPr>
        <w:pStyle w:val="ListBullet"/>
        <w:spacing w:after="40"/>
        <w:ind w:left="360" w:hanging="216"/>
      </w:pPr>
      <w:r>
        <w:t>Compare competing explanations and possible comorbidity.</w:t>
      </w:r>
    </w:p>
    <w:p>
      <w:pPr>
        <w:pStyle w:val="ListBullet"/>
        <w:spacing w:after="40"/>
        <w:ind w:left="360" w:hanging="216"/>
      </w:pPr>
      <w:r>
        <w:t>Identify when more assessment or urgent referral comes before diagnosis.</w:t>
      </w:r>
    </w:p>
    <w:p>
      <w:pPr>
        <w:pStyle w:val="Heading1"/>
      </w:pPr>
      <w:r>
        <w:t>Voice and Presentation Direction</w:t>
      </w:r>
    </w:p>
    <w:p>
      <w:pPr>
        <w:pStyle w:val="ListBullet"/>
        <w:spacing w:after="40"/>
        <w:ind w:left="360" w:hanging="216"/>
      </w:pPr>
      <w:r>
        <w:t>Present diagnosis as clinically useful when supported, not as an identity statement.</w:t>
      </w:r>
    </w:p>
    <w:p>
      <w:pPr>
        <w:pStyle w:val="ListBullet"/>
        <w:spacing w:after="40"/>
        <w:ind w:left="360" w:hanging="216"/>
      </w:pPr>
      <w:r>
        <w:t>Use “consider,” “clarify,” and “differentiate” when evidence is incomplete.</w:t>
      </w:r>
    </w:p>
    <w:p>
      <w:pPr>
        <w:pStyle w:val="ListBullet"/>
        <w:spacing w:after="40"/>
        <w:ind w:left="360" w:hanging="216"/>
      </w:pPr>
      <w:r>
        <w:t>Include developmental, cultural, trauma, relational, and health context.</w:t>
      </w:r>
    </w:p>
    <w:p>
      <w:pPr>
        <w:pStyle w:val="ListBullet"/>
        <w:spacing w:after="40"/>
        <w:ind w:left="360" w:hanging="216"/>
      </w:pPr>
      <w:r>
        <w:t>Reinforce that immediate safety and medical needs can precede final diagnosis.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careful, nonabsolute language. Do not reproduce diagnostic-manual criteria verbatim. Emphasize symptom pattern, duration, impairment, exclusions, chronology, and competing explanations.</w:t>
            </w:r>
          </w:p>
        </w:tc>
      </w:tr>
    </w:tbl>
    <w:p>
      <w:pPr>
        <w:spacing w:after="20"/>
      </w:pPr>
    </w:p>
    <w:p>
      <w:pPr>
        <w:pStyle w:val="Heading1"/>
      </w:pPr>
      <w:r>
        <w:t>Slide-by-Slide Script</w:t>
      </w:r>
    </w:p>
    <w:p>
      <w:pPr>
        <w:pStyle w:val="Heading2"/>
        <w:keepNext/>
      </w:pPr>
      <w:r>
        <w:t>Slide 1: Diagnosis Organizes Evidence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Clinical observations and history flowing into a working formulation, not a permanent label.</w:t>
            </w:r>
          </w:p>
        </w:tc>
        <w:tc>
          <w:tcPr>
            <w:tcW w:type="dxa" w:w="5112"/>
            <w:shd w:fill="DCEFF6"/>
            <w:tcMar>
              <w:top w:w="90" w:type="dxa"/>
              <w:start w:w="110" w:type="dxa"/>
              <w:bottom w:w="90" w:type="dxa"/>
              <w:end w:w="110" w:type="dxa"/>
            </w:tcMar>
            <w:vAlign w:val="top"/>
          </w:tcPr>
          <w:p>
            <w:pPr>
              <w:keepNext/>
              <w:keepLines/>
            </w:pPr>
            <w:r>
              <w:rPr>
                <w:color w:val="243B53"/>
                <w:sz w:val="17"/>
              </w:rPr>
              <w:t>Diagnosis = Supported Clinical Explanation</w:t>
            </w:r>
          </w:p>
        </w:tc>
      </w:tr>
    </w:tbl>
    <w:p>
      <w:pPr>
        <w:pStyle w:val="CTALabel"/>
        <w:keepNext/>
      </w:pPr>
      <w:r>
        <w:t>Narration</w:t>
      </w:r>
    </w:p>
    <w:p>
      <w:pPr>
        <w:pStyle w:val="CTANarration"/>
        <w:keepLines/>
        <w:ind w:left="259" w:right="173"/>
      </w:pPr>
      <w:r>
        <w:t>Diagnosis organizes a pattern of symptoms, duration, severity, impairment, and exclusions into a clinically useful explanation. It can guide treatment, communication, and level-of-care decisions. On the exam, diagnosis should be supported by enough information, not chosen because one symptom sounds familiar. A careful clinician remains open to revision when new medical, substance, developmental, cultural, trauma, or relational information changes the picture.</w:t>
      </w:r>
    </w:p>
    <w:p>
      <w:pPr>
        <w:pStyle w:val="Heading2"/>
        <w:keepNext/>
      </w:pPr>
      <w:r>
        <w:t>Slide 2: Start With the Full Symptom Pattern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cluster of emotional, cognitive, behavioral, physical, and relational symptoms.</w:t>
            </w:r>
          </w:p>
        </w:tc>
        <w:tc>
          <w:tcPr>
            <w:tcW w:type="dxa" w:w="5112"/>
            <w:shd w:fill="DCEFF6"/>
            <w:tcMar>
              <w:top w:w="90" w:type="dxa"/>
              <w:start w:w="110" w:type="dxa"/>
              <w:bottom w:w="90" w:type="dxa"/>
              <w:end w:w="110" w:type="dxa"/>
            </w:tcMar>
            <w:vAlign w:val="top"/>
          </w:tcPr>
          <w:p>
            <w:pPr>
              <w:keepNext/>
              <w:keepLines/>
            </w:pPr>
            <w:r>
              <w:rPr>
                <w:color w:val="243B53"/>
                <w:sz w:val="17"/>
              </w:rPr>
              <w:t>Pattern, Not One Symptom</w:t>
            </w:r>
          </w:p>
        </w:tc>
      </w:tr>
    </w:tbl>
    <w:p>
      <w:pPr>
        <w:pStyle w:val="CTALabel"/>
        <w:keepNext/>
      </w:pPr>
      <w:r>
        <w:t>Narration</w:t>
      </w:r>
    </w:p>
    <w:p>
      <w:pPr>
        <w:pStyle w:val="CTANarration"/>
        <w:keepLines/>
        <w:ind w:left="259" w:right="173"/>
      </w:pPr>
      <w:r>
        <w:t>A single symptom rarely determines the diagnosis. Sleep loss can occur with anxiety, depression, mania, trauma, substances, medication effects, medical illness, caregiving stress, or environmental disruption. Clarify which symptoms occur together, their intensity, their relationship to one another, and whether they form a coherent syndrome. The exam often rewards the answer that broadens the assessment rather than locking onto the first recognizable feature.</w:t>
      </w:r>
    </w:p>
    <w:p>
      <w:pPr>
        <w:pStyle w:val="Heading2"/>
        <w:keepNext/>
      </w:pPr>
      <w:r>
        <w:t>Slide 3: Use Duration, Course, and Impairment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Timeline with onset, episodes, remission, recurrence, and functional impact.</w:t>
            </w:r>
          </w:p>
        </w:tc>
        <w:tc>
          <w:tcPr>
            <w:tcW w:type="dxa" w:w="5112"/>
            <w:shd w:fill="DCEFF6"/>
            <w:tcMar>
              <w:top w:w="90" w:type="dxa"/>
              <w:start w:w="110" w:type="dxa"/>
              <w:bottom w:w="90" w:type="dxa"/>
              <w:end w:w="110" w:type="dxa"/>
            </w:tcMar>
            <w:vAlign w:val="top"/>
          </w:tcPr>
          <w:p>
            <w:pPr>
              <w:keepNext/>
              <w:keepLines/>
            </w:pPr>
            <w:r>
              <w:rPr>
                <w:color w:val="243B53"/>
                <w:sz w:val="17"/>
              </w:rPr>
              <w:t>When? How Long? How Much Impairment?</w:t>
            </w:r>
          </w:p>
        </w:tc>
      </w:tr>
    </w:tbl>
    <w:p>
      <w:pPr>
        <w:pStyle w:val="CTALabel"/>
        <w:keepNext/>
      </w:pPr>
      <w:r>
        <w:t>Narration</w:t>
      </w:r>
    </w:p>
    <w:p>
      <w:pPr>
        <w:pStyle w:val="CTANarration"/>
        <w:keepLines/>
        <w:ind w:left="259" w:right="173"/>
      </w:pPr>
      <w:r>
        <w:t>Duration and course help distinguish transient reactions from more persistent conditions. Ask when symptoms began, whether they are episodic or continuous, what preceded them, whether there were prior episodes, and how they affect work, school, relationships, caregiving, sleep, and self-care. A symptom may be distressing without meeting the threshold for a disorder. Conversely, severe impairment or rapid change may require urgent action even before the final diagnosis is clear.</w:t>
      </w:r>
    </w:p>
    <w:p>
      <w:pPr>
        <w:pStyle w:val="Heading2"/>
        <w:keepNext/>
      </w:pPr>
      <w:r>
        <w:t>Slide 4: Rule Out Medical, Medication, and Substance Causes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Three exclusion pathways: health condition, medication effect, substance intoxication or withdrawal.</w:t>
            </w:r>
          </w:p>
        </w:tc>
        <w:tc>
          <w:tcPr>
            <w:tcW w:type="dxa" w:w="5112"/>
            <w:shd w:fill="DCEFF6"/>
            <w:tcMar>
              <w:top w:w="90" w:type="dxa"/>
              <w:start w:w="110" w:type="dxa"/>
              <w:bottom w:w="90" w:type="dxa"/>
              <w:end w:w="110" w:type="dxa"/>
            </w:tcMar>
            <w:vAlign w:val="top"/>
          </w:tcPr>
          <w:p>
            <w:pPr>
              <w:keepNext/>
              <w:keepLines/>
            </w:pPr>
            <w:r>
              <w:rPr>
                <w:color w:val="243B53"/>
                <w:sz w:val="17"/>
              </w:rPr>
              <w:t>Health • Medication • Substance</w:t>
            </w:r>
          </w:p>
        </w:tc>
      </w:tr>
    </w:tbl>
    <w:p>
      <w:pPr>
        <w:pStyle w:val="CTALabel"/>
        <w:keepNext/>
      </w:pPr>
      <w:r>
        <w:t>Narration</w:t>
      </w:r>
    </w:p>
    <w:p>
      <w:pPr>
        <w:pStyle w:val="CTANarration"/>
        <w:keepLines/>
        <w:ind w:left="259" w:right="173"/>
      </w:pPr>
      <w:r>
        <w:t>Before assigning a primary psychiatric explanation, examine health conditions, recent injury, pregnancy or postpartum status, medication changes, nonprescription products, intoxication, withdrawal, sleep deprivation, and other physiological factors. The therapist does not need to diagnose the medical condition to recognize that medical evaluation is necessary. Sudden confusion, altered consciousness, autonomic instability, or new neurological signs should not be reduced to anxiety, resistance, or family dynamics.</w:t>
      </w:r>
    </w:p>
    <w:p>
      <w:pPr>
        <w:pStyle w:val="Heading2"/>
        <w:keepNext/>
      </w:pPr>
      <w:r>
        <w:t>Slide 5: Chronology Often Solves the Differential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Symptoms placed before and after a substance, medication, loss, trauma, or life transition.</w:t>
            </w:r>
          </w:p>
        </w:tc>
        <w:tc>
          <w:tcPr>
            <w:tcW w:type="dxa" w:w="5112"/>
            <w:shd w:fill="DCEFF6"/>
            <w:tcMar>
              <w:top w:w="90" w:type="dxa"/>
              <w:start w:w="110" w:type="dxa"/>
              <w:bottom w:w="90" w:type="dxa"/>
              <w:end w:w="110" w:type="dxa"/>
            </w:tcMar>
            <w:vAlign w:val="top"/>
          </w:tcPr>
          <w:p>
            <w:pPr>
              <w:keepNext/>
              <w:keepLines/>
            </w:pPr>
            <w:r>
              <w:rPr>
                <w:color w:val="243B53"/>
                <w:sz w:val="17"/>
              </w:rPr>
              <w:t>What Came First? What Changes the Symptoms?</w:t>
            </w:r>
          </w:p>
        </w:tc>
      </w:tr>
    </w:tbl>
    <w:p>
      <w:pPr>
        <w:pStyle w:val="CTALabel"/>
        <w:keepNext/>
      </w:pPr>
      <w:r>
        <w:t>Narration</w:t>
      </w:r>
    </w:p>
    <w:p>
      <w:pPr>
        <w:pStyle w:val="CTANarration"/>
        <w:keepLines/>
        <w:ind w:left="259" w:right="173"/>
      </w:pPr>
      <w:r>
        <w:t>Chronology can separate competing explanations. Did panic occur before cannabis use or mainly after high-potency use? Did activation begin after a medication change? Did perceptual experiences appear only during severe sleep deprivation? Did mood symptoms precede a relationship crisis or follow it? The best next question often asks about timing, periods of abstinence, baseline functioning, and what happens when the suspected factor is absent.</w:t>
      </w:r>
    </w:p>
    <w:p>
      <w:pPr>
        <w:pStyle w:val="Heading2"/>
        <w:keepNext/>
      </w:pPr>
      <w:r>
        <w:t>Slide 6: Differentiate Comorbidity From One-Cause Thinking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Overlapping circles showing multiple conditions and contextual factors.</w:t>
            </w:r>
          </w:p>
        </w:tc>
        <w:tc>
          <w:tcPr>
            <w:tcW w:type="dxa" w:w="5112"/>
            <w:shd w:fill="DCEFF6"/>
            <w:tcMar>
              <w:top w:w="90" w:type="dxa"/>
              <w:start w:w="110" w:type="dxa"/>
              <w:bottom w:w="90" w:type="dxa"/>
              <w:end w:w="110" w:type="dxa"/>
            </w:tcMar>
            <w:vAlign w:val="top"/>
          </w:tcPr>
          <w:p>
            <w:pPr>
              <w:keepNext/>
              <w:keepLines/>
            </w:pPr>
            <w:r>
              <w:rPr>
                <w:color w:val="243B53"/>
                <w:sz w:val="17"/>
              </w:rPr>
              <w:t>One Person Can Have More Than One Relevant Condition</w:t>
            </w:r>
          </w:p>
        </w:tc>
      </w:tr>
    </w:tbl>
    <w:p>
      <w:pPr>
        <w:pStyle w:val="CTALabel"/>
        <w:keepNext/>
      </w:pPr>
      <w:r>
        <w:t>Narration</w:t>
      </w:r>
    </w:p>
    <w:p>
      <w:pPr>
        <w:pStyle w:val="CTANarration"/>
        <w:keepLines/>
        <w:ind w:left="259" w:right="173"/>
      </w:pPr>
      <w:r>
        <w:t>Differential diagnosis asks which explanation best fits, but it does not assume only one factor can be present. A client may have trauma symptoms and substance misuse, depression and a medical condition, or anxiety intensified by relationship violence. Consider whether one condition causes another, whether both coexist, or whether a contextual problem better explains part of the presentation. The goal is accurate formulation, not forcing every symptom under one label.</w:t>
      </w:r>
    </w:p>
    <w:p>
      <w:pPr>
        <w:pStyle w:val="Heading2"/>
        <w:keepNext/>
      </w:pPr>
      <w:r>
        <w:t>Slide 7: Include Developmental, Cultural, Trauma, and Relational Context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Diagnostic lens surrounded by development, culture, trauma, relationships, identity, and environment.</w:t>
            </w:r>
          </w:p>
        </w:tc>
        <w:tc>
          <w:tcPr>
            <w:tcW w:type="dxa" w:w="5112"/>
            <w:shd w:fill="DCEFF6"/>
            <w:tcMar>
              <w:top w:w="90" w:type="dxa"/>
              <w:start w:w="110" w:type="dxa"/>
              <w:bottom w:w="90" w:type="dxa"/>
              <w:end w:w="110" w:type="dxa"/>
            </w:tcMar>
            <w:vAlign w:val="top"/>
          </w:tcPr>
          <w:p>
            <w:pPr>
              <w:keepNext/>
              <w:keepLines/>
            </w:pPr>
            <w:r>
              <w:rPr>
                <w:color w:val="243B53"/>
                <w:sz w:val="17"/>
              </w:rPr>
              <w:t>Context Changes Meaning Without Erasing Symptoms</w:t>
            </w:r>
          </w:p>
        </w:tc>
      </w:tr>
    </w:tbl>
    <w:p>
      <w:pPr>
        <w:pStyle w:val="CTALabel"/>
        <w:keepNext/>
      </w:pPr>
      <w:r>
        <w:t>Narration</w:t>
      </w:r>
    </w:p>
    <w:p>
      <w:pPr>
        <w:pStyle w:val="CTANarration"/>
        <w:keepLines/>
        <w:ind w:left="259" w:right="173"/>
      </w:pPr>
      <w:r>
        <w:t>Symptoms must be interpreted in developmental, cultural, trauma, relational, and environmental context. Consider age, developmental expectations, language, identity, migration, spirituality, discrimination, family norms, trauma exposure, attachment patterns, and current stressors. Context can change how distress is expressed and understood, but it should not be used to dismiss impairment or danger. The goal is culturally responsive differential reasoning, not stereotyping or diagnostic avoidance.</w:t>
      </w:r>
    </w:p>
    <w:p>
      <w:pPr>
        <w:pStyle w:val="Heading2"/>
        <w:keepNext/>
      </w:pPr>
      <w:r>
        <w:t>Slide 8: Safety and Level of Care Come First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Diagnostic pathway interrupted by a red safety and medical priority marker.</w:t>
            </w:r>
          </w:p>
        </w:tc>
        <w:tc>
          <w:tcPr>
            <w:tcW w:type="dxa" w:w="5112"/>
            <w:shd w:fill="DCEFF6"/>
            <w:tcMar>
              <w:top w:w="90" w:type="dxa"/>
              <w:start w:w="110" w:type="dxa"/>
              <w:bottom w:w="90" w:type="dxa"/>
              <w:end w:w="110" w:type="dxa"/>
            </w:tcMar>
            <w:vAlign w:val="top"/>
          </w:tcPr>
          <w:p>
            <w:pPr>
              <w:keepNext/>
              <w:keepLines/>
            </w:pPr>
            <w:r>
              <w:rPr>
                <w:color w:val="243B53"/>
                <w:sz w:val="17"/>
              </w:rPr>
              <w:t>Stabilize Before Finalizing the Label</w:t>
            </w:r>
          </w:p>
        </w:tc>
      </w:tr>
    </w:tbl>
    <w:p>
      <w:pPr>
        <w:pStyle w:val="CTALabel"/>
        <w:keepNext/>
      </w:pPr>
      <w:r>
        <w:t>Narration</w:t>
      </w:r>
    </w:p>
    <w:p>
      <w:pPr>
        <w:pStyle w:val="CTANarration"/>
        <w:keepLines/>
        <w:ind w:left="259" w:right="173"/>
      </w:pPr>
      <w:r>
        <w:t>When the presentation includes imminent danger, severe intoxication or withdrawal, acute psychosis, mania with impaired judgment, inability to care safely for a child, or another emergency, the first task is safety and appropriate evaluation. The diagnosis may remain provisional. The exam does not require perfect certainty before taking protective action. It requires recognition that urgency can change the sequence.</w:t>
      </w:r>
    </w:p>
    <w:p>
      <w:pPr>
        <w:pStyle w:val="Heading2"/>
        <w:keepNext/>
      </w:pPr>
      <w:r>
        <w:t>Slide 9: Know When More Assessment Is Needed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diagnostic decision with missing-data flags for duration, impairment, exclusions, and history.</w:t>
            </w:r>
          </w:p>
        </w:tc>
        <w:tc>
          <w:tcPr>
            <w:tcW w:type="dxa" w:w="5112"/>
            <w:shd w:fill="DCEFF6"/>
            <w:tcMar>
              <w:top w:w="90" w:type="dxa"/>
              <w:start w:w="110" w:type="dxa"/>
              <w:bottom w:w="90" w:type="dxa"/>
              <w:end w:w="110" w:type="dxa"/>
            </w:tcMar>
            <w:vAlign w:val="top"/>
          </w:tcPr>
          <w:p>
            <w:pPr>
              <w:keepNext/>
              <w:keepLines/>
            </w:pPr>
            <w:r>
              <w:rPr>
                <w:color w:val="243B53"/>
                <w:sz w:val="17"/>
              </w:rPr>
              <w:t>Missing Data? Assess Before Concluding</w:t>
            </w:r>
          </w:p>
        </w:tc>
      </w:tr>
    </w:tbl>
    <w:p>
      <w:pPr>
        <w:pStyle w:val="CTALabel"/>
        <w:keepNext/>
      </w:pPr>
      <w:r>
        <w:t>Narration</w:t>
      </w:r>
    </w:p>
    <w:p>
      <w:pPr>
        <w:pStyle w:val="CTANarration"/>
        <w:keepLines/>
        <w:ind w:left="259" w:right="173"/>
      </w:pPr>
      <w:r>
        <w:t>Choose more assessment when the vignette omits facts that would change the diagnosis: duration, functional impairment, medical history, substance timing, developmental baseline, trauma exposure, prior episodes, or the client’s own account. Avoid adding facts that are not in the question. At the same time, do not keep assessing when the scenario already establishes an emergency or a mandatory protective response.</w:t>
      </w:r>
    </w:p>
    <w:p>
      <w:pPr>
        <w:pStyle w:val="Heading2"/>
        <w:keepNext/>
      </w:pPr>
      <w:r>
        <w:t>Slide 10: Example: Activation After a Medication Change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timeline of medication change, reduced sleep, impulsivity, grandiosity, and risk.</w:t>
            </w:r>
          </w:p>
        </w:tc>
        <w:tc>
          <w:tcPr>
            <w:tcW w:type="dxa" w:w="5112"/>
            <w:shd w:fill="DCEFF6"/>
            <w:tcMar>
              <w:top w:w="90" w:type="dxa"/>
              <w:start w:w="110" w:type="dxa"/>
              <w:bottom w:w="90" w:type="dxa"/>
              <w:end w:w="110" w:type="dxa"/>
            </w:tcMar>
            <w:vAlign w:val="top"/>
          </w:tcPr>
          <w:p>
            <w:pPr>
              <w:keepNext/>
              <w:keepLines/>
            </w:pPr>
            <w:r>
              <w:rPr>
                <w:color w:val="243B53"/>
                <w:sz w:val="17"/>
              </w:rPr>
              <w:t>Differentiate Activation, Mania, Substance, and Medical Causes</w:t>
            </w:r>
          </w:p>
        </w:tc>
      </w:tr>
    </w:tbl>
    <w:p>
      <w:pPr>
        <w:pStyle w:val="CTALabel"/>
        <w:keepNext/>
      </w:pPr>
      <w:r>
        <w:t>Narration</w:t>
      </w:r>
    </w:p>
    <w:p>
      <w:pPr>
        <w:pStyle w:val="CTANarration"/>
        <w:keepLines/>
        <w:ind w:left="259" w:right="173"/>
      </w:pPr>
      <w:r>
        <w:t>Consider a client who develops very little need for sleep, impulsive spending, unusual confidence, and rapid speech after a recent medication change. A premature answer diagnoses a disorder immediately or tells the client to stop the medication. A stronger response assesses safety, chronology, other substances and medical factors, prior episodes, and functioning, and coordinates urgent prescriber or medical evaluation. Diagnosis can be refined after immediate risk and possible medication effects are addressed.</w:t>
      </w:r>
    </w:p>
    <w:p>
      <w:pPr>
        <w:pStyle w:val="Heading2"/>
        <w:keepNext/>
      </w:pPr>
      <w:r>
        <w:t>Slide 11: Example: Grief and Depressive Symptoms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Bereavement timeline with symptom severity, functioning, safety, and cultural meaning.</w:t>
            </w:r>
          </w:p>
        </w:tc>
        <w:tc>
          <w:tcPr>
            <w:tcW w:type="dxa" w:w="5112"/>
            <w:shd w:fill="DCEFF6"/>
            <w:tcMar>
              <w:top w:w="90" w:type="dxa"/>
              <w:start w:w="110" w:type="dxa"/>
              <w:bottom w:w="90" w:type="dxa"/>
              <w:end w:w="110" w:type="dxa"/>
            </w:tcMar>
            <w:vAlign w:val="top"/>
          </w:tcPr>
          <w:p>
            <w:pPr>
              <w:keepNext/>
              <w:keepLines/>
            </w:pPr>
            <w:r>
              <w:rPr>
                <w:color w:val="243B53"/>
                <w:sz w:val="17"/>
              </w:rPr>
              <w:t>Do Not Diagnose or Normalize Automatically</w:t>
            </w:r>
          </w:p>
        </w:tc>
      </w:tr>
    </w:tbl>
    <w:p>
      <w:pPr>
        <w:pStyle w:val="CTALabel"/>
        <w:keepNext/>
      </w:pPr>
      <w:r>
        <w:t>Narration</w:t>
      </w:r>
    </w:p>
    <w:p>
      <w:pPr>
        <w:pStyle w:val="CTANarration"/>
        <w:keepLines/>
        <w:ind w:left="259" w:right="173"/>
      </w:pPr>
      <w:r>
        <w:t>Now consider a client grieving a major loss who reports sadness, poor sleep, and reduced concentration. It is premature to automatically diagnose a depressive disorder, and it is also unsafe to assume all symptoms are normal grief. Clarify duration, intensity, self-worth, hopelessness, suicidal thinking, psychotic symptoms, functional decline, prior history, cultural practices, and available support. The correct answer respects grief while assessing for a condition that may require additional treatment.</w:t>
      </w:r>
    </w:p>
    <w:p>
      <w:pPr>
        <w:pStyle w:val="Heading2"/>
        <w:keepNext/>
      </w:pPr>
      <w:r>
        <w:t>Slide 12: Common Diagnostic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Four trap cards: one symptom, premature certainty, ignored exclusion, diagnosis as identity.</w:t>
            </w:r>
          </w:p>
        </w:tc>
        <w:tc>
          <w:tcPr>
            <w:tcW w:type="dxa" w:w="5112"/>
            <w:shd w:fill="DCEFF6"/>
            <w:tcMar>
              <w:top w:w="90" w:type="dxa"/>
              <w:start w:w="110" w:type="dxa"/>
              <w:bottom w:w="90" w:type="dxa"/>
              <w:end w:w="110" w:type="dxa"/>
            </w:tcMar>
            <w:vAlign w:val="top"/>
          </w:tcPr>
          <w:p>
            <w:pPr>
              <w:keepNext/>
              <w:keepLines/>
            </w:pPr>
            <w:r>
              <w:rPr>
                <w:color w:val="243B53"/>
                <w:sz w:val="17"/>
              </w:rPr>
              <w:t>One Sign • Fixed Label • Missed Cause • Identity Error</w:t>
            </w:r>
          </w:p>
        </w:tc>
      </w:tr>
    </w:tbl>
    <w:p>
      <w:pPr>
        <w:pStyle w:val="CTALabel"/>
        <w:keepNext/>
      </w:pPr>
      <w:r>
        <w:t>Narration</w:t>
      </w:r>
    </w:p>
    <w:p>
      <w:pPr>
        <w:pStyle w:val="CTANarration"/>
        <w:keepLines/>
        <w:ind w:left="259" w:right="173"/>
      </w:pPr>
      <w:r>
        <w:t>Watch for four traps. First, diagnosing from one symptom. Second, treating an early hypothesis as certainty. Third, ignoring medical, medication, substance, developmental, cultural, trauma, or relational explanations. Fourth, using the diagnosis as a moral judgment or identity statement. Strong exam reasoning explains what evidence supports the diagnosis and what competing explanation still needs to be addressed.</w:t>
      </w:r>
    </w:p>
    <w:p>
      <w:pPr>
        <w:pStyle w:val="Heading2"/>
        <w:keepNext/>
      </w:pPr>
      <w:r>
        <w:t>Slide 13: Use the Differential Diagnosis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Checklist: pattern, duration, impairment, chronology, exclusions, alternatives, safety.</w:t>
            </w:r>
          </w:p>
        </w:tc>
        <w:tc>
          <w:tcPr>
            <w:tcW w:type="dxa" w:w="5112"/>
            <w:shd w:fill="DCEFF6"/>
            <w:tcMar>
              <w:top w:w="90" w:type="dxa"/>
              <w:start w:w="110" w:type="dxa"/>
              <w:bottom w:w="90" w:type="dxa"/>
              <w:end w:w="110" w:type="dxa"/>
            </w:tcMar>
            <w:vAlign w:val="top"/>
          </w:tcPr>
          <w:p>
            <w:pPr>
              <w:keepNext/>
              <w:keepLines/>
            </w:pPr>
            <w:r>
              <w:rPr>
                <w:color w:val="243B53"/>
                <w:sz w:val="17"/>
              </w:rPr>
              <w:t>Pattern • Duration • Impairment • Timing • Exclusions • Alternatives • Safety</w:t>
            </w:r>
          </w:p>
        </w:tc>
      </w:tr>
    </w:tbl>
    <w:p>
      <w:pPr>
        <w:pStyle w:val="CTALabel"/>
        <w:keepNext/>
      </w:pPr>
      <w:r>
        <w:t>Narration</w:t>
      </w:r>
    </w:p>
    <w:p>
      <w:pPr>
        <w:pStyle w:val="CTANarration"/>
        <w:keepLines/>
        <w:ind w:left="259" w:right="173"/>
      </w:pPr>
      <w:r>
        <w:t>Use this differential diagnosis check. What is the full symptom pattern? How long has it lasted and what is the course? What impairment is present? What happened before the symptoms began? What medical, medication, or substance factors must be ruled out? What developmental, cultural, trauma, or relational explanations compete? Could more than one condition be relevant? Is there an urgent safety or level-of-care need?</w:t>
      </w:r>
    </w:p>
    <w:p>
      <w:pPr>
        <w:pStyle w:val="Heading2"/>
        <w:keepNext/>
      </w:pPr>
      <w:r>
        <w:t>Slide 14: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30-40 seconds</w:t>
            </w:r>
          </w:p>
        </w:tc>
        <w:tc>
          <w:tcPr>
            <w:tcW w:type="dxa" w:w="3528"/>
            <w:shd w:fill="F3F8FA"/>
            <w:tcMar>
              <w:top w:w="90" w:type="dxa"/>
              <w:start w:w="110" w:type="dxa"/>
              <w:bottom w:w="90" w:type="dxa"/>
              <w:end w:w="110" w:type="dxa"/>
            </w:tcMar>
            <w:vAlign w:val="top"/>
          </w:tcPr>
          <w:p>
            <w:pPr>
              <w:keepNext/>
              <w:keepLines/>
            </w:pPr>
            <w:r>
              <w:rPr>
                <w:color w:val="243B53"/>
                <w:sz w:val="17"/>
              </w:rPr>
              <w:t>A practice vignette beside a blank differential table.</w:t>
            </w:r>
          </w:p>
        </w:tc>
        <w:tc>
          <w:tcPr>
            <w:tcW w:type="dxa" w:w="5112"/>
            <w:shd w:fill="DCEFF6"/>
            <w:tcMar>
              <w:top w:w="90" w:type="dxa"/>
              <w:start w:w="110" w:type="dxa"/>
              <w:bottom w:w="90" w:type="dxa"/>
              <w:end w:w="110" w:type="dxa"/>
            </w:tcMar>
            <w:vAlign w:val="top"/>
          </w:tcPr>
          <w:p>
            <w:pPr>
              <w:keepNext/>
              <w:keepLines/>
            </w:pPr>
            <w:r>
              <w:rPr>
                <w:color w:val="243B53"/>
                <w:sz w:val="17"/>
              </w:rPr>
              <w:t>Next: Compare at Least Two Explanations</w:t>
            </w:r>
          </w:p>
        </w:tc>
      </w:tr>
    </w:tbl>
    <w:p>
      <w:pPr>
        <w:pStyle w:val="CTALabel"/>
        <w:keepNext/>
      </w:pPr>
      <w:r>
        <w:t>Narration</w:t>
      </w:r>
    </w:p>
    <w:p>
      <w:pPr>
        <w:pStyle w:val="CTANarration"/>
        <w:keepLines/>
        <w:ind w:left="259" w:right="173"/>
      </w:pPr>
      <w:r>
        <w:t>During your next LMFT question bank, write two plausible explanations before choosing an answer. Then identify the fact that best separates them. If you miss the item, record whether you focused on one symptom, ignored chronology, missed an exclusion, or delayed urgent action while trying to perfect the diagnosis. Add that error pattern to your CTA log.</w:t>
      </w:r>
    </w:p>
    <w:p>
      <w:pPr>
        <w:pStyle w:val="Heading1"/>
      </w:pPr>
      <w:r>
        <w:t>Audio-Only Adaptation Notes</w:t>
      </w:r>
    </w:p>
    <w:p>
      <w:pPr>
        <w:pStyle w:val="ListBullet"/>
        <w:spacing w:after="40"/>
        <w:ind w:left="360" w:hanging="216"/>
      </w:pPr>
      <w:r>
        <w:t>Say the seven-part differential diagnosis check slowly and in the same order each time.</w:t>
      </w:r>
    </w:p>
    <w:p>
      <w:pPr>
        <w:pStyle w:val="ListBullet"/>
        <w:spacing w:after="40"/>
        <w:ind w:left="360" w:hanging="216"/>
      </w:pPr>
      <w:r>
        <w:t>Describe the timelines verbally whenever chronology is shown.</w:t>
      </w:r>
    </w:p>
    <w:p>
      <w:pPr>
        <w:pStyle w:val="ListBullet"/>
        <w:spacing w:after="40"/>
        <w:ind w:left="360" w:hanging="216"/>
      </w:pPr>
      <w:r>
        <w:t>Use “working diagnosis” and “provisional” rather than language suggesting certainty without evidence.</w:t>
      </w:r>
    </w:p>
    <w:p>
      <w:pPr>
        <w:pStyle w:val="ListBullet"/>
        <w:spacing w:after="40"/>
        <w:ind w:left="360" w:hanging="216"/>
      </w:pPr>
      <w:r>
        <w:t>End by instructing listeners to compare at least two explanations.</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teach candidates to use diagnosis as a supported and revisable conclusion. It should also protect against two opposite errors: diagnosing too quickly and delaying urgent safety or medical action while seeking perfect diagnostic certainty.</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Diagnosis and Differential Diagnosis</dc:title>
  <dc:subject>CTA LMFT Multimedia Script 03</dc:subject>
  <dc:creator>Clinical Training Academy</dc:creator>
  <cp:keywords>LMFT, California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