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Crisis and Safety Sequencing</w:t>
      </w:r>
    </w:p>
    <w:p>
      <w:pPr>
        <w:jc w:val="center"/>
      </w:pPr>
      <w:r>
        <w:rPr>
          <w:rFonts w:ascii="Aptos Display" w:hAnsi="Aptos Display"/>
          <w:b/>
          <w:color w:val="2AA7D6"/>
          <w:sz w:val="32"/>
        </w:rPr>
        <w:t>LMFT-Specific Multimedia Script 04</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LMFT candidates to recognize when danger, abuse, medical instability, severe psychiatric symptoms, or substance effects change the clinical sequence and require immediate assessment, protection, stabilization, referral, documentation, and follow-up.</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preparing for crisis-management, abuse, safety, and legal-ethical sequencing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paired with Crisis, Abuse, and Safety.</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Workbooks 6 and 12, with assessment and diagnosis foundations from Workbooks 2 and 5.</w:t>
            </w:r>
          </w:p>
        </w:tc>
      </w:tr>
    </w:tbl>
    <w:p>
      <w:pPr>
        <w:spacing w:after="20"/>
      </w:pPr>
    </w:p>
    <w:p>
      <w:pPr>
        <w:pStyle w:val="Heading1"/>
      </w:pPr>
      <w:r>
        <w:t>Learning Outcomes</w:t>
      </w:r>
    </w:p>
    <w:p>
      <w:pPr>
        <w:pStyle w:val="ListBullet"/>
        <w:spacing w:after="40"/>
        <w:ind w:left="360" w:hanging="216"/>
      </w:pPr>
      <w:r>
        <w:t>Recognize when safety changes the normal clinical sequence.</w:t>
      </w:r>
    </w:p>
    <w:p>
      <w:pPr>
        <w:pStyle w:val="ListBullet"/>
        <w:spacing w:after="40"/>
        <w:ind w:left="360" w:hanging="216"/>
      </w:pPr>
      <w:r>
        <w:t>Conduct direct, focused risk and medical-priority assessment.</w:t>
      </w:r>
    </w:p>
    <w:p>
      <w:pPr>
        <w:pStyle w:val="ListBullet"/>
        <w:spacing w:after="40"/>
        <w:ind w:left="360" w:hanging="216"/>
      </w:pPr>
      <w:r>
        <w:t>Select the least restrictive effective protective response.</w:t>
      </w:r>
    </w:p>
    <w:p>
      <w:pPr>
        <w:pStyle w:val="ListBullet"/>
        <w:spacing w:after="40"/>
        <w:ind w:left="360" w:hanging="216"/>
      </w:pPr>
      <w:r>
        <w:t>Integrate confidentiality, consultation, documentation, and follow-up.</w:t>
      </w:r>
    </w:p>
    <w:p>
      <w:pPr>
        <w:pStyle w:val="Heading1"/>
      </w:pPr>
      <w:r>
        <w:t>Voice and Presentation Direction</w:t>
      </w:r>
    </w:p>
    <w:p>
      <w:pPr>
        <w:pStyle w:val="ListBullet"/>
        <w:spacing w:after="40"/>
        <w:ind w:left="360" w:hanging="216"/>
      </w:pPr>
      <w:r>
        <w:t>Model calm urgency rather than panic or false reassurance.</w:t>
      </w:r>
    </w:p>
    <w:p>
      <w:pPr>
        <w:pStyle w:val="ListBullet"/>
        <w:spacing w:after="40"/>
        <w:ind w:left="360" w:hanging="216"/>
      </w:pPr>
      <w:r>
        <w:t>Distinguish supported protective action from automatic overreaction.</w:t>
      </w:r>
    </w:p>
    <w:p>
      <w:pPr>
        <w:pStyle w:val="ListBullet"/>
        <w:spacing w:after="40"/>
        <w:ind w:left="360" w:hanging="216"/>
      </w:pPr>
      <w:r>
        <w:t>Name power, coercion, caregiving responsibility, and vulnerable persons clearly.</w:t>
      </w:r>
    </w:p>
    <w:p>
      <w:pPr>
        <w:pStyle w:val="ListBullet"/>
        <w:spacing w:after="40"/>
        <w:ind w:left="360" w:hanging="216"/>
      </w:pPr>
      <w:r>
        <w:t>Remind students to verify current California reporting and protective requirements.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calm, direct language. Avoid sensational examples. State that exact California duties and procedures must be checked against current official sources, while teaching the exam sequence of assess, protect, stabilize, consult, document, and follow up.</w:t>
            </w:r>
          </w:p>
        </w:tc>
      </w:tr>
    </w:tbl>
    <w:p>
      <w:pPr>
        <w:spacing w:after="20"/>
      </w:pPr>
    </w:p>
    <w:p>
      <w:pPr>
        <w:pStyle w:val="Heading1"/>
      </w:pPr>
      <w:r>
        <w:t>Slide-by-Slide Script</w:t>
      </w:r>
    </w:p>
    <w:p>
      <w:pPr>
        <w:pStyle w:val="Heading2"/>
        <w:keepNext/>
      </w:pPr>
      <w:r>
        <w:t>Slide 1: Safety Can Change the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The normal assessment pathway interrupted by an urgent safety checkpoint.</w:t>
            </w:r>
          </w:p>
        </w:tc>
        <w:tc>
          <w:tcPr>
            <w:tcW w:type="dxa" w:w="5112"/>
            <w:shd w:fill="DCEFF6"/>
            <w:tcMar>
              <w:top w:w="90" w:type="dxa"/>
              <w:start w:w="110" w:type="dxa"/>
              <w:bottom w:w="90" w:type="dxa"/>
              <w:end w:w="110" w:type="dxa"/>
            </w:tcMar>
            <w:vAlign w:val="top"/>
          </w:tcPr>
          <w:p>
            <w:pPr>
              <w:keepNext/>
              <w:keepLines/>
            </w:pPr>
            <w:r>
              <w:rPr>
                <w:color w:val="243B53"/>
                <w:sz w:val="17"/>
              </w:rPr>
              <w:t>When Danger Is Established, Act Without Unnecessary Delay</w:t>
            </w:r>
          </w:p>
        </w:tc>
      </w:tr>
    </w:tbl>
    <w:p>
      <w:pPr>
        <w:pStyle w:val="CTALabel"/>
        <w:keepNext/>
      </w:pPr>
      <w:r>
        <w:t>Narration</w:t>
      </w:r>
    </w:p>
    <w:p>
      <w:pPr>
        <w:pStyle w:val="CTANarration"/>
        <w:keepLines/>
        <w:ind w:left="259" w:right="173"/>
      </w:pPr>
      <w:r>
        <w:t>Most clinical questions begin with assessment, but safety can change the sequence. When the facts already establish imminent danger, a medical emergency, severe impairment, abuse requiring protection, or another urgent duty, the therapist should not delay action by repeating routine intake questions. The correct answer still gathers the information needed for the response, but it moves efficiently toward protection, stabilization, appropriate level of care, and continuity.</w:t>
      </w:r>
    </w:p>
    <w:p>
      <w:pPr>
        <w:pStyle w:val="Heading2"/>
        <w:keepNext/>
      </w:pPr>
      <w:r>
        <w:t>Slide 2: Differentiate Imminent, Acute, and Ongoing Risk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Risk continuum from baseline vulnerability to escalating acute danger.</w:t>
            </w:r>
          </w:p>
        </w:tc>
        <w:tc>
          <w:tcPr>
            <w:tcW w:type="dxa" w:w="5112"/>
            <w:shd w:fill="DCEFF6"/>
            <w:tcMar>
              <w:top w:w="90" w:type="dxa"/>
              <w:start w:w="110" w:type="dxa"/>
              <w:bottom w:w="90" w:type="dxa"/>
              <w:end w:w="110" w:type="dxa"/>
            </w:tcMar>
            <w:vAlign w:val="top"/>
          </w:tcPr>
          <w:p>
            <w:pPr>
              <w:keepNext/>
              <w:keepLines/>
            </w:pPr>
            <w:r>
              <w:rPr>
                <w:color w:val="243B53"/>
                <w:sz w:val="17"/>
              </w:rPr>
              <w:t>Current Danger • Escalation • Access • Capacity • Supports</w:t>
            </w:r>
          </w:p>
        </w:tc>
      </w:tr>
    </w:tbl>
    <w:p>
      <w:pPr>
        <w:pStyle w:val="CTALabel"/>
        <w:keepNext/>
      </w:pPr>
      <w:r>
        <w:t>Narration</w:t>
      </w:r>
    </w:p>
    <w:p>
      <w:pPr>
        <w:pStyle w:val="CTANarration"/>
        <w:keepLines/>
        <w:ind w:left="259" w:right="173"/>
      </w:pPr>
      <w:r>
        <w:t>Risk is not simply present or absent. Clarify whether danger is current, escalating, planned, accessible, and likely to occur soon. Consider intent, means, past behavior, intoxication, psychosis, impulsivity, caregiving responsibilities, protective factors, and the reliability of available support. Chronic vulnerability matters, but the immediate response depends on the current facts. Avoid both minimizing a supported emergency and treating every expression of distress as identical.</w:t>
      </w:r>
    </w:p>
    <w:p>
      <w:pPr>
        <w:pStyle w:val="Heading2"/>
        <w:keepNext/>
      </w:pPr>
      <w:r>
        <w:t>Slide 3: Ask Directly About Suicide and Self-Harm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direct assessment pathway with thoughts, intent, plan, means, history, and protective factors.</w:t>
            </w:r>
          </w:p>
        </w:tc>
        <w:tc>
          <w:tcPr>
            <w:tcW w:type="dxa" w:w="5112"/>
            <w:shd w:fill="DCEFF6"/>
            <w:tcMar>
              <w:top w:w="90" w:type="dxa"/>
              <w:start w:w="110" w:type="dxa"/>
              <w:bottom w:w="90" w:type="dxa"/>
              <w:end w:w="110" w:type="dxa"/>
            </w:tcMar>
            <w:vAlign w:val="top"/>
          </w:tcPr>
          <w:p>
            <w:pPr>
              <w:keepNext/>
              <w:keepLines/>
            </w:pPr>
            <w:r>
              <w:rPr>
                <w:color w:val="243B53"/>
                <w:sz w:val="17"/>
              </w:rPr>
              <w:t>Thoughts • Intent • Plan • Means • History • Protection</w:t>
            </w:r>
          </w:p>
        </w:tc>
      </w:tr>
    </w:tbl>
    <w:p>
      <w:pPr>
        <w:pStyle w:val="CTALabel"/>
        <w:keepNext/>
      </w:pPr>
      <w:r>
        <w:t>Narration</w:t>
      </w:r>
    </w:p>
    <w:p>
      <w:pPr>
        <w:pStyle w:val="CTANarration"/>
        <w:keepLines/>
        <w:ind w:left="259" w:right="173"/>
      </w:pPr>
      <w:r>
        <w:t>When a statement suggests suicide or self-harm, ask directly about current thoughts, intent, plan, access to means, timing, past attempts, recent changes, substance use, reasons for living, and available support. Clarify the client’s ability and willingness to participate in a safety response. A no-harm promise is not a complete assessment. The therapist’s tone can remain collaborative and compassionate while the questions become specific.</w:t>
      </w:r>
    </w:p>
    <w:p>
      <w:pPr>
        <w:pStyle w:val="Heading2"/>
        <w:keepNext/>
      </w:pPr>
      <w:r>
        <w:t>Slide 4: Assess Risk of Harm to Others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Threat assessment domains: target, intent, plan, means, history, escalation, context.</w:t>
            </w:r>
          </w:p>
        </w:tc>
        <w:tc>
          <w:tcPr>
            <w:tcW w:type="dxa" w:w="5112"/>
            <w:shd w:fill="DCEFF6"/>
            <w:tcMar>
              <w:top w:w="90" w:type="dxa"/>
              <w:start w:w="110" w:type="dxa"/>
              <w:bottom w:w="90" w:type="dxa"/>
              <w:end w:w="110" w:type="dxa"/>
            </w:tcMar>
            <w:vAlign w:val="top"/>
          </w:tcPr>
          <w:p>
            <w:pPr>
              <w:keepNext/>
              <w:keepLines/>
            </w:pPr>
            <w:r>
              <w:rPr>
                <w:color w:val="243B53"/>
                <w:sz w:val="17"/>
              </w:rPr>
              <w:t>Target • Intent • Plan • Means • History • Escalation</w:t>
            </w:r>
          </w:p>
        </w:tc>
      </w:tr>
    </w:tbl>
    <w:p>
      <w:pPr>
        <w:pStyle w:val="CTALabel"/>
        <w:keepNext/>
      </w:pPr>
      <w:r>
        <w:t>Narration</w:t>
      </w:r>
    </w:p>
    <w:p>
      <w:pPr>
        <w:pStyle w:val="CTANarration"/>
        <w:keepLines/>
        <w:ind w:left="259" w:right="173"/>
      </w:pPr>
      <w:r>
        <w:t>When a client threatens another person or describes violent impulses, clarify the target, intent, plan, access to weapons or other means, past violence, substance use, psychosis, recent losses, escalation, and protective factors. Do not assume every angry statement requires the same response, and do not dismiss a specific, credible threat as venting. California duties can be fact-specific, so the therapist should use current law, consultation, and agency procedures while taking necessary protective action.</w:t>
      </w:r>
    </w:p>
    <w:p>
      <w:pPr>
        <w:pStyle w:val="Heading2"/>
        <w:keepNext/>
      </w:pPr>
      <w:r>
        <w:t>Slide 5: Respond to Abuse and Neglect Concerns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Child, elder, and dependent-adult protection pathways with a current-law reminder.</w:t>
            </w:r>
          </w:p>
        </w:tc>
        <w:tc>
          <w:tcPr>
            <w:tcW w:type="dxa" w:w="5112"/>
            <w:shd w:fill="DCEFF6"/>
            <w:tcMar>
              <w:top w:w="90" w:type="dxa"/>
              <w:start w:w="110" w:type="dxa"/>
              <w:bottom w:w="90" w:type="dxa"/>
              <w:end w:w="110" w:type="dxa"/>
            </w:tcMar>
            <w:vAlign w:val="top"/>
          </w:tcPr>
          <w:p>
            <w:pPr>
              <w:keepNext/>
              <w:keepLines/>
            </w:pPr>
            <w:r>
              <w:rPr>
                <w:color w:val="243B53"/>
                <w:sz w:val="17"/>
              </w:rPr>
              <w:t>Assess Immediate Safety • Follow Current Reporting Law</w:t>
            </w:r>
          </w:p>
        </w:tc>
      </w:tr>
    </w:tbl>
    <w:p>
      <w:pPr>
        <w:pStyle w:val="CTALabel"/>
        <w:keepNext/>
      </w:pPr>
      <w:r>
        <w:t>Narration</w:t>
      </w:r>
    </w:p>
    <w:p>
      <w:pPr>
        <w:pStyle w:val="CTANarration"/>
        <w:keepLines/>
        <w:ind w:left="259" w:right="173"/>
      </w:pPr>
      <w:r>
        <w:t>Abuse and neglect questions test whether you recognize the protected person, the type of concern, immediate danger, and the applicable reporting or protective duty. The exam answer should not require certainty beyond the legal standard or a full investigation by the therapist. Assess urgent safety, follow current reporting requirements, disclose only what is needed, support the client, and document the facts and actions. Do not promise secrecy that the law does not allow.</w:t>
      </w:r>
    </w:p>
    <w:p>
      <w:pPr>
        <w:pStyle w:val="Heading2"/>
        <w:keepNext/>
      </w:pPr>
      <w:r>
        <w:t>Slide 6: Evaluate Intimate-Partner Violence and Coercion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Conjoint treatment paused at a coercion and retaliation screening point.</w:t>
            </w:r>
          </w:p>
        </w:tc>
        <w:tc>
          <w:tcPr>
            <w:tcW w:type="dxa" w:w="5112"/>
            <w:shd w:fill="DCEFF6"/>
            <w:tcMar>
              <w:top w:w="90" w:type="dxa"/>
              <w:start w:w="110" w:type="dxa"/>
              <w:bottom w:w="90" w:type="dxa"/>
              <w:end w:w="110" w:type="dxa"/>
            </w:tcMar>
            <w:vAlign w:val="top"/>
          </w:tcPr>
          <w:p>
            <w:pPr>
              <w:keepNext/>
              <w:keepLines/>
            </w:pPr>
            <w:r>
              <w:rPr>
                <w:color w:val="243B53"/>
                <w:sz w:val="17"/>
              </w:rPr>
              <w:t>Safety and Voluntariness Before Conjoint Work</w:t>
            </w:r>
          </w:p>
        </w:tc>
      </w:tr>
    </w:tbl>
    <w:p>
      <w:pPr>
        <w:pStyle w:val="CTALabel"/>
        <w:keepNext/>
      </w:pPr>
      <w:r>
        <w:t>Narration</w:t>
      </w:r>
    </w:p>
    <w:p>
      <w:pPr>
        <w:pStyle w:val="CTANarration"/>
        <w:keepLines/>
        <w:ind w:left="259" w:right="173"/>
      </w:pPr>
      <w:r>
        <w:t>When one partner reports monitoring, threats, intimidation, injury, stalking, or fear of punishment, assess danger, coercive control, retaliation risk, children or other vulnerable persons, access to resources, and the safety of the treatment format. Do not automatically facilitate disclosure in front of the abusive partner. Couple techniques and communication exercises can be unsafe when participation is not voluntary or power is severely unequal.</w:t>
      </w:r>
    </w:p>
    <w:p>
      <w:pPr>
        <w:pStyle w:val="Heading2"/>
        <w:keepNext/>
      </w:pPr>
      <w:r>
        <w:t>Slide 7: Recognize Medical and Substance Emergencies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Medical warning signs linked to emergency evaluation.</w:t>
            </w:r>
          </w:p>
        </w:tc>
        <w:tc>
          <w:tcPr>
            <w:tcW w:type="dxa" w:w="5112"/>
            <w:shd w:fill="DCEFF6"/>
            <w:tcMar>
              <w:top w:w="90" w:type="dxa"/>
              <w:start w:w="110" w:type="dxa"/>
              <w:bottom w:w="90" w:type="dxa"/>
              <w:end w:w="110" w:type="dxa"/>
            </w:tcMar>
            <w:vAlign w:val="top"/>
          </w:tcPr>
          <w:p>
            <w:pPr>
              <w:keepNext/>
              <w:keepLines/>
            </w:pPr>
            <w:r>
              <w:rPr>
                <w:color w:val="243B53"/>
                <w:sz w:val="17"/>
              </w:rPr>
              <w:t>Confusion • Seizure Risk • Altered Consciousness • Severe Withdrawal • Injury</w:t>
            </w:r>
          </w:p>
        </w:tc>
      </w:tr>
    </w:tbl>
    <w:p>
      <w:pPr>
        <w:pStyle w:val="CTALabel"/>
        <w:keepNext/>
      </w:pPr>
      <w:r>
        <w:t>Narration</w:t>
      </w:r>
    </w:p>
    <w:p>
      <w:pPr>
        <w:pStyle w:val="CTANarration"/>
        <w:keepLines/>
        <w:ind w:left="259" w:right="173"/>
      </w:pPr>
      <w:r>
        <w:t>Crisis questions may be medical even when they appear in a therapy setting. Worsening headache after a head injury, confusion after combining medications, severe withdrawal, altered consciousness, chest pain, or new neurological symptoms require medical prioritization. Assess immediate safety, clarify what happened, and arrange urgent evaluation or emergency response as indicated. Do not interpret possible toxicity, injury, or withdrawal as anxiety or resistance.</w:t>
      </w:r>
    </w:p>
    <w:p>
      <w:pPr>
        <w:pStyle w:val="Heading2"/>
        <w:keepNext/>
      </w:pPr>
      <w:r>
        <w:t>Slide 8: Select the Least Restrictive Effective Response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Stepped levels of care from collaborative outpatient support to emergency intervention.</w:t>
            </w:r>
          </w:p>
        </w:tc>
        <w:tc>
          <w:tcPr>
            <w:tcW w:type="dxa" w:w="5112"/>
            <w:shd w:fill="DCEFF6"/>
            <w:tcMar>
              <w:top w:w="90" w:type="dxa"/>
              <w:start w:w="110" w:type="dxa"/>
              <w:bottom w:w="90" w:type="dxa"/>
              <w:end w:w="110" w:type="dxa"/>
            </w:tcMar>
            <w:vAlign w:val="top"/>
          </w:tcPr>
          <w:p>
            <w:pPr>
              <w:keepNext/>
              <w:keepLines/>
            </w:pPr>
            <w:r>
              <w:rPr>
                <w:color w:val="243B53"/>
                <w:sz w:val="17"/>
              </w:rPr>
              <w:t>Match the Response to the Actual Risk</w:t>
            </w:r>
          </w:p>
        </w:tc>
      </w:tr>
    </w:tbl>
    <w:p>
      <w:pPr>
        <w:pStyle w:val="CTALabel"/>
        <w:keepNext/>
      </w:pPr>
      <w:r>
        <w:t>Narration</w:t>
      </w:r>
    </w:p>
    <w:p>
      <w:pPr>
        <w:pStyle w:val="CTANarration"/>
        <w:keepLines/>
        <w:ind w:left="259" w:right="173"/>
      </w:pPr>
      <w:r>
        <w:t>Use the least restrictive response that can reasonably manage the danger. Options may include collaborative safety planning, mobilizing supports, means-safety steps, urgent medical or psychiatric evaluation, crisis services, emergency intervention, or hospitalization when criteria are met. Least restrictive does not mean least active. It means the response is proportionate, effective, and respectful of autonomy while addressing the supported risk.</w:t>
      </w:r>
    </w:p>
    <w:p>
      <w:pPr>
        <w:pStyle w:val="Heading2"/>
        <w:keepNext/>
      </w:pPr>
      <w:r>
        <w:t>Slide 9: Stabilize, Mobilize Supports, and Limit Disclosure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Safety plan connecting coping, supportive people, higher care, emergency resources, and a minimum-necessary disclosure boundary.</w:t>
            </w:r>
          </w:p>
        </w:tc>
        <w:tc>
          <w:tcPr>
            <w:tcW w:type="dxa" w:w="5112"/>
            <w:shd w:fill="DCEFF6"/>
            <w:tcMar>
              <w:top w:w="90" w:type="dxa"/>
              <w:start w:w="110" w:type="dxa"/>
              <w:bottom w:w="90" w:type="dxa"/>
              <w:end w:w="110" w:type="dxa"/>
            </w:tcMar>
            <w:vAlign w:val="top"/>
          </w:tcPr>
          <w:p>
            <w:pPr>
              <w:keepNext/>
              <w:keepLines/>
            </w:pPr>
            <w:r>
              <w:rPr>
                <w:color w:val="243B53"/>
                <w:sz w:val="17"/>
              </w:rPr>
              <w:t>Stabilize Now • Involve Supports • Disclose Only What Is Needed</w:t>
            </w:r>
          </w:p>
        </w:tc>
      </w:tr>
    </w:tbl>
    <w:p>
      <w:pPr>
        <w:pStyle w:val="CTALabel"/>
        <w:keepNext/>
      </w:pPr>
      <w:r>
        <w:t>Narration</w:t>
      </w:r>
    </w:p>
    <w:p>
      <w:pPr>
        <w:pStyle w:val="CTANarration"/>
        <w:keepLines/>
        <w:ind w:left="259" w:right="173"/>
      </w:pPr>
      <w:r>
        <w:t>After determining the needed level of response, stabilize the immediate situation. Reduce access to danger when feasible, involve appropriate supports with the client's participation when possible, arrange urgent or emergency services when indicated, and make the next handoff explicit. If confidentiality must be limited for safety or a legal duty, disclose only the information needed to the appropriate recipient. Crisis action should be protective, focused, and no broader than the purpose requires.</w:t>
      </w:r>
    </w:p>
    <w:p>
      <w:pPr>
        <w:pStyle w:val="Heading2"/>
        <w:keepNext/>
      </w:pPr>
      <w:r>
        <w:t>Slide 10: Document, Consult, and Follow Up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Crisis record with facts, assessment, consultation, actions, rationale, and follow-up.</w:t>
            </w:r>
          </w:p>
        </w:tc>
        <w:tc>
          <w:tcPr>
            <w:tcW w:type="dxa" w:w="5112"/>
            <w:shd w:fill="DCEFF6"/>
            <w:tcMar>
              <w:top w:w="90" w:type="dxa"/>
              <w:start w:w="110" w:type="dxa"/>
              <w:bottom w:w="90" w:type="dxa"/>
              <w:end w:w="110" w:type="dxa"/>
            </w:tcMar>
            <w:vAlign w:val="top"/>
          </w:tcPr>
          <w:p>
            <w:pPr>
              <w:keepNext/>
              <w:keepLines/>
            </w:pPr>
            <w:r>
              <w:rPr>
                <w:color w:val="243B53"/>
                <w:sz w:val="17"/>
              </w:rPr>
              <w:t>Facts • Risk Assessment • Consultation • Action • Rationale • Follow-Up</w:t>
            </w:r>
          </w:p>
        </w:tc>
      </w:tr>
    </w:tbl>
    <w:p>
      <w:pPr>
        <w:pStyle w:val="CTALabel"/>
        <w:keepNext/>
      </w:pPr>
      <w:r>
        <w:t>Narration</w:t>
      </w:r>
    </w:p>
    <w:p>
      <w:pPr>
        <w:pStyle w:val="CTANarration"/>
        <w:keepLines/>
        <w:ind w:left="259" w:right="173"/>
      </w:pPr>
      <w:r>
        <w:t>Document the client’s statements and observed behavior, the focused risk assessment, relevant history, consultation, legal or clinical rationale, actions taken, information disclosed, people contacted, the client’s response, and the follow-up plan. Consultation supports judgment but does not transfer responsibility. After the immediate crisis, reassess risk, treatment fit, supports, and continuity. A crisis response is incomplete without a clear next contact or handoff.</w:t>
      </w:r>
    </w:p>
    <w:p>
      <w:pPr>
        <w:pStyle w:val="Heading2"/>
        <w:keepNext/>
      </w:pPr>
      <w:r>
        <w:t>Slide 11: Example: Severe Postpartum Symptoms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Postpartum timeline showing severe sleep loss, activation, psychosis, and infant safety.</w:t>
            </w:r>
          </w:p>
        </w:tc>
        <w:tc>
          <w:tcPr>
            <w:tcW w:type="dxa" w:w="5112"/>
            <w:shd w:fill="DCEFF6"/>
            <w:tcMar>
              <w:top w:w="90" w:type="dxa"/>
              <w:start w:w="110" w:type="dxa"/>
              <w:bottom w:w="90" w:type="dxa"/>
              <w:end w:w="110" w:type="dxa"/>
            </w:tcMar>
            <w:vAlign w:val="top"/>
          </w:tcPr>
          <w:p>
            <w:pPr>
              <w:keepNext/>
              <w:keepLines/>
            </w:pPr>
            <w:r>
              <w:rPr>
                <w:color w:val="243B53"/>
                <w:sz w:val="17"/>
              </w:rPr>
              <w:t>Client and Infant Safety + Urgent Evaluation</w:t>
            </w:r>
          </w:p>
        </w:tc>
      </w:tr>
    </w:tbl>
    <w:p>
      <w:pPr>
        <w:pStyle w:val="CTALabel"/>
        <w:keepNext/>
      </w:pPr>
      <w:r>
        <w:t>Narration</w:t>
      </w:r>
    </w:p>
    <w:p>
      <w:pPr>
        <w:pStyle w:val="CTANarration"/>
        <w:keepLines/>
        <w:ind w:left="259" w:right="173"/>
      </w:pPr>
      <w:r>
        <w:t>Consider a client three weeks after childbirth who is sleeping less than two hours, spending impulsively, feeling unusually powerful, and hearing a voice about the baby. Routine couple work or reassurance is not the first step. Assess the immediate safety of the client and infant and arrange urgent psychiatric or medical evaluation. The final diagnosis can be refined later. The severity, psychotic feature, and caregiving responsibility establish the crisis priority.</w:t>
      </w:r>
    </w:p>
    <w:p>
      <w:pPr>
        <w:pStyle w:val="Heading2"/>
        <w:keepNext/>
      </w:pPr>
      <w:r>
        <w:t>Slide 12: Common Crisis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vague assessment, delay, unsupported extreme response, no follow-up.</w:t>
            </w:r>
          </w:p>
        </w:tc>
        <w:tc>
          <w:tcPr>
            <w:tcW w:type="dxa" w:w="5112"/>
            <w:shd w:fill="DCEFF6"/>
            <w:tcMar>
              <w:top w:w="90" w:type="dxa"/>
              <w:start w:w="110" w:type="dxa"/>
              <w:bottom w:w="90" w:type="dxa"/>
              <w:end w:w="110" w:type="dxa"/>
            </w:tcMar>
            <w:vAlign w:val="top"/>
          </w:tcPr>
          <w:p>
            <w:pPr>
              <w:keepNext/>
              <w:keepLines/>
            </w:pPr>
            <w:r>
              <w:rPr>
                <w:color w:val="243B53"/>
                <w:sz w:val="17"/>
              </w:rPr>
              <w:t>Vagueness • Delay • Disproportion • No Continuity</w:t>
            </w:r>
          </w:p>
        </w:tc>
      </w:tr>
    </w:tbl>
    <w:p>
      <w:pPr>
        <w:pStyle w:val="CTALabel"/>
        <w:keepNext/>
      </w:pPr>
      <w:r>
        <w:t>Narration</w:t>
      </w:r>
    </w:p>
    <w:p>
      <w:pPr>
        <w:pStyle w:val="CTANarration"/>
        <w:keepLines/>
        <w:ind w:left="259" w:right="173"/>
      </w:pPr>
      <w:r>
        <w:t>Watch for four traps. First, asking vague questions when direct assessment is needed. Second, continuing routine therapy after the facts establish urgent danger. Third, choosing the most extreme response without matching it to the risk. Fourth, making a referral or report without planning transport, support, documentation, or follow-up. Strong crisis answers are direct, proportionate, legally informed, and connected to continuity.</w:t>
      </w:r>
    </w:p>
    <w:p>
      <w:pPr>
        <w:pStyle w:val="Heading2"/>
        <w:keepNext/>
      </w:pPr>
      <w:r>
        <w:t>Slide 13: Use the Crisis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Six-step pathway: assess, protect, stabilize, consult, document, follow up.</w:t>
            </w:r>
          </w:p>
        </w:tc>
        <w:tc>
          <w:tcPr>
            <w:tcW w:type="dxa" w:w="5112"/>
            <w:shd w:fill="DCEFF6"/>
            <w:tcMar>
              <w:top w:w="90" w:type="dxa"/>
              <w:start w:w="110" w:type="dxa"/>
              <w:bottom w:w="90" w:type="dxa"/>
              <w:end w:w="110" w:type="dxa"/>
            </w:tcMar>
            <w:vAlign w:val="top"/>
          </w:tcPr>
          <w:p>
            <w:pPr>
              <w:keepNext/>
              <w:keepLines/>
            </w:pPr>
            <w:r>
              <w:rPr>
                <w:color w:val="243B53"/>
                <w:sz w:val="17"/>
              </w:rPr>
              <w:t>Assess → Protect → Stabilize → Consult → Document → Follow Up</w:t>
            </w:r>
          </w:p>
        </w:tc>
      </w:tr>
    </w:tbl>
    <w:p>
      <w:pPr>
        <w:pStyle w:val="CTALabel"/>
        <w:keepNext/>
      </w:pPr>
      <w:r>
        <w:t>Narration</w:t>
      </w:r>
    </w:p>
    <w:p>
      <w:pPr>
        <w:pStyle w:val="CTANarration"/>
        <w:keepLines/>
        <w:ind w:left="259" w:right="173"/>
      </w:pPr>
      <w:r>
        <w:t>Use this crisis sequence. Assess the current danger and medical or psychiatric urgency. Protect the client and other vulnerable people. Stabilize the environment and select the appropriate level of care. Consult current law, policy, supervisors, or qualified experts when needed. Document the facts, rationale, and actions. Follow up to confirm access, reassess risk, and revise the treatment plan.</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crisis vignette beside the six-step sequence and a proportionality scale.</w:t>
            </w:r>
          </w:p>
        </w:tc>
        <w:tc>
          <w:tcPr>
            <w:tcW w:type="dxa" w:w="5112"/>
            <w:shd w:fill="DCEFF6"/>
            <w:tcMar>
              <w:top w:w="90" w:type="dxa"/>
              <w:start w:w="110" w:type="dxa"/>
              <w:bottom w:w="90" w:type="dxa"/>
              <w:end w:w="110" w:type="dxa"/>
            </w:tcMar>
            <w:vAlign w:val="top"/>
          </w:tcPr>
          <w:p>
            <w:pPr>
              <w:keepNext/>
              <w:keepLines/>
            </w:pPr>
            <w:r>
              <w:rPr>
                <w:color w:val="243B53"/>
                <w:sz w:val="17"/>
              </w:rPr>
              <w:t>Next: Name the Risk, Then Match the Response</w:t>
            </w:r>
          </w:p>
        </w:tc>
      </w:tr>
    </w:tbl>
    <w:p>
      <w:pPr>
        <w:pStyle w:val="CTALabel"/>
        <w:keepNext/>
      </w:pPr>
      <w:r>
        <w:t>Narration</w:t>
      </w:r>
    </w:p>
    <w:p>
      <w:pPr>
        <w:pStyle w:val="CTANarration"/>
        <w:keepLines/>
        <w:ind w:left="259" w:right="173"/>
      </w:pPr>
      <w:r>
        <w:t>During your next LMFT question bank, state the risk in one sentence before reviewing the options. Then identify the least restrictive effective response and the required follow-up. If you miss the item, note whether you minimized danger, overreacted without evidence, ignored a medical clue, or forgot confidentiality, documentation, or continuity. Add that pattern to your CTA error log.</w:t>
      </w:r>
    </w:p>
    <w:p>
      <w:pPr>
        <w:pStyle w:val="Heading1"/>
      </w:pPr>
      <w:r>
        <w:t>Audio-Only Adaptation Notes</w:t>
      </w:r>
    </w:p>
    <w:p>
      <w:pPr>
        <w:pStyle w:val="ListBullet"/>
        <w:spacing w:after="40"/>
        <w:ind w:left="360" w:hanging="216"/>
      </w:pPr>
      <w:r>
        <w:t>Read the crisis sequence twice: once during the teaching slide and once in the closing direction.</w:t>
      </w:r>
    </w:p>
    <w:p>
      <w:pPr>
        <w:pStyle w:val="ListBullet"/>
        <w:spacing w:after="40"/>
        <w:ind w:left="360" w:hanging="216"/>
      </w:pPr>
      <w:r>
        <w:t>Describe the risk continuum verbally rather than relying on the visual scale.</w:t>
      </w:r>
    </w:p>
    <w:p>
      <w:pPr>
        <w:pStyle w:val="ListBullet"/>
        <w:spacing w:after="40"/>
        <w:ind w:left="360" w:hanging="216"/>
      </w:pPr>
      <w:r>
        <w:t>Clearly state that exact California duties must be verified against current official sources.</w:t>
      </w:r>
    </w:p>
    <w:p>
      <w:pPr>
        <w:pStyle w:val="ListBullet"/>
        <w:spacing w:after="40"/>
        <w:ind w:left="360" w:hanging="216"/>
      </w:pPr>
      <w:r>
        <w:t>Use a calm pace during examples so urgency does not sound like panic.</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become the LMFT crisis reference across assessment, diagnosis, treatment, and legal-ethical lessons. It must teach proportionate action: neither delaying established danger nor choosing an unsupported extreme response.</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and Safety Sequencing</dc:title>
  <dc:subject>CTA LMFT Multimedia Script 04</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