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Case Conceptualization and Treatment Planning</w:t>
      </w:r>
    </w:p>
    <w:p>
      <w:pPr>
        <w:jc w:val="center"/>
      </w:pPr>
      <w:r>
        <w:rPr>
          <w:rFonts w:ascii="Aptos Display" w:hAnsi="Aptos Display"/>
          <w:b/>
          <w:color w:val="2AA7D6"/>
          <w:sz w:val="32"/>
        </w:rPr>
        <w:t>LMFT-Specific Multimedia Script 05</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LMFT candidates to convert assessment findings into a tentative systemic formulation, prioritized and measurable goals, an appropriate treatment unit and level of care, sequenced interventions, progress measures, and a revisable plan.</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preparing for case-conceptualization, treatment-planning, progress, and termination questions.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LMFT Profession-Specific Strategy Library, paired with Planning, Progress, and Termination.</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7, with formulation content from Workbooks 4 and 5 and intervention content from Workbooks 8 through 11.</w:t>
            </w:r>
          </w:p>
        </w:tc>
      </w:tr>
    </w:tbl>
    <w:p>
      <w:pPr>
        <w:spacing w:after="20"/>
      </w:pPr>
    </w:p>
    <w:p>
      <w:pPr>
        <w:pStyle w:val="Heading1"/>
      </w:pPr>
      <w:r>
        <w:t>Learning Outcomes</w:t>
      </w:r>
    </w:p>
    <w:p>
      <w:pPr>
        <w:pStyle w:val="ListBullet"/>
        <w:spacing w:after="40"/>
        <w:ind w:left="360" w:hanging="216"/>
      </w:pPr>
      <w:r>
        <w:t>Build a tentative, multi-level case conceptualization.</w:t>
      </w:r>
    </w:p>
    <w:p>
      <w:pPr>
        <w:pStyle w:val="ListBullet"/>
        <w:spacing w:after="40"/>
        <w:ind w:left="360" w:hanging="216"/>
      </w:pPr>
      <w:r>
        <w:t>Prioritize problems and translate them into measurable goals.</w:t>
      </w:r>
    </w:p>
    <w:p>
      <w:pPr>
        <w:pStyle w:val="ListBullet"/>
        <w:spacing w:after="40"/>
        <w:ind w:left="360" w:hanging="216"/>
      </w:pPr>
      <w:r>
        <w:t>Match treatment unit, level of care, and intervention sequence to the formulation.</w:t>
      </w:r>
    </w:p>
    <w:p>
      <w:pPr>
        <w:pStyle w:val="ListBullet"/>
        <w:spacing w:after="40"/>
        <w:ind w:left="360" w:hanging="216"/>
      </w:pPr>
      <w:r>
        <w:t>Use progress data and client feedback to revise or conclude treatment.</w:t>
      </w:r>
    </w:p>
    <w:p>
      <w:pPr>
        <w:pStyle w:val="Heading1"/>
      </w:pPr>
      <w:r>
        <w:t>Voice and Presentation Direction</w:t>
      </w:r>
    </w:p>
    <w:p>
      <w:pPr>
        <w:pStyle w:val="ListBullet"/>
        <w:spacing w:after="40"/>
        <w:ind w:left="360" w:hanging="216"/>
      </w:pPr>
      <w:r>
        <w:t>Keep conceptualization concrete and connected to observable data.</w:t>
      </w:r>
    </w:p>
    <w:p>
      <w:pPr>
        <w:pStyle w:val="ListBullet"/>
        <w:spacing w:after="40"/>
        <w:ind w:left="360" w:hanging="216"/>
      </w:pPr>
      <w:r>
        <w:t>Distinguish a formulation from a diagnosis or a list of symptoms.</w:t>
      </w:r>
    </w:p>
    <w:p>
      <w:pPr>
        <w:pStyle w:val="ListBullet"/>
        <w:spacing w:after="40"/>
        <w:ind w:left="360" w:hanging="216"/>
      </w:pPr>
      <w:r>
        <w:t>Reinforce client participation, feasibility, and cultural responsiveness.</w:t>
      </w:r>
    </w:p>
    <w:p>
      <w:pPr>
        <w:pStyle w:val="ListBullet"/>
        <w:spacing w:after="40"/>
        <w:ind w:left="360" w:hanging="216"/>
      </w:pPr>
      <w:r>
        <w:t>Present termination and referral as planned clinical processes, not abrupt endings.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practical planning tone. Connect every intervention to an assessed maintaining factor, client-defined goal, treatment unit, and progress indicator. Emphasize that the plan is collaborative and revisable.</w:t>
            </w:r>
          </w:p>
        </w:tc>
      </w:tr>
    </w:tbl>
    <w:p>
      <w:pPr>
        <w:spacing w:after="20"/>
      </w:pPr>
    </w:p>
    <w:p>
      <w:pPr>
        <w:pStyle w:val="Heading1"/>
      </w:pPr>
      <w:r>
        <w:t>Slide-by-Slide Script</w:t>
      </w:r>
    </w:p>
    <w:p>
      <w:pPr>
        <w:pStyle w:val="Heading2"/>
        <w:keepNext/>
      </w:pPr>
      <w:r>
        <w:t>Slide 1: Conceptualization Bridges Assessment and Action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Assessment findings flowing through a formulation bridge into goals and interventions.</w:t>
            </w:r>
          </w:p>
        </w:tc>
        <w:tc>
          <w:tcPr>
            <w:tcW w:type="dxa" w:w="5112"/>
            <w:shd w:fill="DCEFF6"/>
            <w:tcMar>
              <w:top w:w="90" w:type="dxa"/>
              <w:start w:w="110" w:type="dxa"/>
              <w:bottom w:w="90" w:type="dxa"/>
              <w:end w:w="110" w:type="dxa"/>
            </w:tcMar>
            <w:vAlign w:val="top"/>
          </w:tcPr>
          <w:p>
            <w:pPr>
              <w:keepNext/>
              <w:keepLines/>
            </w:pPr>
            <w:r>
              <w:rPr>
                <w:color w:val="243B53"/>
                <w:sz w:val="17"/>
              </w:rPr>
              <w:t>Assessment → Formulation → Plan → Intervention</w:t>
            </w:r>
          </w:p>
        </w:tc>
      </w:tr>
    </w:tbl>
    <w:p>
      <w:pPr>
        <w:pStyle w:val="CTALabel"/>
        <w:keepNext/>
      </w:pPr>
      <w:r>
        <w:t>Narration</w:t>
      </w:r>
    </w:p>
    <w:p>
      <w:pPr>
        <w:pStyle w:val="CTANarration"/>
        <w:keepLines/>
        <w:ind w:left="259" w:right="173"/>
      </w:pPr>
      <w:r>
        <w:t>Case conceptualization explains how the available information fits together and what should change first. It is more than a diagnosis and more than a list of problems. A useful formulation connects symptoms, relational patterns, development, culture, trauma, health, resources, strengths, and maintaining factors to a treatment direction. On the exam, the strongest plan grows from the formulation rather than from a favorite technique.</w:t>
      </w:r>
    </w:p>
    <w:p>
      <w:pPr>
        <w:pStyle w:val="Heading2"/>
        <w:keepNext/>
      </w:pPr>
      <w:r>
        <w:t>Slide 2: Organize the Case With the Five 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Five connected cards: presenting, predisposing, precipitating, perpetuating, protective.</w:t>
            </w:r>
          </w:p>
        </w:tc>
        <w:tc>
          <w:tcPr>
            <w:tcW w:type="dxa" w:w="5112"/>
            <w:shd w:fill="DCEFF6"/>
            <w:tcMar>
              <w:top w:w="90" w:type="dxa"/>
              <w:start w:w="110" w:type="dxa"/>
              <w:bottom w:w="90" w:type="dxa"/>
              <w:end w:w="110" w:type="dxa"/>
            </w:tcMar>
            <w:vAlign w:val="top"/>
          </w:tcPr>
          <w:p>
            <w:pPr>
              <w:keepNext/>
              <w:keepLines/>
            </w:pPr>
            <w:r>
              <w:rPr>
                <w:color w:val="243B53"/>
                <w:sz w:val="17"/>
              </w:rPr>
              <w:t>Presenting • Predisposing • Precipitating • Perpetuating • Protective</w:t>
            </w:r>
          </w:p>
        </w:tc>
      </w:tr>
    </w:tbl>
    <w:p>
      <w:pPr>
        <w:pStyle w:val="CTALabel"/>
        <w:keepNext/>
      </w:pPr>
      <w:r>
        <w:t>Narration</w:t>
      </w:r>
    </w:p>
    <w:p>
      <w:pPr>
        <w:pStyle w:val="CTANarration"/>
        <w:keepLines/>
        <w:ind w:left="259" w:right="173"/>
      </w:pPr>
      <w:r>
        <w:t>One practical organizing method is the five Ps. What is presenting now? What longstanding vulnerabilities or conditions may predispose the problem? What recent event precipitated the change? What responses, beliefs, environments, or relationship cycles perpetuate it? What protective factors support recovery? The five Ps are not a rigid formula, but they help prevent treatment from targeting only the visible symptom while missing what maintains it.</w:t>
      </w:r>
    </w:p>
    <w:p>
      <w:pPr>
        <w:pStyle w:val="Heading2"/>
        <w:keepNext/>
      </w:pPr>
      <w:r>
        <w:t>Slide 3: Formulate at Multiple Levels and Keep It Tentative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Working hypothesis connecting individual, relational, developmental, cultural, medical, and environmental levels with a revision loop.</w:t>
            </w:r>
          </w:p>
        </w:tc>
        <w:tc>
          <w:tcPr>
            <w:tcW w:type="dxa" w:w="5112"/>
            <w:shd w:fill="DCEFF6"/>
            <w:tcMar>
              <w:top w:w="90" w:type="dxa"/>
              <w:start w:w="110" w:type="dxa"/>
              <w:bottom w:w="90" w:type="dxa"/>
              <w:end w:w="110" w:type="dxa"/>
            </w:tcMar>
            <w:vAlign w:val="top"/>
          </w:tcPr>
          <w:p>
            <w:pPr>
              <w:keepNext/>
              <w:keepLines/>
            </w:pPr>
            <w:r>
              <w:rPr>
                <w:color w:val="243B53"/>
                <w:sz w:val="17"/>
              </w:rPr>
              <w:t>Integrate the Levels • Test the Hypothesis • Revise With New Data</w:t>
            </w:r>
          </w:p>
        </w:tc>
      </w:tr>
    </w:tbl>
    <w:p>
      <w:pPr>
        <w:pStyle w:val="CTALabel"/>
        <w:keepNext/>
      </w:pPr>
      <w:r>
        <w:t>Narration</w:t>
      </w:r>
    </w:p>
    <w:p>
      <w:pPr>
        <w:pStyle w:val="CTANarration"/>
        <w:keepLines/>
        <w:ind w:left="259" w:right="173"/>
      </w:pPr>
      <w:r>
        <w:t>A useful conceptualization links individual symptoms, relationship patterns, development, culture, trauma, health, substances, strengths, and environmental stressors. It explains how the problem may be maintained without reducing the case to one person's fault. Keep the explanation tentative. Ask what evidence supports it, what evidence does not fit, what alternatives remain, and what new information would change the plan. A formulation guides action only while it continues to fit the data.</w:t>
      </w:r>
    </w:p>
    <w:p>
      <w:pPr>
        <w:pStyle w:val="Heading2"/>
        <w:keepNext/>
      </w:pPr>
      <w:r>
        <w:t>Slide 4: Prioritize Problems With the Client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Priority ladder: safety, stability, functioning, relational goals, longer-term growth.</w:t>
            </w:r>
          </w:p>
        </w:tc>
        <w:tc>
          <w:tcPr>
            <w:tcW w:type="dxa" w:w="5112"/>
            <w:shd w:fill="DCEFF6"/>
            <w:tcMar>
              <w:top w:w="90" w:type="dxa"/>
              <w:start w:w="110" w:type="dxa"/>
              <w:bottom w:w="90" w:type="dxa"/>
              <w:end w:w="110" w:type="dxa"/>
            </w:tcMar>
            <w:vAlign w:val="top"/>
          </w:tcPr>
          <w:p>
            <w:pPr>
              <w:keepNext/>
              <w:keepLines/>
            </w:pPr>
            <w:r>
              <w:rPr>
                <w:color w:val="243B53"/>
                <w:sz w:val="17"/>
              </w:rPr>
              <w:t>Safety • Urgency • Client Goals • Feasibility</w:t>
            </w:r>
          </w:p>
        </w:tc>
      </w:tr>
    </w:tbl>
    <w:p>
      <w:pPr>
        <w:pStyle w:val="CTALabel"/>
        <w:keepNext/>
      </w:pPr>
      <w:r>
        <w:t>Narration</w:t>
      </w:r>
    </w:p>
    <w:p>
      <w:pPr>
        <w:pStyle w:val="CTANarration"/>
        <w:keepLines/>
        <w:ind w:left="259" w:right="173"/>
      </w:pPr>
      <w:r>
        <w:t>A client may present with several needs. Prioritize immediate safety and medical concerns, then consider functional stability, the client’s goals, readiness, available resources, and what can realistically change. The therapist should not impose a plan solely because a family member, court, or referral source prefers it. Clarify required conditions and limits, while identifying the client’s own concerns and choices.</w:t>
      </w:r>
    </w:p>
    <w:p>
      <w:pPr>
        <w:pStyle w:val="Heading2"/>
        <w:keepNext/>
      </w:pPr>
      <w:r>
        <w:t>Slide 5: Write Measurable, Meaningful Goals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vague goal transformed into a specific behavior, context, frequency, and time frame.</w:t>
            </w:r>
          </w:p>
        </w:tc>
        <w:tc>
          <w:tcPr>
            <w:tcW w:type="dxa" w:w="5112"/>
            <w:shd w:fill="DCEFF6"/>
            <w:tcMar>
              <w:top w:w="90" w:type="dxa"/>
              <w:start w:w="110" w:type="dxa"/>
              <w:bottom w:w="90" w:type="dxa"/>
              <w:end w:w="110" w:type="dxa"/>
            </w:tcMar>
            <w:vAlign w:val="top"/>
          </w:tcPr>
          <w:p>
            <w:pPr>
              <w:keepNext/>
              <w:keepLines/>
            </w:pPr>
            <w:r>
              <w:rPr>
                <w:color w:val="243B53"/>
                <w:sz w:val="17"/>
              </w:rPr>
              <w:t>What Will Change? How Will We Know?</w:t>
            </w:r>
          </w:p>
        </w:tc>
      </w:tr>
    </w:tbl>
    <w:p>
      <w:pPr>
        <w:pStyle w:val="CTALabel"/>
        <w:keepNext/>
      </w:pPr>
      <w:r>
        <w:t>Narration</w:t>
      </w:r>
    </w:p>
    <w:p>
      <w:pPr>
        <w:pStyle w:val="CTANarration"/>
        <w:keepLines/>
        <w:ind w:left="259" w:right="173"/>
      </w:pPr>
      <w:r>
        <w:t>A measurable goal states what will change, under what conditions, and how progress will be recognized. “Communicate better” is vague. “Use an agreed de-escalation routine during four of five identified conflicts over the next month” is observable and reviewable. Measures should reflect meaningful functioning and client priorities, not only symptom scores. Goals can include safety, behavior, relationships, coping, participation, or access to resources.</w:t>
      </w:r>
    </w:p>
    <w:p>
      <w:pPr>
        <w:pStyle w:val="Heading2"/>
        <w:keepNext/>
      </w:pPr>
      <w:r>
        <w:t>Slide 6: Choose the Treatment Unit and Level of Care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Decision tree for individual, couple, family, group, outpatient, intensive, and emergency care.</w:t>
            </w:r>
          </w:p>
        </w:tc>
        <w:tc>
          <w:tcPr>
            <w:tcW w:type="dxa" w:w="5112"/>
            <w:shd w:fill="DCEFF6"/>
            <w:tcMar>
              <w:top w:w="90" w:type="dxa"/>
              <w:start w:w="110" w:type="dxa"/>
              <w:bottom w:w="90" w:type="dxa"/>
              <w:end w:w="110" w:type="dxa"/>
            </w:tcMar>
            <w:vAlign w:val="top"/>
          </w:tcPr>
          <w:p>
            <w:pPr>
              <w:keepNext/>
              <w:keepLines/>
            </w:pPr>
            <w:r>
              <w:rPr>
                <w:color w:val="243B53"/>
                <w:sz w:val="17"/>
              </w:rPr>
              <w:t>Who Should Participate? What Intensity Is Needed?</w:t>
            </w:r>
          </w:p>
        </w:tc>
      </w:tr>
    </w:tbl>
    <w:p>
      <w:pPr>
        <w:pStyle w:val="CTALabel"/>
        <w:keepNext/>
      </w:pPr>
      <w:r>
        <w:t>Narration</w:t>
      </w:r>
    </w:p>
    <w:p>
      <w:pPr>
        <w:pStyle w:val="CTANarration"/>
        <w:keepLines/>
        <w:ind w:left="259" w:right="173"/>
      </w:pPr>
      <w:r>
        <w:t>The plan should identify who needs to participate and what level of care can safely address the problem. Couple work may fit a reciprocal conflict cycle, while individual treatment may be safer when coercion is present. Family involvement may support a child’s treatment, and group work may add normalization or skills practice. Acute danger, severe withdrawal, or psychiatric instability may require a higher level of care before routine outpatient therapy continues.</w:t>
      </w:r>
    </w:p>
    <w:p>
      <w:pPr>
        <w:pStyle w:val="Heading2"/>
        <w:keepNext/>
      </w:pPr>
      <w:r>
        <w:t>Slide 7: Match Interventions to Maintaining Factors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Maintaining factors connected to selected interventions.</w:t>
            </w:r>
          </w:p>
        </w:tc>
        <w:tc>
          <w:tcPr>
            <w:tcW w:type="dxa" w:w="5112"/>
            <w:shd w:fill="DCEFF6"/>
            <w:tcMar>
              <w:top w:w="90" w:type="dxa"/>
              <w:start w:w="110" w:type="dxa"/>
              <w:bottom w:w="90" w:type="dxa"/>
              <w:end w:w="110" w:type="dxa"/>
            </w:tcMar>
            <w:vAlign w:val="top"/>
          </w:tcPr>
          <w:p>
            <w:pPr>
              <w:keepNext/>
              <w:keepLines/>
            </w:pPr>
            <w:r>
              <w:rPr>
                <w:color w:val="243B53"/>
                <w:sz w:val="17"/>
              </w:rPr>
              <w:t>Target What Keeps the Problem Going</w:t>
            </w:r>
          </w:p>
        </w:tc>
      </w:tr>
    </w:tbl>
    <w:p>
      <w:pPr>
        <w:pStyle w:val="CTALabel"/>
        <w:keepNext/>
      </w:pPr>
      <w:r>
        <w:t>Narration</w:t>
      </w:r>
    </w:p>
    <w:p>
      <w:pPr>
        <w:pStyle w:val="CTANarration"/>
        <w:keepLines/>
        <w:ind w:left="259" w:right="173"/>
      </w:pPr>
      <w:r>
        <w:t>Select interventions because they address the factors maintaining the problem. If escalation is maintained by rapid arousal and interruption, begin with regulation and structure before exploring deeper meaning. If avoidance maintains anxiety, a gradual evidence-based exposure approach may fit after assessment and consent. If access barriers prevent care, coordination or advocacy may be necessary. A helpful intervention can still be wrong if it targets the wrong mechanism or arrives at the wrong time.</w:t>
      </w:r>
    </w:p>
    <w:p>
      <w:pPr>
        <w:pStyle w:val="Heading2"/>
        <w:keepNext/>
      </w:pPr>
      <w:r>
        <w:t>Slide 8: Sequence Treatment in Phases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Phases: stabilize, engage and build skills, process and change patterns, consolidate and prevent relapse.</w:t>
            </w:r>
          </w:p>
        </w:tc>
        <w:tc>
          <w:tcPr>
            <w:tcW w:type="dxa" w:w="5112"/>
            <w:shd w:fill="DCEFF6"/>
            <w:tcMar>
              <w:top w:w="90" w:type="dxa"/>
              <w:start w:w="110" w:type="dxa"/>
              <w:bottom w:w="90" w:type="dxa"/>
              <w:end w:w="110" w:type="dxa"/>
            </w:tcMar>
            <w:vAlign w:val="top"/>
          </w:tcPr>
          <w:p>
            <w:pPr>
              <w:keepNext/>
              <w:keepLines/>
            </w:pPr>
            <w:r>
              <w:rPr>
                <w:color w:val="243B53"/>
                <w:sz w:val="17"/>
              </w:rPr>
              <w:t>Stabilize → Build Capacity → Change Patterns → Consolidate</w:t>
            </w:r>
          </w:p>
        </w:tc>
      </w:tr>
    </w:tbl>
    <w:p>
      <w:pPr>
        <w:pStyle w:val="CTALabel"/>
        <w:keepNext/>
      </w:pPr>
      <w:r>
        <w:t>Narration</w:t>
      </w:r>
    </w:p>
    <w:p>
      <w:pPr>
        <w:pStyle w:val="CTANarration"/>
        <w:keepLines/>
        <w:ind w:left="259" w:right="173"/>
      </w:pPr>
      <w:r>
        <w:t>Treatment often unfolds in phases. First address safety, stabilization, and engagement. Then build regulation, communication, coping, or practical supports. Next work more directly on maintaining beliefs, trauma responses, attachment needs, or relational patterns. Finally consolidate gains, plan for setbacks, and prepare for termination. The exact phases vary, but the exam often tests whether a sophisticated intervention is being offered before the client has enough safety or capacity to use it.</w:t>
      </w:r>
    </w:p>
    <w:p>
      <w:pPr>
        <w:pStyle w:val="Heading2"/>
        <w:keepNext/>
      </w:pPr>
      <w:r>
        <w:t>Slide 9: Plan for Barriers and Resources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Treatment plan with access barriers, supports, and backup pathways.</w:t>
            </w:r>
          </w:p>
        </w:tc>
        <w:tc>
          <w:tcPr>
            <w:tcW w:type="dxa" w:w="5112"/>
            <w:shd w:fill="DCEFF6"/>
            <w:tcMar>
              <w:top w:w="90" w:type="dxa"/>
              <w:start w:w="110" w:type="dxa"/>
              <w:bottom w:w="90" w:type="dxa"/>
              <w:end w:w="110" w:type="dxa"/>
            </w:tcMar>
            <w:vAlign w:val="top"/>
          </w:tcPr>
          <w:p>
            <w:pPr>
              <w:keepNext/>
              <w:keepLines/>
            </w:pPr>
            <w:r>
              <w:rPr>
                <w:color w:val="243B53"/>
                <w:sz w:val="17"/>
              </w:rPr>
              <w:t>Fit Includes Access and Follow-Through</w:t>
            </w:r>
          </w:p>
        </w:tc>
      </w:tr>
    </w:tbl>
    <w:p>
      <w:pPr>
        <w:pStyle w:val="CTALabel"/>
        <w:keepNext/>
      </w:pPr>
      <w:r>
        <w:t>Narration</w:t>
      </w:r>
    </w:p>
    <w:p>
      <w:pPr>
        <w:pStyle w:val="CTANarration"/>
        <w:keepLines/>
        <w:ind w:left="259" w:right="173"/>
      </w:pPr>
      <w:r>
        <w:t>A plan is not feasible if the client cannot access it. Consider cost, transportation, childcare, language, disability, technology, schedule, cultural fit, insurance, family support, and the client’s willingness. Clarify who is responsible for referrals, coordination, and follow-up. A warm handoff and a scheduled check may be stronger than simply giving a resource list.</w:t>
      </w:r>
    </w:p>
    <w:p>
      <w:pPr>
        <w:pStyle w:val="Heading2"/>
        <w:keepNext/>
      </w:pPr>
      <w:r>
        <w:t>Slide 10: Evaluate Progress and Revise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Progress dashboard with goals, symptoms, functioning, alliance, barriers, and client feedback.</w:t>
            </w:r>
          </w:p>
        </w:tc>
        <w:tc>
          <w:tcPr>
            <w:tcW w:type="dxa" w:w="5112"/>
            <w:shd w:fill="DCEFF6"/>
            <w:tcMar>
              <w:top w:w="90" w:type="dxa"/>
              <w:start w:w="110" w:type="dxa"/>
              <w:bottom w:w="90" w:type="dxa"/>
              <w:end w:w="110" w:type="dxa"/>
            </w:tcMar>
            <w:vAlign w:val="top"/>
          </w:tcPr>
          <w:p>
            <w:pPr>
              <w:keepNext/>
              <w:keepLines/>
            </w:pPr>
            <w:r>
              <w:rPr>
                <w:color w:val="243B53"/>
                <w:sz w:val="17"/>
              </w:rPr>
              <w:t>Measure • Ask • Compare • Revise</w:t>
            </w:r>
          </w:p>
        </w:tc>
      </w:tr>
    </w:tbl>
    <w:p>
      <w:pPr>
        <w:pStyle w:val="CTALabel"/>
        <w:keepNext/>
      </w:pPr>
      <w:r>
        <w:t>Narration</w:t>
      </w:r>
    </w:p>
    <w:p>
      <w:pPr>
        <w:pStyle w:val="CTANarration"/>
        <w:keepLines/>
        <w:ind w:left="259" w:right="173"/>
      </w:pPr>
      <w:r>
        <w:t>Review progress toward the agreed goals, symptom and functioning changes, risk, attendance, between-session practice, client feedback, alliance, and barriers. Lack of progress does not automatically mean resistance or immediate termination. Reassess the formulation, treatment fit, readiness, level of care, external obstacles, and therapist contribution. Modify the plan collaboratively and document the rationale.</w:t>
      </w:r>
    </w:p>
    <w:p>
      <w:pPr>
        <w:pStyle w:val="Heading2"/>
        <w:keepNext/>
      </w:pPr>
      <w:r>
        <w:t>Slide 11: Example: A Multi-Problem Couple Case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Couple case map with conflict cycle, trauma cue, alcohol use, and housing stress.</w:t>
            </w:r>
          </w:p>
        </w:tc>
        <w:tc>
          <w:tcPr>
            <w:tcW w:type="dxa" w:w="5112"/>
            <w:shd w:fill="DCEFF6"/>
            <w:tcMar>
              <w:top w:w="90" w:type="dxa"/>
              <w:start w:w="110" w:type="dxa"/>
              <w:bottom w:w="90" w:type="dxa"/>
              <w:end w:w="110" w:type="dxa"/>
            </w:tcMar>
            <w:vAlign w:val="top"/>
          </w:tcPr>
          <w:p>
            <w:pPr>
              <w:keepNext/>
              <w:keepLines/>
            </w:pPr>
            <w:r>
              <w:rPr>
                <w:color w:val="243B53"/>
                <w:sz w:val="17"/>
              </w:rPr>
              <w:t>Prioritize and Sequence - Do Not Treat Everything at Once</w:t>
            </w:r>
          </w:p>
        </w:tc>
      </w:tr>
    </w:tbl>
    <w:p>
      <w:pPr>
        <w:pStyle w:val="CTALabel"/>
        <w:keepNext/>
      </w:pPr>
      <w:r>
        <w:t>Narration</w:t>
      </w:r>
    </w:p>
    <w:p>
      <w:pPr>
        <w:pStyle w:val="CTANarration"/>
        <w:keepLines/>
        <w:ind w:left="259" w:right="173"/>
      </w:pPr>
      <w:r>
        <w:t>Consider a couple with escalating conflict, one partner’s trauma triggers, increased alcohol use, and a pending eviction. A weak plan chooses a communication technique and ignores the rest. A stronger formulation assesses safety and substance risk, addresses the urgent housing threat, maps the conflict cycle, identifies trauma-related cues, and agrees on measurable goals. The treatment sequence may combine stabilization, resource coordination, individual assessment, and carefully selected couple work.</w:t>
      </w:r>
    </w:p>
    <w:p>
      <w:pPr>
        <w:pStyle w:val="Heading2"/>
        <w:keepNext/>
      </w:pPr>
      <w:r>
        <w:t>Slide 12: Common Planning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Four trap cards: technique first, vague goal, therapist-only plan, no progress review.</w:t>
            </w:r>
          </w:p>
        </w:tc>
        <w:tc>
          <w:tcPr>
            <w:tcW w:type="dxa" w:w="5112"/>
            <w:shd w:fill="DCEFF6"/>
            <w:tcMar>
              <w:top w:w="90" w:type="dxa"/>
              <w:start w:w="110" w:type="dxa"/>
              <w:bottom w:w="90" w:type="dxa"/>
              <w:end w:w="110" w:type="dxa"/>
            </w:tcMar>
            <w:vAlign w:val="top"/>
          </w:tcPr>
          <w:p>
            <w:pPr>
              <w:keepNext/>
              <w:keepLines/>
            </w:pPr>
            <w:r>
              <w:rPr>
                <w:color w:val="243B53"/>
                <w:sz w:val="17"/>
              </w:rPr>
              <w:t>Favorite Technique • Vague Goal • No Collaboration • No Revision</w:t>
            </w:r>
          </w:p>
        </w:tc>
      </w:tr>
    </w:tbl>
    <w:p>
      <w:pPr>
        <w:pStyle w:val="CTALabel"/>
        <w:keepNext/>
      </w:pPr>
      <w:r>
        <w:t>Narration</w:t>
      </w:r>
    </w:p>
    <w:p>
      <w:pPr>
        <w:pStyle w:val="CTANarration"/>
        <w:keepLines/>
        <w:ind w:left="259" w:right="173"/>
      </w:pPr>
      <w:r>
        <w:t>Watch for four traps. First, choosing a favorite technique before formulating the case. Second, writing broad goals that cannot be evaluated. Third, creating the plan without client participation or attention to feasibility. Fourth, continuing the same approach without reviewing progress, risk, barriers, or fit. Strong plans explain why this target, this treatment unit, this intervention, and this sequence make sense now.</w:t>
      </w:r>
    </w:p>
    <w:p>
      <w:pPr>
        <w:pStyle w:val="Heading2"/>
        <w:keepNext/>
      </w:pPr>
      <w:r>
        <w:t>Slide 13: Use the Planning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Checklist: formulation, priority, goal, unit, level, intervention, barrier, measure, review.</w:t>
            </w:r>
          </w:p>
        </w:tc>
        <w:tc>
          <w:tcPr>
            <w:tcW w:type="dxa" w:w="5112"/>
            <w:shd w:fill="DCEFF6"/>
            <w:tcMar>
              <w:top w:w="90" w:type="dxa"/>
              <w:start w:w="110" w:type="dxa"/>
              <w:bottom w:w="90" w:type="dxa"/>
              <w:end w:w="110" w:type="dxa"/>
            </w:tcMar>
            <w:vAlign w:val="top"/>
          </w:tcPr>
          <w:p>
            <w:pPr>
              <w:keepNext/>
              <w:keepLines/>
            </w:pPr>
            <w:r>
              <w:rPr>
                <w:color w:val="243B53"/>
                <w:sz w:val="17"/>
              </w:rPr>
              <w:t>Formulation • Priority • Goal • Unit • Level • Intervention • Measure • Review</w:t>
            </w:r>
          </w:p>
        </w:tc>
      </w:tr>
    </w:tbl>
    <w:p>
      <w:pPr>
        <w:pStyle w:val="CTALabel"/>
        <w:keepNext/>
      </w:pPr>
      <w:r>
        <w:t>Narration</w:t>
      </w:r>
    </w:p>
    <w:p>
      <w:pPr>
        <w:pStyle w:val="CTANarration"/>
        <w:keepLines/>
        <w:ind w:left="259" w:right="173"/>
      </w:pPr>
      <w:r>
        <w:t>Use this planning check. What formulation best organizes the case? What problem is the current priority? What does the client want to change? Is the goal specific and measurable? Who should participate? What level of care is appropriate? Which intervention targets the maintaining factor? What barriers or resources affect feasibility? How and when will progress be reviewed?</w:t>
      </w:r>
    </w:p>
    <w:p>
      <w:pPr>
        <w:pStyle w:val="Heading2"/>
        <w:keepNext/>
      </w:pPr>
      <w:r>
        <w:t>Slide 14: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30-40 seconds</w:t>
            </w:r>
          </w:p>
        </w:tc>
        <w:tc>
          <w:tcPr>
            <w:tcW w:type="dxa" w:w="3528"/>
            <w:shd w:fill="F3F8FA"/>
            <w:tcMar>
              <w:top w:w="90" w:type="dxa"/>
              <w:start w:w="110" w:type="dxa"/>
              <w:bottom w:w="90" w:type="dxa"/>
              <w:end w:w="110" w:type="dxa"/>
            </w:tcMar>
            <w:vAlign w:val="top"/>
          </w:tcPr>
          <w:p>
            <w:pPr>
              <w:keepNext/>
              <w:keepLines/>
            </w:pPr>
            <w:r>
              <w:rPr>
                <w:color w:val="243B53"/>
                <w:sz w:val="17"/>
              </w:rPr>
              <w:t>A practice case with blank five-P and planning-check fields.</w:t>
            </w:r>
          </w:p>
        </w:tc>
        <w:tc>
          <w:tcPr>
            <w:tcW w:type="dxa" w:w="5112"/>
            <w:shd w:fill="DCEFF6"/>
            <w:tcMar>
              <w:top w:w="90" w:type="dxa"/>
              <w:start w:w="110" w:type="dxa"/>
              <w:bottom w:w="90" w:type="dxa"/>
              <w:end w:w="110" w:type="dxa"/>
            </w:tcMar>
            <w:vAlign w:val="top"/>
          </w:tcPr>
          <w:p>
            <w:pPr>
              <w:keepNext/>
              <w:keepLines/>
            </w:pPr>
            <w:r>
              <w:rPr>
                <w:color w:val="243B53"/>
                <w:sz w:val="17"/>
              </w:rPr>
              <w:t>Next: Explain Why the Plan Fits</w:t>
            </w:r>
          </w:p>
        </w:tc>
      </w:tr>
    </w:tbl>
    <w:p>
      <w:pPr>
        <w:pStyle w:val="CTALabel"/>
        <w:keepNext/>
      </w:pPr>
      <w:r>
        <w:t>Narration</w:t>
      </w:r>
    </w:p>
    <w:p>
      <w:pPr>
        <w:pStyle w:val="CTANarration"/>
        <w:keepLines/>
        <w:ind w:left="259" w:right="173"/>
      </w:pPr>
      <w:r>
        <w:t>During your next LMFT question bank, do not stop at choosing an intervention. Write one sentence explaining why it fits the formulation, priority, treatment unit, and current phase. If you miss the item, note whether you skipped formulation, chose a vague goal, ignored feasibility, or failed to evaluate progress. Add that planning error to your CTA log.</w:t>
      </w:r>
    </w:p>
    <w:p>
      <w:pPr>
        <w:pStyle w:val="Heading1"/>
      </w:pPr>
      <w:r>
        <w:t>Audio-Only Adaptation Notes</w:t>
      </w:r>
    </w:p>
    <w:p>
      <w:pPr>
        <w:pStyle w:val="ListBullet"/>
        <w:spacing w:after="40"/>
        <w:ind w:left="360" w:hanging="216"/>
      </w:pPr>
      <w:r>
        <w:t>Name all five Ps aloud and pause briefly after each one.</w:t>
      </w:r>
    </w:p>
    <w:p>
      <w:pPr>
        <w:pStyle w:val="ListBullet"/>
        <w:spacing w:after="40"/>
        <w:ind w:left="360" w:hanging="216"/>
      </w:pPr>
      <w:r>
        <w:t>Describe the treatment phases as a flexible sequence rather than a fixed protocol.</w:t>
      </w:r>
    </w:p>
    <w:p>
      <w:pPr>
        <w:pStyle w:val="ListBullet"/>
        <w:spacing w:after="40"/>
        <w:ind w:left="360" w:hanging="216"/>
      </w:pPr>
      <w:r>
        <w:t>Repeat the phrase “why this target, this unit, this intervention, and this sequence” near the end.</w:t>
      </w:r>
    </w:p>
    <w:p>
      <w:pPr>
        <w:pStyle w:val="ListBullet"/>
        <w:spacing w:after="40"/>
        <w:ind w:left="360" w:hanging="216"/>
      </w:pPr>
      <w:r>
        <w:t>End by asking listeners to explain why their selected plan fits.</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connect the LMFT program’s assessment, diagnosis, and intervention content. It must reinforce that a treatment plan is a collaborative, evidence-informed, culturally responsive, feasible, measurable, and revisable response to the formulation.</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Conceptualization and Treatment Planning</dc:title>
  <dc:subject>CTA LMFT Multimedia Script 05</dc:subject>
  <dc:creator>Clinical Training Academy</dc:creator>
  <cp:keywords>LMFT, California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