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Selecting Individual, Couple, Family, and Group Interventions</w:t>
      </w:r>
    </w:p>
    <w:p>
      <w:pPr>
        <w:jc w:val="center"/>
      </w:pPr>
      <w:r>
        <w:rPr>
          <w:rFonts w:ascii="Aptos Display" w:hAnsi="Aptos Display"/>
          <w:b/>
          <w:color w:val="2AA7D6"/>
          <w:sz w:val="32"/>
        </w:rPr>
        <w:t>LMFT-Specific Multimedia Script 06</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Teach LMFT candidates to select and sequence individual, couple, family, group, referral, and collaborative interventions based on the formulation, treatment unit, safety, development, culture, access, competence, and the mechanism maintaining the problem.</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California LMFT candidates preparing for treatment and intervention-selection questions.</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10-12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LMFT Profession-Specific Strategy Library, paired with intervention-focused Workbooks 8 through 11.</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LMFT Workbooks 8, 9, 10, and 11, with planning and safety foundations from Workbooks 6 and 7.</w:t>
            </w:r>
          </w:p>
        </w:tc>
      </w:tr>
    </w:tbl>
    <w:p>
      <w:pPr>
        <w:spacing w:after="20"/>
      </w:pPr>
    </w:p>
    <w:p>
      <w:pPr>
        <w:pStyle w:val="Heading1"/>
      </w:pPr>
      <w:r>
        <w:t>Learning Outcomes</w:t>
      </w:r>
    </w:p>
    <w:p>
      <w:pPr>
        <w:pStyle w:val="ListBullet"/>
        <w:spacing w:after="40"/>
        <w:ind w:left="360" w:hanging="216"/>
      </w:pPr>
      <w:r>
        <w:t>Match individual, couple, family, and group formats to the clinical pattern.</w:t>
      </w:r>
    </w:p>
    <w:p>
      <w:pPr>
        <w:pStyle w:val="ListBullet"/>
        <w:spacing w:after="40"/>
        <w:ind w:left="360" w:hanging="216"/>
      </w:pPr>
      <w:r>
        <w:t>Identify safety, power, developmental, cultural, and access conditions that affect modality.</w:t>
      </w:r>
    </w:p>
    <w:p>
      <w:pPr>
        <w:pStyle w:val="ListBullet"/>
        <w:spacing w:after="40"/>
        <w:ind w:left="360" w:hanging="216"/>
      </w:pPr>
      <w:r>
        <w:t>Sequence multiple interventions and referrals coherently.</w:t>
      </w:r>
    </w:p>
    <w:p>
      <w:pPr>
        <w:pStyle w:val="ListBullet"/>
        <w:spacing w:after="40"/>
        <w:ind w:left="360" w:hanging="216"/>
      </w:pPr>
      <w:r>
        <w:t>Reject techniques that are helpful in general but mismatched or premature.</w:t>
      </w:r>
    </w:p>
    <w:p>
      <w:pPr>
        <w:pStyle w:val="Heading1"/>
      </w:pPr>
      <w:r>
        <w:t>Voice and Presentation Direction</w:t>
      </w:r>
    </w:p>
    <w:p>
      <w:pPr>
        <w:pStyle w:val="ListBullet"/>
        <w:spacing w:after="40"/>
        <w:ind w:left="360" w:hanging="216"/>
      </w:pPr>
      <w:r>
        <w:t>Use concrete examples of how the same symptom may call for different modalities.</w:t>
      </w:r>
    </w:p>
    <w:p>
      <w:pPr>
        <w:pStyle w:val="ListBullet"/>
        <w:spacing w:after="40"/>
        <w:ind w:left="360" w:hanging="216"/>
      </w:pPr>
      <w:r>
        <w:t>Distinguish treatment format from a specific theoretical technique.</w:t>
      </w:r>
    </w:p>
    <w:p>
      <w:pPr>
        <w:pStyle w:val="ListBullet"/>
        <w:spacing w:after="40"/>
        <w:ind w:left="360" w:hanging="216"/>
      </w:pPr>
      <w:r>
        <w:t>Emphasize competence, evidence, consent, and client preference.</w:t>
      </w:r>
    </w:p>
    <w:p>
      <w:pPr>
        <w:pStyle w:val="ListBullet"/>
        <w:spacing w:after="40"/>
        <w:ind w:left="360" w:hanging="216"/>
      </w:pPr>
      <w:r>
        <w:t>Present combined care as coordinated rather than fragmented.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Teach modality selection as a formulation-based decision rather than a preference contest. Name contraindications, access barriers, informed consent, and scope of competence. Avoid presenting any single approach as universally best.</w:t>
            </w:r>
          </w:p>
        </w:tc>
      </w:tr>
    </w:tbl>
    <w:p>
      <w:pPr>
        <w:spacing w:after="20"/>
      </w:pPr>
    </w:p>
    <w:p>
      <w:pPr>
        <w:pStyle w:val="Heading1"/>
      </w:pPr>
      <w:r>
        <w:t>Slide-by-Slide Script</w:t>
      </w:r>
    </w:p>
    <w:p>
      <w:pPr>
        <w:pStyle w:val="Heading2"/>
        <w:keepNext/>
      </w:pPr>
      <w:r>
        <w:t>Slide 1: Match the Intervention to the Pattern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A formulation map connecting to several intervention formats.</w:t>
            </w:r>
          </w:p>
        </w:tc>
        <w:tc>
          <w:tcPr>
            <w:tcW w:type="dxa" w:w="5112"/>
            <w:shd w:fill="DCEFF6"/>
            <w:tcMar>
              <w:top w:w="90" w:type="dxa"/>
              <w:start w:w="110" w:type="dxa"/>
              <w:bottom w:w="90" w:type="dxa"/>
              <w:end w:w="110" w:type="dxa"/>
            </w:tcMar>
            <w:vAlign w:val="top"/>
          </w:tcPr>
          <w:p>
            <w:pPr>
              <w:keepNext/>
              <w:keepLines/>
            </w:pPr>
            <w:r>
              <w:rPr>
                <w:color w:val="243B53"/>
                <w:sz w:val="17"/>
              </w:rPr>
              <w:t>The Best Modality Depends on the Case</w:t>
            </w:r>
          </w:p>
        </w:tc>
      </w:tr>
    </w:tbl>
    <w:p>
      <w:pPr>
        <w:pStyle w:val="CTALabel"/>
        <w:keepNext/>
      </w:pPr>
      <w:r>
        <w:t>Narration</w:t>
      </w:r>
    </w:p>
    <w:p>
      <w:pPr>
        <w:pStyle w:val="CTANarration"/>
        <w:keepLines/>
        <w:ind w:left="259" w:right="173"/>
      </w:pPr>
      <w:r>
        <w:t>Individual, couple, family, and group interventions can all be valuable. The exam does not ask which modality is best in general. It asks which format and technique fit the assessed pattern, safety conditions, treatment goals, developmental needs, culture, access, and client preference. A correct intervention is connected to the formulation and timed for the client’s current capacity and level of care.</w:t>
      </w:r>
    </w:p>
    <w:p>
      <w:pPr>
        <w:pStyle w:val="Heading2"/>
        <w:keepNext/>
      </w:pPr>
      <w:r>
        <w:t>Slide 2: When Individual Intervention Fits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Individual treatment goals: private assessment, regulation, trauma work, autonomy, skill building.</w:t>
            </w:r>
          </w:p>
        </w:tc>
        <w:tc>
          <w:tcPr>
            <w:tcW w:type="dxa" w:w="5112"/>
            <w:shd w:fill="DCEFF6"/>
            <w:tcMar>
              <w:top w:w="90" w:type="dxa"/>
              <w:start w:w="110" w:type="dxa"/>
              <w:bottom w:w="90" w:type="dxa"/>
              <w:end w:w="110" w:type="dxa"/>
            </w:tcMar>
            <w:vAlign w:val="top"/>
          </w:tcPr>
          <w:p>
            <w:pPr>
              <w:keepNext/>
              <w:keepLines/>
            </w:pPr>
            <w:r>
              <w:rPr>
                <w:color w:val="243B53"/>
                <w:sz w:val="17"/>
              </w:rPr>
              <w:t>Individual Work: Focus, Privacy, Safety, Skill, Autonomy</w:t>
            </w:r>
          </w:p>
        </w:tc>
      </w:tr>
    </w:tbl>
    <w:p>
      <w:pPr>
        <w:pStyle w:val="CTALabel"/>
        <w:keepNext/>
      </w:pPr>
      <w:r>
        <w:t>Narration</w:t>
      </w:r>
    </w:p>
    <w:p>
      <w:pPr>
        <w:pStyle w:val="CTANarration"/>
        <w:keepLines/>
        <w:ind w:left="259" w:right="173"/>
      </w:pPr>
      <w:r>
        <w:t>Individual work may fit when the primary target involves personal symptoms, coping, trauma processing, private assessment, substance use, identity, readiness, or safety concerns that make conjoint work inappropriate. It can also prepare a client for later relational work. Individual treatment should not automatically ignore important family or couple context. The therapist can assess relational patterns and coordinate appropriate involvement while preserving the client’s treatment role and confidentiality.</w:t>
      </w:r>
    </w:p>
    <w:p>
      <w:pPr>
        <w:pStyle w:val="Heading2"/>
        <w:keepNext/>
      </w:pPr>
      <w:r>
        <w:t>Slide 3: When Couple Intervention Fits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Couple cycle with shared goals, reciprocal pattern, and a safety checkpoint.</w:t>
            </w:r>
          </w:p>
        </w:tc>
        <w:tc>
          <w:tcPr>
            <w:tcW w:type="dxa" w:w="5112"/>
            <w:shd w:fill="DCEFF6"/>
            <w:tcMar>
              <w:top w:w="90" w:type="dxa"/>
              <w:start w:w="110" w:type="dxa"/>
              <w:bottom w:w="90" w:type="dxa"/>
              <w:end w:w="110" w:type="dxa"/>
            </w:tcMar>
            <w:vAlign w:val="top"/>
          </w:tcPr>
          <w:p>
            <w:pPr>
              <w:keepNext/>
              <w:keepLines/>
            </w:pPr>
            <w:r>
              <w:rPr>
                <w:color w:val="243B53"/>
                <w:sz w:val="17"/>
              </w:rPr>
              <w:t>Couple Work: Shared Goal + Safe Participation + Relational Pattern</w:t>
            </w:r>
          </w:p>
        </w:tc>
      </w:tr>
    </w:tbl>
    <w:p>
      <w:pPr>
        <w:pStyle w:val="CTALabel"/>
        <w:keepNext/>
      </w:pPr>
      <w:r>
        <w:t>Narration</w:t>
      </w:r>
    </w:p>
    <w:p>
      <w:pPr>
        <w:pStyle w:val="CTANarration"/>
        <w:keepLines/>
        <w:ind w:left="259" w:right="173"/>
      </w:pPr>
      <w:r>
        <w:t>Couple intervention fits when both partners can participate voluntarily and safely, the problem is meaningfully maintained in the relationship, and there is a workable shared treatment goal. The therapist may target escalation, attachment insecurity, communication, intimacy, parenting coordination, or adaptation to stress. Couple work is not the first choice when coercion, retaliation risk, severe instability, or incompatible roles make open participation unsafe or misleading.</w:t>
      </w:r>
    </w:p>
    <w:p>
      <w:pPr>
        <w:pStyle w:val="Heading2"/>
        <w:keepNext/>
      </w:pPr>
      <w:r>
        <w:t>Slide 4: When Family Intervention Fits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Family system with parent, child, siblings, roles, and developmental tasks.</w:t>
            </w:r>
          </w:p>
        </w:tc>
        <w:tc>
          <w:tcPr>
            <w:tcW w:type="dxa" w:w="5112"/>
            <w:shd w:fill="DCEFF6"/>
            <w:tcMar>
              <w:top w:w="90" w:type="dxa"/>
              <w:start w:w="110" w:type="dxa"/>
              <w:bottom w:w="90" w:type="dxa"/>
              <w:end w:w="110" w:type="dxa"/>
            </w:tcMar>
            <w:vAlign w:val="top"/>
          </w:tcPr>
          <w:p>
            <w:pPr>
              <w:keepNext/>
              <w:keepLines/>
            </w:pPr>
            <w:r>
              <w:rPr>
                <w:color w:val="243B53"/>
                <w:sz w:val="17"/>
              </w:rPr>
              <w:t>Family Work: Development + Roles + Interaction + Caregiving</w:t>
            </w:r>
          </w:p>
        </w:tc>
      </w:tr>
    </w:tbl>
    <w:p>
      <w:pPr>
        <w:pStyle w:val="CTALabel"/>
        <w:keepNext/>
      </w:pPr>
      <w:r>
        <w:t>Narration</w:t>
      </w:r>
    </w:p>
    <w:p>
      <w:pPr>
        <w:pStyle w:val="CTANarration"/>
        <w:keepLines/>
        <w:ind w:left="259" w:right="173"/>
      </w:pPr>
      <w:r>
        <w:t>Family intervention may fit when a child or adolescent’s functioning is connected to caregiving responses, family transitions, roles, boundaries, conflict, grief, illness, or a repeated interactional cycle. The therapist should create developmentally appropriate ways for each person to participate and avoid treating the identified patient as the only source of the problem. Family involvement should have a clear clinical purpose and respect consent, privacy, safety, and the treatment role.</w:t>
      </w:r>
    </w:p>
    <w:p>
      <w:pPr>
        <w:pStyle w:val="Heading2"/>
        <w:keepNext/>
      </w:pPr>
      <w:r>
        <w:t>Slide 5: When Group Intervention Fits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Group members connected through universality, skills, feedback, and support.</w:t>
            </w:r>
          </w:p>
        </w:tc>
        <w:tc>
          <w:tcPr>
            <w:tcW w:type="dxa" w:w="5112"/>
            <w:shd w:fill="DCEFF6"/>
            <w:tcMar>
              <w:top w:w="90" w:type="dxa"/>
              <w:start w:w="110" w:type="dxa"/>
              <w:bottom w:w="90" w:type="dxa"/>
              <w:end w:w="110" w:type="dxa"/>
            </w:tcMar>
            <w:vAlign w:val="top"/>
          </w:tcPr>
          <w:p>
            <w:pPr>
              <w:keepNext/>
              <w:keepLines/>
            </w:pPr>
            <w:r>
              <w:rPr>
                <w:color w:val="243B53"/>
                <w:sz w:val="17"/>
              </w:rPr>
              <w:t>Group Work: Shared Need + Appropriate Fit + Safe Structure</w:t>
            </w:r>
          </w:p>
        </w:tc>
      </w:tr>
    </w:tbl>
    <w:p>
      <w:pPr>
        <w:pStyle w:val="CTALabel"/>
        <w:keepNext/>
      </w:pPr>
      <w:r>
        <w:t>Narration</w:t>
      </w:r>
    </w:p>
    <w:p>
      <w:pPr>
        <w:pStyle w:val="CTANarration"/>
        <w:keepLines/>
        <w:ind w:left="259" w:right="173"/>
      </w:pPr>
      <w:r>
        <w:t>Group treatment can provide normalization, interpersonal learning, skills practice, support, accountability, and efficient access to care. Assess whether the group’s purpose matches the client’s needs, whether the client can participate safely, and whether confidentiality limits, readiness, language, culture, accessibility, and acute risk have been addressed. A group referral is not complete until fit, availability, and follow-through are confirmed.</w:t>
      </w:r>
    </w:p>
    <w:p>
      <w:pPr>
        <w:pStyle w:val="Heading2"/>
        <w:keepNext/>
      </w:pPr>
      <w:r>
        <w:t>Slide 6: Combine and Sequence Modalities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Phased pathway combining individual, couple or family, group, and referral services.</w:t>
            </w:r>
          </w:p>
        </w:tc>
        <w:tc>
          <w:tcPr>
            <w:tcW w:type="dxa" w:w="5112"/>
            <w:shd w:fill="DCEFF6"/>
            <w:tcMar>
              <w:top w:w="90" w:type="dxa"/>
              <w:start w:w="110" w:type="dxa"/>
              <w:bottom w:w="90" w:type="dxa"/>
              <w:end w:w="110" w:type="dxa"/>
            </w:tcMar>
            <w:vAlign w:val="top"/>
          </w:tcPr>
          <w:p>
            <w:pPr>
              <w:keepNext/>
              <w:keepLines/>
            </w:pPr>
            <w:r>
              <w:rPr>
                <w:color w:val="243B53"/>
                <w:sz w:val="17"/>
              </w:rPr>
              <w:t>One Case May Need More Than One Format</w:t>
            </w:r>
          </w:p>
        </w:tc>
      </w:tr>
    </w:tbl>
    <w:p>
      <w:pPr>
        <w:pStyle w:val="CTALabel"/>
        <w:keepNext/>
      </w:pPr>
      <w:r>
        <w:t>Narration</w:t>
      </w:r>
    </w:p>
    <w:p>
      <w:pPr>
        <w:pStyle w:val="CTANarration"/>
        <w:keepLines/>
        <w:ind w:left="259" w:right="173"/>
      </w:pPr>
      <w:r>
        <w:t>Many cases require more than one modality. A client may need individual stabilization before couple work, a family may need parenting support alongside a child’s individual treatment, or a trauma survivor may use individual therapy plus a skills group. Sequence the services so they support rather than contradict one another. Clarify roles, consent, information sharing, goals, and responsibility for coordination.</w:t>
      </w:r>
    </w:p>
    <w:p>
      <w:pPr>
        <w:pStyle w:val="Heading2"/>
        <w:keepNext/>
      </w:pPr>
      <w:r>
        <w:t>Slide 7: Safety and Power Can Contraindicate Conjoint Work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Conjoint session stopped by coercion, violence, retaliation, or severe instability markers.</w:t>
            </w:r>
          </w:p>
        </w:tc>
        <w:tc>
          <w:tcPr>
            <w:tcW w:type="dxa" w:w="5112"/>
            <w:shd w:fill="DCEFF6"/>
            <w:tcMar>
              <w:top w:w="90" w:type="dxa"/>
              <w:start w:w="110" w:type="dxa"/>
              <w:bottom w:w="90" w:type="dxa"/>
              <w:end w:w="110" w:type="dxa"/>
            </w:tcMar>
            <w:vAlign w:val="top"/>
          </w:tcPr>
          <w:p>
            <w:pPr>
              <w:keepNext/>
              <w:keepLines/>
            </w:pPr>
            <w:r>
              <w:rPr>
                <w:color w:val="243B53"/>
                <w:sz w:val="17"/>
              </w:rPr>
              <w:t>Do Not Use Relational Techniques to Override Safety</w:t>
            </w:r>
          </w:p>
        </w:tc>
      </w:tr>
    </w:tbl>
    <w:p>
      <w:pPr>
        <w:pStyle w:val="CTALabel"/>
        <w:keepNext/>
      </w:pPr>
      <w:r>
        <w:t>Narration</w:t>
      </w:r>
    </w:p>
    <w:p>
      <w:pPr>
        <w:pStyle w:val="CTANarration"/>
        <w:keepLines/>
        <w:ind w:left="259" w:right="173"/>
      </w:pPr>
      <w:r>
        <w:t>Conjoint work may be inappropriate when one participant fears retaliation, cannot speak freely, is being coerced, or faces severe power imbalance. It may also be premature during acute intoxication, psychosis, uncontrolled violence, or a medical emergency. The therapist should assess safety and voluntariness, choose a safer format, and make necessary referrals. A communication exercise does not correct conditions in which one person cannot safely communicate.</w:t>
      </w:r>
    </w:p>
    <w:p>
      <w:pPr>
        <w:pStyle w:val="Heading2"/>
        <w:keepNext/>
      </w:pPr>
      <w:r>
        <w:t>Slide 8: Match the Technique to the Maintaining Factor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Maintaining factors connected to techniques: exposure, regulation, behavioral activation, relational restructuring, psychoeducation.</w:t>
            </w:r>
          </w:p>
        </w:tc>
        <w:tc>
          <w:tcPr>
            <w:tcW w:type="dxa" w:w="5112"/>
            <w:shd w:fill="DCEFF6"/>
            <w:tcMar>
              <w:top w:w="90" w:type="dxa"/>
              <w:start w:w="110" w:type="dxa"/>
              <w:bottom w:w="90" w:type="dxa"/>
              <w:end w:w="110" w:type="dxa"/>
            </w:tcMar>
            <w:vAlign w:val="top"/>
          </w:tcPr>
          <w:p>
            <w:pPr>
              <w:keepNext/>
              <w:keepLines/>
            </w:pPr>
            <w:r>
              <w:rPr>
                <w:color w:val="243B53"/>
                <w:sz w:val="17"/>
              </w:rPr>
              <w:t>Mechanism First, Technique Second</w:t>
            </w:r>
          </w:p>
        </w:tc>
      </w:tr>
    </w:tbl>
    <w:p>
      <w:pPr>
        <w:pStyle w:val="CTALabel"/>
        <w:keepNext/>
      </w:pPr>
      <w:r>
        <w:t>Narration</w:t>
      </w:r>
    </w:p>
    <w:p>
      <w:pPr>
        <w:pStyle w:val="CTANarration"/>
        <w:keepLines/>
        <w:ind w:left="259" w:right="173"/>
      </w:pPr>
      <w:r>
        <w:t>Once the modality is selected, match the technique to the maintaining factor. Avoidance may call for gradual exposure. Low activity and withdrawal may call for behavioral activation. Escalation may require arousal regulation and structured turn taking. Attachment injury may require carefully paced emotional processing. Parenting inconsistency may require developmentally appropriate structure and reinforcement. The exam often includes a technique that is credible but does not address the mechanism described.</w:t>
      </w:r>
    </w:p>
    <w:p>
      <w:pPr>
        <w:pStyle w:val="Heading2"/>
        <w:keepNext/>
      </w:pPr>
      <w:r>
        <w:t>Slide 9: Include Developmental, Cultural, and Practical Fit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Intervention-fit filter: development, culture, language, disability, preference, cost, schedule, transportation, and technology.</w:t>
            </w:r>
          </w:p>
        </w:tc>
        <w:tc>
          <w:tcPr>
            <w:tcW w:type="dxa" w:w="5112"/>
            <w:shd w:fill="DCEFF6"/>
            <w:tcMar>
              <w:top w:w="90" w:type="dxa"/>
              <w:start w:w="110" w:type="dxa"/>
              <w:bottom w:w="90" w:type="dxa"/>
              <w:end w:w="110" w:type="dxa"/>
            </w:tcMar>
            <w:vAlign w:val="top"/>
          </w:tcPr>
          <w:p>
            <w:pPr>
              <w:keepNext/>
              <w:keepLines/>
            </w:pPr>
            <w:r>
              <w:rPr>
                <w:color w:val="243B53"/>
                <w:sz w:val="17"/>
              </w:rPr>
              <w:t>An Intervention Must Be Clinically Appropriate and Usable</w:t>
            </w:r>
          </w:p>
        </w:tc>
      </w:tr>
    </w:tbl>
    <w:p>
      <w:pPr>
        <w:pStyle w:val="CTALabel"/>
        <w:keepNext/>
      </w:pPr>
      <w:r>
        <w:t>Narration</w:t>
      </w:r>
    </w:p>
    <w:p>
      <w:pPr>
        <w:pStyle w:val="CTANarration"/>
        <w:keepLines/>
        <w:ind w:left="259" w:right="173"/>
      </w:pPr>
      <w:r>
        <w:t>Intervention fit includes development, culture, language, identity, disability, family norms, client preference, and readiness. It also includes whether the service can actually be used. Consider cost, insurance, transportation, schedule, caregiving, technology, location, and provider availability. A theoretically strong intervention that is inaccessible or unacceptable is not the best plan. Adapt the delivery, address barriers, and confirm follow-through rather than treating a referral as complete when a name is provided.</w:t>
      </w:r>
    </w:p>
    <w:p>
      <w:pPr>
        <w:pStyle w:val="Heading2"/>
        <w:keepNext/>
      </w:pPr>
      <w:r>
        <w:t>Slide 10: Practice Within Competence and Evidence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Competence, evidence, supervision, consultation, referral, and informed consent around a treatment choice.</w:t>
            </w:r>
          </w:p>
        </w:tc>
        <w:tc>
          <w:tcPr>
            <w:tcW w:type="dxa" w:w="5112"/>
            <w:shd w:fill="DCEFF6"/>
            <w:tcMar>
              <w:top w:w="90" w:type="dxa"/>
              <w:start w:w="110" w:type="dxa"/>
              <w:bottom w:w="90" w:type="dxa"/>
              <w:end w:w="110" w:type="dxa"/>
            </w:tcMar>
            <w:vAlign w:val="top"/>
          </w:tcPr>
          <w:p>
            <w:pPr>
              <w:keepNext/>
              <w:keepLines/>
            </w:pPr>
            <w:r>
              <w:rPr>
                <w:color w:val="243B53"/>
                <w:sz w:val="17"/>
              </w:rPr>
              <w:t>Competence + Evidence + Consent + Monitoring</w:t>
            </w:r>
          </w:p>
        </w:tc>
      </w:tr>
    </w:tbl>
    <w:p>
      <w:pPr>
        <w:pStyle w:val="CTALabel"/>
        <w:keepNext/>
      </w:pPr>
      <w:r>
        <w:t>Narration</w:t>
      </w:r>
    </w:p>
    <w:p>
      <w:pPr>
        <w:pStyle w:val="CTANarration"/>
        <w:keepLines/>
        <w:ind w:left="259" w:right="173"/>
      </w:pPr>
      <w:r>
        <w:t>Select interventions within the therapist’s competence and supported by evidence, clinical judgment, client characteristics, and informed consent. Consultation or training may expand safe practice, but it does not justify experimenting beyond competence in a high-risk case. Refer or collaborate when another provider, medical service, substance-use program, or higher level of care is needed. Continue monitoring whether the intervention is effective and acceptable.</w:t>
      </w:r>
    </w:p>
    <w:p>
      <w:pPr>
        <w:pStyle w:val="Heading2"/>
        <w:keepNext/>
      </w:pPr>
      <w:r>
        <w:t>Slide 11: Examples: Match the Format to the Maintaining Pattern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80-90 seconds</w:t>
            </w:r>
          </w:p>
        </w:tc>
        <w:tc>
          <w:tcPr>
            <w:tcW w:type="dxa" w:w="3528"/>
            <w:shd w:fill="F3F8FA"/>
            <w:tcMar>
              <w:top w:w="90" w:type="dxa"/>
              <w:start w:w="110" w:type="dxa"/>
              <w:bottom w:w="90" w:type="dxa"/>
              <w:end w:w="110" w:type="dxa"/>
            </w:tcMar>
            <w:vAlign w:val="top"/>
          </w:tcPr>
          <w:p>
            <w:pPr>
              <w:keepNext/>
              <w:keepLines/>
            </w:pPr>
            <w:r>
              <w:rPr>
                <w:color w:val="243B53"/>
                <w:sz w:val="17"/>
              </w:rPr>
              <w:t>Two mini-cases: adolescent symptoms in family conflict and couple conflict complicated by trauma symptoms.</w:t>
            </w:r>
          </w:p>
        </w:tc>
        <w:tc>
          <w:tcPr>
            <w:tcW w:type="dxa" w:w="5112"/>
            <w:shd w:fill="DCEFF6"/>
            <w:tcMar>
              <w:top w:w="90" w:type="dxa"/>
              <w:start w:w="110" w:type="dxa"/>
              <w:bottom w:w="90" w:type="dxa"/>
              <w:end w:w="110" w:type="dxa"/>
            </w:tcMar>
            <w:vAlign w:val="top"/>
          </w:tcPr>
          <w:p>
            <w:pPr>
              <w:keepNext/>
              <w:keepLines/>
            </w:pPr>
            <w:r>
              <w:rPr>
                <w:color w:val="243B53"/>
                <w:sz w:val="17"/>
              </w:rPr>
              <w:t>Case 1: Family Pattern • Case 2: Trauma, Safety, and Couple Work</w:t>
            </w:r>
          </w:p>
        </w:tc>
      </w:tr>
    </w:tbl>
    <w:p>
      <w:pPr>
        <w:pStyle w:val="CTALabel"/>
        <w:keepNext/>
      </w:pPr>
      <w:r>
        <w:t>Narration</w:t>
      </w:r>
    </w:p>
    <w:p>
      <w:pPr>
        <w:pStyle w:val="CTANarration"/>
        <w:keepLines/>
        <w:ind w:left="259" w:right="173"/>
      </w:pPr>
      <w:r>
        <w:t>Consider two examples. First, an adolescent's symptoms intensify during escalating parent conflict and the family treats the adolescent as the sole problem. Individual support may help, but family assessment and carefully structured family work may be needed to change the maintaining sequence. Second, a couple requests communication treatment while one partner has severe trauma symptoms and becomes overwhelmed during conflict. The therapist may need stabilization and individual trauma treatment before, or alongside, carefully paced couple work. In both cases, the best format follows the pattern, safety, readiness, and treatment target.</w:t>
      </w:r>
    </w:p>
    <w:p>
      <w:pPr>
        <w:pStyle w:val="Heading2"/>
        <w:keepNext/>
      </w:pPr>
      <w:r>
        <w:t>Slide 12: Common Intervention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Four trap cards: favorite approach, wrong format, premature intensity, inaccessible referral.</w:t>
            </w:r>
          </w:p>
        </w:tc>
        <w:tc>
          <w:tcPr>
            <w:tcW w:type="dxa" w:w="5112"/>
            <w:shd w:fill="DCEFF6"/>
            <w:tcMar>
              <w:top w:w="90" w:type="dxa"/>
              <w:start w:w="110" w:type="dxa"/>
              <w:bottom w:w="90" w:type="dxa"/>
              <w:end w:w="110" w:type="dxa"/>
            </w:tcMar>
            <w:vAlign w:val="top"/>
          </w:tcPr>
          <w:p>
            <w:pPr>
              <w:keepNext/>
              <w:keepLines/>
            </w:pPr>
            <w:r>
              <w:rPr>
                <w:color w:val="243B53"/>
                <w:sz w:val="17"/>
              </w:rPr>
              <w:t>Preference • Mismatch • Prematurity • Inaccessibility</w:t>
            </w:r>
          </w:p>
        </w:tc>
      </w:tr>
    </w:tbl>
    <w:p>
      <w:pPr>
        <w:pStyle w:val="CTALabel"/>
        <w:keepNext/>
      </w:pPr>
      <w:r>
        <w:t>Narration</w:t>
      </w:r>
    </w:p>
    <w:p>
      <w:pPr>
        <w:pStyle w:val="CTANarration"/>
        <w:keepLines/>
        <w:ind w:left="259" w:right="173"/>
      </w:pPr>
      <w:r>
        <w:t>Watch for four traps. First, choosing the therapist’s preferred approach instead of the best fit. Second, selecting the wrong treatment unit or format. Third, using an intense or insight-oriented technique before safety, stabilization, or readiness. Fourth, recommending a service without confirming access and follow-through. The strongest answer explains how the intervention matches the mechanism, client system, timing, and practical context.</w:t>
      </w:r>
    </w:p>
    <w:p>
      <w:pPr>
        <w:pStyle w:val="Heading2"/>
        <w:keepNext/>
      </w:pPr>
      <w:r>
        <w:t>Slide 13: Use the Modality Selection Check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Checklist: target, unit, safety, readiness, fit, access, competence, coordination, monitoring.</w:t>
            </w:r>
          </w:p>
        </w:tc>
        <w:tc>
          <w:tcPr>
            <w:tcW w:type="dxa" w:w="5112"/>
            <w:shd w:fill="DCEFF6"/>
            <w:tcMar>
              <w:top w:w="90" w:type="dxa"/>
              <w:start w:w="110" w:type="dxa"/>
              <w:bottom w:w="90" w:type="dxa"/>
              <w:end w:w="110" w:type="dxa"/>
            </w:tcMar>
            <w:vAlign w:val="top"/>
          </w:tcPr>
          <w:p>
            <w:pPr>
              <w:keepNext/>
              <w:keepLines/>
            </w:pPr>
            <w:r>
              <w:rPr>
                <w:color w:val="243B53"/>
                <w:sz w:val="17"/>
              </w:rPr>
              <w:t>Target • Unit • Safety • Readiness • Fit • Access • Competence • Coordination</w:t>
            </w:r>
          </w:p>
        </w:tc>
      </w:tr>
    </w:tbl>
    <w:p>
      <w:pPr>
        <w:pStyle w:val="CTALabel"/>
        <w:keepNext/>
      </w:pPr>
      <w:r>
        <w:t>Narration</w:t>
      </w:r>
    </w:p>
    <w:p>
      <w:pPr>
        <w:pStyle w:val="CTANarration"/>
        <w:keepLines/>
        <w:ind w:left="259" w:right="173"/>
      </w:pPr>
      <w:r>
        <w:t>Use this modality selection check. What is the treatment target and maintaining factor? Who needs to participate? Can everyone participate safely and voluntarily? What is the client’s readiness and preference? Does the approach fit development and culture? Is it accessible? Is the therapist competent to provide it? Are other services needed, and how will they be coordinated? How will effectiveness be monitored?</w:t>
      </w:r>
    </w:p>
    <w:p>
      <w:pPr>
        <w:pStyle w:val="Heading2"/>
        <w:keepNext/>
      </w:pPr>
      <w:r>
        <w:t>Slide 14: Your Next Step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30-40 seconds</w:t>
            </w:r>
          </w:p>
        </w:tc>
        <w:tc>
          <w:tcPr>
            <w:tcW w:type="dxa" w:w="3528"/>
            <w:shd w:fill="F3F8FA"/>
            <w:tcMar>
              <w:top w:w="90" w:type="dxa"/>
              <w:start w:w="110" w:type="dxa"/>
              <w:bottom w:w="90" w:type="dxa"/>
              <w:end w:w="110" w:type="dxa"/>
            </w:tcMar>
            <w:vAlign w:val="top"/>
          </w:tcPr>
          <w:p>
            <w:pPr>
              <w:keepNext/>
              <w:keepLines/>
            </w:pPr>
            <w:r>
              <w:rPr>
                <w:color w:val="243B53"/>
                <w:sz w:val="17"/>
              </w:rPr>
              <w:t>A practice vignette with four modality choices and the selection check.</w:t>
            </w:r>
          </w:p>
        </w:tc>
        <w:tc>
          <w:tcPr>
            <w:tcW w:type="dxa" w:w="5112"/>
            <w:shd w:fill="DCEFF6"/>
            <w:tcMar>
              <w:top w:w="90" w:type="dxa"/>
              <w:start w:w="110" w:type="dxa"/>
              <w:bottom w:w="90" w:type="dxa"/>
              <w:end w:w="110" w:type="dxa"/>
            </w:tcMar>
            <w:vAlign w:val="top"/>
          </w:tcPr>
          <w:p>
            <w:pPr>
              <w:keepNext/>
              <w:keepLines/>
            </w:pPr>
            <w:r>
              <w:rPr>
                <w:color w:val="243B53"/>
                <w:sz w:val="17"/>
              </w:rPr>
              <w:t>Next: Defend the Format and Timing</w:t>
            </w:r>
          </w:p>
        </w:tc>
      </w:tr>
    </w:tbl>
    <w:p>
      <w:pPr>
        <w:pStyle w:val="CTALabel"/>
        <w:keepNext/>
      </w:pPr>
      <w:r>
        <w:t>Narration</w:t>
      </w:r>
    </w:p>
    <w:p>
      <w:pPr>
        <w:pStyle w:val="CTANarration"/>
        <w:keepLines/>
        <w:ind w:left="259" w:right="173"/>
      </w:pPr>
      <w:r>
        <w:t>During your next LMFT question bank, explain why the selected format is safer, better timed, and more directly connected to the maintaining factor than the strongest distractor. If you miss the item, record whether the error involved the treatment unit, safety, readiness, access, competence, or technique fit. Add that pattern to your CTA error log.</w:t>
      </w:r>
    </w:p>
    <w:p>
      <w:pPr>
        <w:pStyle w:val="Heading1"/>
      </w:pPr>
      <w:r>
        <w:t>Audio-Only Adaptation Notes</w:t>
      </w:r>
    </w:p>
    <w:p>
      <w:pPr>
        <w:pStyle w:val="ListBullet"/>
        <w:spacing w:after="40"/>
        <w:ind w:left="360" w:hanging="216"/>
      </w:pPr>
      <w:r>
        <w:t>Describe each modality with its primary clinical purpose before discussing techniques.</w:t>
      </w:r>
    </w:p>
    <w:p>
      <w:pPr>
        <w:pStyle w:val="ListBullet"/>
        <w:spacing w:after="40"/>
        <w:ind w:left="360" w:hanging="216"/>
      </w:pPr>
      <w:r>
        <w:t>Say “mechanism first, technique second” clearly and repeat it once.</w:t>
      </w:r>
    </w:p>
    <w:p>
      <w:pPr>
        <w:pStyle w:val="ListBullet"/>
        <w:spacing w:after="40"/>
        <w:ind w:left="360" w:hanging="216"/>
      </w:pPr>
      <w:r>
        <w:t>Verbally list the modality selection check in the same order shown on screen.</w:t>
      </w:r>
    </w:p>
    <w:p>
      <w:pPr>
        <w:pStyle w:val="ListBullet"/>
        <w:spacing w:after="40"/>
        <w:ind w:left="360" w:hanging="216"/>
      </w:pPr>
      <w:r>
        <w:t>End by asking listeners to defend both the format and the timing.</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help candidates integrate the LMFT intervention workbooks. It must prevent modality selection from becoming a preference-based shortcut and reinforce formulation, safety, fit, access, competence, coordination, and outcome monitoring.</w:t>
            </w:r>
          </w:p>
        </w:tc>
      </w:tr>
    </w:tbl>
    <w:p>
      <w:pPr>
        <w:spacing w:after="20"/>
      </w:pPr>
    </w:p>
    <w:p>
      <w:pPr>
        <w:pStyle w:val="CTASmall"/>
        <w:jc w:val="center"/>
      </w:pPr>
      <w:r>
        <w:t>Educational exam-preparation content. CTA is not affiliated with or endorsed by the California Board of Behavioral Sciences or Pearson VUE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LMFT Multimedia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Selecting Individual, Couple, Family, and Group Interventions</dc:title>
  <dc:subject>CTA LMFT Multimedia Script 06</dc:subject>
  <dc:creator>Clinical Training Academy</dc:creator>
  <cp:keywords>LMFT, California clinical exam, exam preparation, multimedia, narration script, Clinical Training Academy</cp:keywords>
  <dc:description>Ready-to-record authoritative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