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California Legal and Ethical Reasoning</w:t>
      </w:r>
    </w:p>
    <w:p>
      <w:pPr>
        <w:jc w:val="center"/>
      </w:pPr>
      <w:r>
        <w:rPr>
          <w:rFonts w:ascii="Aptos Display" w:hAnsi="Aptos Display"/>
          <w:b/>
          <w:color w:val="2AA7D6"/>
          <w:sz w:val="32"/>
        </w:rPr>
        <w:t>LMFT-Specific Multimedia Script 07</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California LMFT candidates to recognize when legal, ethical, role, confidentiality, reporting, records, competence, boundary, telehealth, or court-related issues change the clinical sequence and require current-source verification, consultation, limited disclosure, documentation, and follow-up.</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preparing for law, ethics, and professional-practice questions on the clinical examination.</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LMFT Profession-Specific Strategy Library, paired with California Legal, Ethical, and Professional Practice.</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12 and current official California Board of Behavioral Sciences statutes, regulations, and guidance. Exact requirements must be reverified before publication or revision.</w:t>
            </w:r>
          </w:p>
        </w:tc>
      </w:tr>
    </w:tbl>
    <w:p>
      <w:pPr>
        <w:spacing w:after="20"/>
      </w:pPr>
    </w:p>
    <w:p>
      <w:pPr>
        <w:pStyle w:val="Heading1"/>
      </w:pPr>
      <w:r>
        <w:t>Learning Outcomes</w:t>
      </w:r>
    </w:p>
    <w:p>
      <w:pPr>
        <w:pStyle w:val="ListBullet"/>
        <w:spacing w:after="40"/>
        <w:ind w:left="360" w:hanging="216"/>
      </w:pPr>
      <w:r>
        <w:t>Identify the legal or ethical issue that controls the next step.</w:t>
      </w:r>
    </w:p>
    <w:p>
      <w:pPr>
        <w:pStyle w:val="ListBullet"/>
        <w:spacing w:after="40"/>
        <w:ind w:left="360" w:hanging="216"/>
      </w:pPr>
      <w:r>
        <w:t>Clarify role, informed consent, confidentiality, and information-sharing limits.</w:t>
      </w:r>
    </w:p>
    <w:p>
      <w:pPr>
        <w:pStyle w:val="ListBullet"/>
        <w:spacing w:after="40"/>
        <w:ind w:left="360" w:hanging="216"/>
      </w:pPr>
      <w:r>
        <w:t>Recognize when reporting, protection, records, competence, or boundary duties require action.</w:t>
      </w:r>
    </w:p>
    <w:p>
      <w:pPr>
        <w:pStyle w:val="ListBullet"/>
        <w:spacing w:after="40"/>
        <w:ind w:left="360" w:hanging="216"/>
      </w:pPr>
      <w:r>
        <w:t>Apply a documented legal-ethical decision process using current official sources.</w:t>
      </w:r>
    </w:p>
    <w:p>
      <w:pPr>
        <w:pStyle w:val="Heading1"/>
      </w:pPr>
      <w:r>
        <w:t>Voice and Presentation Direction</w:t>
      </w:r>
    </w:p>
    <w:p>
      <w:pPr>
        <w:pStyle w:val="ListBullet"/>
        <w:spacing w:after="40"/>
        <w:ind w:left="360" w:hanging="216"/>
      </w:pPr>
      <w:r>
        <w:t>Distinguish law, regulation, ethics, policy, and best practice.</w:t>
      </w:r>
    </w:p>
    <w:p>
      <w:pPr>
        <w:pStyle w:val="ListBullet"/>
        <w:spacing w:after="40"/>
        <w:ind w:left="360" w:hanging="216"/>
      </w:pPr>
      <w:r>
        <w:t>Use “verify current requirements” whenever a rule may change or depends on facts.</w:t>
      </w:r>
    </w:p>
    <w:p>
      <w:pPr>
        <w:pStyle w:val="ListBullet"/>
        <w:spacing w:after="40"/>
        <w:ind w:left="360" w:hanging="216"/>
      </w:pPr>
      <w:r>
        <w:t>Emphasize minimum necessary disclosure and client participation when possible.</w:t>
      </w:r>
    </w:p>
    <w:p>
      <w:pPr>
        <w:pStyle w:val="ListBullet"/>
        <w:spacing w:after="40"/>
        <w:ind w:left="360" w:hanging="216"/>
      </w:pPr>
      <w:r>
        <w:t>Reinforce consultation and documentation without suggesting that consultation transfers responsibility.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careful, current-source language. Teach the reasoning sequence rather than memorized legal slogans. Avoid giving case-specific legal advice. State clearly when the candidate should consult current official law, regulations, policy, supervision, or qualified legal guidance.</w:t>
            </w:r>
          </w:p>
        </w:tc>
      </w:tr>
    </w:tbl>
    <w:p>
      <w:pPr>
        <w:spacing w:after="20"/>
      </w:pPr>
    </w:p>
    <w:p>
      <w:pPr>
        <w:pStyle w:val="Heading1"/>
      </w:pPr>
      <w:r>
        <w:t>Slide-by-Slide Script</w:t>
      </w:r>
    </w:p>
    <w:p>
      <w:pPr>
        <w:pStyle w:val="Heading2"/>
        <w:keepNext/>
      </w:pPr>
      <w:r>
        <w:t>Slide 1: Legal and Ethical Issues Change the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Clinical pathway with legal and ethical checkpoints.</w:t>
            </w:r>
          </w:p>
        </w:tc>
        <w:tc>
          <w:tcPr>
            <w:tcW w:type="dxa" w:w="5112"/>
            <w:shd w:fill="DCEFF6"/>
            <w:tcMar>
              <w:top w:w="90" w:type="dxa"/>
              <w:start w:w="110" w:type="dxa"/>
              <w:bottom w:w="90" w:type="dxa"/>
              <w:end w:w="110" w:type="dxa"/>
            </w:tcMar>
            <w:vAlign w:val="top"/>
          </w:tcPr>
          <w:p>
            <w:pPr>
              <w:keepNext/>
              <w:keepLines/>
            </w:pPr>
            <w:r>
              <w:rPr>
                <w:color w:val="243B53"/>
                <w:sz w:val="17"/>
              </w:rPr>
              <w:t>Recognize the Controlling Duty Before Acting</w:t>
            </w:r>
          </w:p>
        </w:tc>
      </w:tr>
    </w:tbl>
    <w:p>
      <w:pPr>
        <w:pStyle w:val="CTALabel"/>
        <w:keepNext/>
      </w:pPr>
      <w:r>
        <w:t>Narration</w:t>
      </w:r>
    </w:p>
    <w:p>
      <w:pPr>
        <w:pStyle w:val="CTANarration"/>
        <w:keepLines/>
        <w:ind w:left="259" w:right="173"/>
      </w:pPr>
      <w:r>
        <w:t>Many LMFT exam questions look clinical until a legal or ethical fact changes what must happen next. The key is to identify the controlling issue before choosing an intervention. Is the therapist’s role unclear? Is confidentiality limited? Is reporting or protection required? Is a record request legally sufficient? Is the therapist competent to provide the service? The best answer integrates law, ethics, clinical judgment, and client welfare rather than treating them as separate subjects.</w:t>
      </w:r>
    </w:p>
    <w:p>
      <w:pPr>
        <w:pStyle w:val="Heading2"/>
        <w:keepNext/>
      </w:pPr>
      <w:r>
        <w:t>Slide 2: Use the Right Source Hierarchy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Hierarchy: current statute and regulation, BBS guidance, ethics, policy, consultation.</w:t>
            </w:r>
          </w:p>
        </w:tc>
        <w:tc>
          <w:tcPr>
            <w:tcW w:type="dxa" w:w="5112"/>
            <w:shd w:fill="DCEFF6"/>
            <w:tcMar>
              <w:top w:w="90" w:type="dxa"/>
              <w:start w:w="110" w:type="dxa"/>
              <w:bottom w:w="90" w:type="dxa"/>
              <w:end w:w="110" w:type="dxa"/>
            </w:tcMar>
            <w:vAlign w:val="top"/>
          </w:tcPr>
          <w:p>
            <w:pPr>
              <w:keepNext/>
              <w:keepLines/>
            </w:pPr>
            <w:r>
              <w:rPr>
                <w:color w:val="243B53"/>
                <w:sz w:val="17"/>
              </w:rPr>
              <w:t>Current Law and Regulation First - Then Ethics, Policy, and Consultation</w:t>
            </w:r>
          </w:p>
        </w:tc>
      </w:tr>
    </w:tbl>
    <w:p>
      <w:pPr>
        <w:pStyle w:val="CTALabel"/>
        <w:keepNext/>
      </w:pPr>
      <w:r>
        <w:t>Narration</w:t>
      </w:r>
    </w:p>
    <w:p>
      <w:pPr>
        <w:pStyle w:val="CTANarration"/>
        <w:keepLines/>
        <w:ind w:left="259" w:right="173"/>
      </w:pPr>
      <w:r>
        <w:t>For California-specific duties, begin with current statutes, regulations, and official Board of Behavioral Sciences guidance. Then consider applicable ethical standards, agency policy, supervision, consultation, and qualified legal guidance. Policies cannot authorize conduct that law prohibits, and memory is not a reliable legal source. Because requirements change and facts matter, CTA materials should be verified against current official sources before publication and professional action.</w:t>
      </w:r>
    </w:p>
    <w:p>
      <w:pPr>
        <w:pStyle w:val="Heading2"/>
        <w:keepNext/>
      </w:pPr>
      <w:r>
        <w:t>Slide 3: Clarify Role, Informed Consent, and Forensic Boundaries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Treatment, evaluation, consultation, and court-related lanes with informed-consent checkpoints and a conflict-of-role warning.</w:t>
            </w:r>
          </w:p>
        </w:tc>
        <w:tc>
          <w:tcPr>
            <w:tcW w:type="dxa" w:w="5112"/>
            <w:shd w:fill="DCEFF6"/>
            <w:tcMar>
              <w:top w:w="90" w:type="dxa"/>
              <w:start w:w="110" w:type="dxa"/>
              <w:bottom w:w="90" w:type="dxa"/>
              <w:end w:w="110" w:type="dxa"/>
            </w:tcMar>
            <w:vAlign w:val="top"/>
          </w:tcPr>
          <w:p>
            <w:pPr>
              <w:keepNext/>
              <w:keepLines/>
            </w:pPr>
            <w:r>
              <w:rPr>
                <w:color w:val="243B53"/>
                <w:sz w:val="17"/>
              </w:rPr>
              <w:t>What Is the Service? Who Is the Client? Who Receives Information?</w:t>
            </w:r>
          </w:p>
        </w:tc>
      </w:tr>
    </w:tbl>
    <w:p>
      <w:pPr>
        <w:pStyle w:val="CTALabel"/>
        <w:keepNext/>
      </w:pPr>
      <w:r>
        <w:t>Narration</w:t>
      </w:r>
    </w:p>
    <w:p>
      <w:pPr>
        <w:pStyle w:val="CTANarration"/>
        <w:keepLines/>
        <w:ind w:left="259" w:right="173"/>
      </w:pPr>
      <w:r>
        <w:t>At the start of services, clarify the therapist's role, the identity of the client or client system, the purpose of the service, foreseeable risks and benefits, confidentiality and its limits, records, fees, communication, emergencies, and how information may be used. Treatment and forensic evaluation have different purposes, methods, audiences, and expectations. A court referral does not automatically make the therapist a custody evaluator. Correct role misunderstandings before proceeding, and do not coach a client to appear favorable or offer opinions beyond the role and available data.</w:t>
      </w:r>
    </w:p>
    <w:p>
      <w:pPr>
        <w:pStyle w:val="Heading2"/>
        <w:keepNext/>
      </w:pPr>
      <w:r>
        <w:t>Slide 4: Protect Confidentiality and Explain Its Limits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Confidentiality boundary with clearly labeled exceptions and client communication.</w:t>
            </w:r>
          </w:p>
        </w:tc>
        <w:tc>
          <w:tcPr>
            <w:tcW w:type="dxa" w:w="5112"/>
            <w:shd w:fill="DCEFF6"/>
            <w:tcMar>
              <w:top w:w="90" w:type="dxa"/>
              <w:start w:w="110" w:type="dxa"/>
              <w:bottom w:w="90" w:type="dxa"/>
              <w:end w:w="110" w:type="dxa"/>
            </w:tcMar>
            <w:vAlign w:val="top"/>
          </w:tcPr>
          <w:p>
            <w:pPr>
              <w:keepNext/>
              <w:keepLines/>
            </w:pPr>
            <w:r>
              <w:rPr>
                <w:color w:val="243B53"/>
                <w:sz w:val="17"/>
              </w:rPr>
              <w:t>Privacy Is the Rule; Exceptions Must Be Lawful and Limited</w:t>
            </w:r>
          </w:p>
        </w:tc>
      </w:tr>
    </w:tbl>
    <w:p>
      <w:pPr>
        <w:pStyle w:val="CTALabel"/>
        <w:keepNext/>
      </w:pPr>
      <w:r>
        <w:t>Narration</w:t>
      </w:r>
    </w:p>
    <w:p>
      <w:pPr>
        <w:pStyle w:val="CTANarration"/>
        <w:keepLines/>
        <w:ind w:left="259" w:right="173"/>
      </w:pPr>
      <w:r>
        <w:t>Confidentiality supports trust, but it is not absolute. Explain applicable limits accurately and avoid promising that nothing will ever be disclosed. When disclosure is authorized or required, share only what is relevant to the lawful purpose and appropriate recipient. Include the client in the process when possible. A broad release does not eliminate the therapist’s responsibility to consider scope, necessity, and potential harm.</w:t>
      </w:r>
    </w:p>
    <w:p>
      <w:pPr>
        <w:pStyle w:val="Heading2"/>
        <w:keepNext/>
      </w:pPr>
      <w:r>
        <w:t>Slide 5: Recognize Reporting and Protective Duties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Child, elder or dependent adult, and threat-protection pathways with a current-law verification marker.</w:t>
            </w:r>
          </w:p>
        </w:tc>
        <w:tc>
          <w:tcPr>
            <w:tcW w:type="dxa" w:w="5112"/>
            <w:shd w:fill="DCEFF6"/>
            <w:tcMar>
              <w:top w:w="90" w:type="dxa"/>
              <w:start w:w="110" w:type="dxa"/>
              <w:bottom w:w="90" w:type="dxa"/>
              <w:end w:w="110" w:type="dxa"/>
            </w:tcMar>
            <w:vAlign w:val="top"/>
          </w:tcPr>
          <w:p>
            <w:pPr>
              <w:keepNext/>
              <w:keepLines/>
            </w:pPr>
            <w:r>
              <w:rPr>
                <w:color w:val="243B53"/>
                <w:sz w:val="17"/>
              </w:rPr>
              <w:t>Identify the Protected Person, Trigger, Timing, and Required Action</w:t>
            </w:r>
          </w:p>
        </w:tc>
      </w:tr>
    </w:tbl>
    <w:p>
      <w:pPr>
        <w:pStyle w:val="CTALabel"/>
        <w:keepNext/>
      </w:pPr>
      <w:r>
        <w:t>Narration</w:t>
      </w:r>
    </w:p>
    <w:p>
      <w:pPr>
        <w:pStyle w:val="CTANarration"/>
        <w:keepLines/>
        <w:ind w:left="259" w:right="173"/>
      </w:pPr>
      <w:r>
        <w:t>California questions may involve child abuse, elder or dependent-adult abuse, threats of violence, or other protective duties. Identify who is protected, what facts trigger the duty, what timing and method are required, and what additional safety action is necessary. The therapist generally does not conduct a full investigation before making a mandated report. Exact standards and procedures must be checked against current law and official guidance.</w:t>
      </w:r>
    </w:p>
    <w:p>
      <w:pPr>
        <w:pStyle w:val="Heading2"/>
        <w:keepNext/>
      </w:pPr>
      <w:r>
        <w:t>Slide 6: Handle Records, Subpoenas, and Court Requests Carefully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Record request, authorization, subpoena, and court order passing through a legal-review filter.</w:t>
            </w:r>
          </w:p>
        </w:tc>
        <w:tc>
          <w:tcPr>
            <w:tcW w:type="dxa" w:w="5112"/>
            <w:shd w:fill="DCEFF6"/>
            <w:tcMar>
              <w:top w:w="90" w:type="dxa"/>
              <w:start w:w="110" w:type="dxa"/>
              <w:bottom w:w="90" w:type="dxa"/>
              <w:end w:w="110" w:type="dxa"/>
            </w:tcMar>
            <w:vAlign w:val="top"/>
          </w:tcPr>
          <w:p>
            <w:pPr>
              <w:keepNext/>
              <w:keepLines/>
            </w:pPr>
            <w:r>
              <w:rPr>
                <w:color w:val="243B53"/>
                <w:sz w:val="17"/>
              </w:rPr>
              <w:t>A Request Is Not Automatically Permission to Release Everything</w:t>
            </w:r>
          </w:p>
        </w:tc>
      </w:tr>
    </w:tbl>
    <w:p>
      <w:pPr>
        <w:pStyle w:val="CTALabel"/>
        <w:keepNext/>
      </w:pPr>
      <w:r>
        <w:t>Narration</w:t>
      </w:r>
    </w:p>
    <w:p>
      <w:pPr>
        <w:pStyle w:val="CTANarration"/>
        <w:keepLines/>
        <w:ind w:left="259" w:right="173"/>
      </w:pPr>
      <w:r>
        <w:t>When records are requested, determine who is asking, what legal authority exists, whether the client has authorized release, whether a subpoena or court order is valid and sufficient, and whether privilege, notice, objection, redaction, or consultation issues apply. Do not ignore legal process, but do not automatically release the full file. Protect confidentiality, respond within applicable requirements, and document the analysis and action.</w:t>
      </w:r>
    </w:p>
    <w:p>
      <w:pPr>
        <w:pStyle w:val="Heading2"/>
        <w:keepNext/>
      </w:pPr>
      <w:r>
        <w:t>Slide 7: Practice Within Competence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Competence pathway: training, experience, consultation, supervision, referral, emergency care.</w:t>
            </w:r>
          </w:p>
        </w:tc>
        <w:tc>
          <w:tcPr>
            <w:tcW w:type="dxa" w:w="5112"/>
            <w:shd w:fill="DCEFF6"/>
            <w:tcMar>
              <w:top w:w="90" w:type="dxa"/>
              <w:start w:w="110" w:type="dxa"/>
              <w:bottom w:w="90" w:type="dxa"/>
              <w:end w:w="110" w:type="dxa"/>
            </w:tcMar>
            <w:vAlign w:val="top"/>
          </w:tcPr>
          <w:p>
            <w:pPr>
              <w:keepNext/>
              <w:keepLines/>
            </w:pPr>
            <w:r>
              <w:rPr>
                <w:color w:val="243B53"/>
                <w:sz w:val="17"/>
              </w:rPr>
              <w:t>Know, Consult, Train, Refer, and Protect</w:t>
            </w:r>
          </w:p>
        </w:tc>
      </w:tr>
    </w:tbl>
    <w:p>
      <w:pPr>
        <w:pStyle w:val="CTALabel"/>
        <w:keepNext/>
      </w:pPr>
      <w:r>
        <w:t>Narration</w:t>
      </w:r>
    </w:p>
    <w:p>
      <w:pPr>
        <w:pStyle w:val="CTANarration"/>
        <w:keepLines/>
        <w:ind w:left="259" w:right="173"/>
      </w:pPr>
      <w:r>
        <w:t>Competence includes education, training, experience, supervision, consultation, and the ability to recognize limits. A therapist should not abandon a client simply because a case is difficult, and should not provide specialized treatment beyond competence without appropriate support. In emergencies, take reasonable protective action and arrange continuity. When referral is needed, explain the reason, support the transition, and avoid discrimination or retaliatory termination.</w:t>
      </w:r>
    </w:p>
    <w:p>
      <w:pPr>
        <w:pStyle w:val="Heading2"/>
        <w:keepNext/>
      </w:pPr>
      <w:r>
        <w:t>Slide 8: Manage Boundaries and Multiple Relationships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Boundary continuum with risk factors: power, exploitation, objectivity, confidentiality, community context.</w:t>
            </w:r>
          </w:p>
        </w:tc>
        <w:tc>
          <w:tcPr>
            <w:tcW w:type="dxa" w:w="5112"/>
            <w:shd w:fill="DCEFF6"/>
            <w:tcMar>
              <w:top w:w="90" w:type="dxa"/>
              <w:start w:w="110" w:type="dxa"/>
              <w:bottom w:w="90" w:type="dxa"/>
              <w:end w:w="110" w:type="dxa"/>
            </w:tcMar>
            <w:vAlign w:val="top"/>
          </w:tcPr>
          <w:p>
            <w:pPr>
              <w:keepNext/>
              <w:keepLines/>
            </w:pPr>
            <w:r>
              <w:rPr>
                <w:color w:val="243B53"/>
                <w:sz w:val="17"/>
              </w:rPr>
              <w:t>Assess Risk, Power, Purpose, Alternatives, and Documentation</w:t>
            </w:r>
          </w:p>
        </w:tc>
      </w:tr>
    </w:tbl>
    <w:p>
      <w:pPr>
        <w:pStyle w:val="CTALabel"/>
        <w:keepNext/>
      </w:pPr>
      <w:r>
        <w:t>Narration</w:t>
      </w:r>
    </w:p>
    <w:p>
      <w:pPr>
        <w:pStyle w:val="CTANarration"/>
        <w:keepLines/>
        <w:ind w:left="259" w:right="173"/>
      </w:pPr>
      <w:r>
        <w:t>Not every boundary crossing or multiple relationship has the same risk. Consider power, exploitation, impaired objectivity, confidentiality, client vulnerability, community context, available alternatives, and the clinical purpose. Gifts, social contact, business relationships, social media, and overlapping community roles require thoughtful analysis. The exam usually favors the response that protects the client and the treatment relationship rather than applying a simplistic rule without context.</w:t>
      </w:r>
    </w:p>
    <w:p>
      <w:pPr>
        <w:pStyle w:val="Heading2"/>
        <w:keepNext/>
      </w:pPr>
      <w:r>
        <w:t>Slide 9: Use Extra Care With Minors and Families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Minor, parent or guardian, therapist, records, consent, and confidentiality connected through a fact-specific decision tree.</w:t>
            </w:r>
          </w:p>
        </w:tc>
        <w:tc>
          <w:tcPr>
            <w:tcW w:type="dxa" w:w="5112"/>
            <w:shd w:fill="DCEFF6"/>
            <w:tcMar>
              <w:top w:w="90" w:type="dxa"/>
              <w:start w:w="110" w:type="dxa"/>
              <w:bottom w:w="90" w:type="dxa"/>
              <w:end w:w="110" w:type="dxa"/>
            </w:tcMar>
            <w:vAlign w:val="top"/>
          </w:tcPr>
          <w:p>
            <w:pPr>
              <w:keepNext/>
              <w:keepLines/>
            </w:pPr>
            <w:r>
              <w:rPr>
                <w:color w:val="243B53"/>
                <w:sz w:val="17"/>
              </w:rPr>
              <w:t>Consent, Assent, Access, Safety, and Family Role Are Fact-Specific</w:t>
            </w:r>
          </w:p>
        </w:tc>
      </w:tr>
    </w:tbl>
    <w:p>
      <w:pPr>
        <w:pStyle w:val="CTALabel"/>
        <w:keepNext/>
      </w:pPr>
      <w:r>
        <w:t>Narration</w:t>
      </w:r>
    </w:p>
    <w:p>
      <w:pPr>
        <w:pStyle w:val="CTANarration"/>
        <w:keepLines/>
        <w:ind w:left="259" w:right="173"/>
      </w:pPr>
      <w:r>
        <w:t>Work with minors can involve consent, assent, parent or guardian involvement, confidentiality, access to records, payment, safety, and treatment goals. The answer depends on the legal basis for treatment and the facts of the case. Explain the limits of privacy before treatment, involve caregivers in a clinically appropriate way, and avoid promising either total secrecy or unrestricted access. Verify current California requirements when the question turns on a specific minor-consent rule.</w:t>
      </w:r>
    </w:p>
    <w:p>
      <w:pPr>
        <w:pStyle w:val="Heading2"/>
        <w:keepNext/>
      </w:pPr>
      <w:r>
        <w:t>Slide 10: Address Telehealth, Location, and Emergencies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Telehealth session with client location, jurisdiction, privacy, technology, and emergency plan.</w:t>
            </w:r>
          </w:p>
        </w:tc>
        <w:tc>
          <w:tcPr>
            <w:tcW w:type="dxa" w:w="5112"/>
            <w:shd w:fill="DCEFF6"/>
            <w:tcMar>
              <w:top w:w="90" w:type="dxa"/>
              <w:start w:w="110" w:type="dxa"/>
              <w:bottom w:w="90" w:type="dxa"/>
              <w:end w:w="110" w:type="dxa"/>
            </w:tcMar>
            <w:vAlign w:val="top"/>
          </w:tcPr>
          <w:p>
            <w:pPr>
              <w:keepNext/>
              <w:keepLines/>
            </w:pPr>
            <w:r>
              <w:rPr>
                <w:color w:val="243B53"/>
                <w:sz w:val="17"/>
              </w:rPr>
              <w:t>Know Where the Client Is and How to Respond</w:t>
            </w:r>
          </w:p>
        </w:tc>
      </w:tr>
    </w:tbl>
    <w:p>
      <w:pPr>
        <w:pStyle w:val="CTALabel"/>
        <w:keepNext/>
      </w:pPr>
      <w:r>
        <w:t>Narration</w:t>
      </w:r>
    </w:p>
    <w:p>
      <w:pPr>
        <w:pStyle w:val="CTANarration"/>
        <w:keepLines/>
        <w:ind w:left="259" w:right="173"/>
      </w:pPr>
      <w:r>
        <w:t>Telehealth requires attention to client identity and location, jurisdiction, privacy, technology, informed consent, accessibility, and emergency planning. A therapist should know how to reach local emergency resources and what to do if the connection fails during a crisis. Licensing and practice rules can change and may differ across jurisdictions, so verify current requirements rather than assuming that an online session can continue anywhere.</w:t>
      </w:r>
    </w:p>
    <w:p>
      <w:pPr>
        <w:pStyle w:val="Heading2"/>
        <w:keepNext/>
      </w:pPr>
      <w:r>
        <w:t>Slide 11: Example: A Court-Referred Parent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Parent asking how to “look cooperative” while therapist role and disclosure limits are clarified.</w:t>
            </w:r>
          </w:p>
        </w:tc>
        <w:tc>
          <w:tcPr>
            <w:tcW w:type="dxa" w:w="5112"/>
            <w:shd w:fill="DCEFF6"/>
            <w:tcMar>
              <w:top w:w="90" w:type="dxa"/>
              <w:start w:w="110" w:type="dxa"/>
              <w:bottom w:w="90" w:type="dxa"/>
              <w:end w:w="110" w:type="dxa"/>
            </w:tcMar>
            <w:vAlign w:val="top"/>
          </w:tcPr>
          <w:p>
            <w:pPr>
              <w:keepNext/>
              <w:keepLines/>
            </w:pPr>
            <w:r>
              <w:rPr>
                <w:color w:val="243B53"/>
                <w:sz w:val="17"/>
              </w:rPr>
              <w:t>Clarify Role Before Continuing the Intake</w:t>
            </w:r>
          </w:p>
        </w:tc>
      </w:tr>
    </w:tbl>
    <w:p>
      <w:pPr>
        <w:pStyle w:val="CTALabel"/>
        <w:keepNext/>
      </w:pPr>
      <w:r>
        <w:t>Narration</w:t>
      </w:r>
    </w:p>
    <w:p>
      <w:pPr>
        <w:pStyle w:val="CTANarration"/>
        <w:keepLines/>
        <w:ind w:left="259" w:right="173"/>
      </w:pPr>
      <w:r>
        <w:t>Consider a parent referred by a court who believes the therapist will decide custody and asks what to say to look cooperative. The first response is not coaching, refusing all court-referred clients, or promising complete secrecy. Clarify the treatment role, confidentiality and its limits, who may receive information, and what choices remain. Role clarity protects informed participation, integrity, and the accuracy of the clinical interview.</w:t>
      </w:r>
    </w:p>
    <w:p>
      <w:pPr>
        <w:pStyle w:val="Heading2"/>
        <w:keepNext/>
      </w:pPr>
      <w:r>
        <w:t>Slide 12: Common Legal-Ethical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trap cards: absolute promise, automatic disclosure, policy over law, consultation as transfer.</w:t>
            </w:r>
          </w:p>
        </w:tc>
        <w:tc>
          <w:tcPr>
            <w:tcW w:type="dxa" w:w="5112"/>
            <w:shd w:fill="DCEFF6"/>
            <w:tcMar>
              <w:top w:w="90" w:type="dxa"/>
              <w:start w:w="110" w:type="dxa"/>
              <w:bottom w:w="90" w:type="dxa"/>
              <w:end w:w="110" w:type="dxa"/>
            </w:tcMar>
            <w:vAlign w:val="top"/>
          </w:tcPr>
          <w:p>
            <w:pPr>
              <w:keepNext/>
              <w:keepLines/>
            </w:pPr>
            <w:r>
              <w:rPr>
                <w:color w:val="243B53"/>
                <w:sz w:val="17"/>
              </w:rPr>
              <w:t>Absolutes • Overdisclosure • Wrong Authority • Responsibility Shift</w:t>
            </w:r>
          </w:p>
        </w:tc>
      </w:tr>
    </w:tbl>
    <w:p>
      <w:pPr>
        <w:pStyle w:val="CTALabel"/>
        <w:keepNext/>
      </w:pPr>
      <w:r>
        <w:t>Narration</w:t>
      </w:r>
    </w:p>
    <w:p>
      <w:pPr>
        <w:pStyle w:val="CTANarration"/>
        <w:keepLines/>
        <w:ind w:left="259" w:right="173"/>
      </w:pPr>
      <w:r>
        <w:t>Watch for four traps. First, absolute promises such as “nothing can ever be shared.” Second, automatic disclosure of the entire record because someone requested it. Third, relying on agency custom or memory instead of current law and regulation. Fourth, treating consultation as a transfer of professional responsibility. Strong answers identify the authority, protect the client, limit disclosure, document the reasoning, and preserve continuity.</w:t>
      </w:r>
    </w:p>
    <w:p>
      <w:pPr>
        <w:pStyle w:val="Heading2"/>
        <w:keepNext/>
      </w:pPr>
      <w:r>
        <w:t>Slide 13: Use the Legal-Ethical Decision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Decision sequence: issue, facts, authority, stakeholders, options, consultation, action, documentation, follow-up.</w:t>
            </w:r>
          </w:p>
        </w:tc>
        <w:tc>
          <w:tcPr>
            <w:tcW w:type="dxa" w:w="5112"/>
            <w:shd w:fill="DCEFF6"/>
            <w:tcMar>
              <w:top w:w="90" w:type="dxa"/>
              <w:start w:w="110" w:type="dxa"/>
              <w:bottom w:w="90" w:type="dxa"/>
              <w:end w:w="110" w:type="dxa"/>
            </w:tcMar>
            <w:vAlign w:val="top"/>
          </w:tcPr>
          <w:p>
            <w:pPr>
              <w:keepNext/>
              <w:keepLines/>
            </w:pPr>
            <w:r>
              <w:rPr>
                <w:color w:val="243B53"/>
                <w:sz w:val="17"/>
              </w:rPr>
              <w:t>Issue → Facts → Authority → Options → Consult → Act → Document → Follow Up</w:t>
            </w:r>
          </w:p>
        </w:tc>
      </w:tr>
    </w:tbl>
    <w:p>
      <w:pPr>
        <w:pStyle w:val="CTALabel"/>
        <w:keepNext/>
      </w:pPr>
      <w:r>
        <w:t>Narration</w:t>
      </w:r>
    </w:p>
    <w:p>
      <w:pPr>
        <w:pStyle w:val="CTANarration"/>
        <w:keepLines/>
        <w:ind w:left="259" w:right="173"/>
      </w:pPr>
      <w:r>
        <w:t>Use this legal-ethical decision check. Identify the exact issue and the facts that matter. Locate the current legal or regulatory authority. Consider ethical duties, client welfare, power, culture, and affected people. Generate lawful options and choose the least harmful effective response. Consult when needed. Act within the required time. Document the facts, authority, consultation, rationale, disclosure, and follow-up.</w:t>
      </w:r>
    </w:p>
    <w:p>
      <w:pPr>
        <w:pStyle w:val="Heading2"/>
        <w:keepNext/>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30-40 seconds</w:t>
            </w:r>
          </w:p>
        </w:tc>
        <w:tc>
          <w:tcPr>
            <w:tcW w:type="dxa" w:w="3528"/>
            <w:shd w:fill="F3F8FA"/>
            <w:tcMar>
              <w:top w:w="90" w:type="dxa"/>
              <w:start w:w="110" w:type="dxa"/>
              <w:bottom w:w="90" w:type="dxa"/>
              <w:end w:w="110" w:type="dxa"/>
            </w:tcMar>
            <w:vAlign w:val="top"/>
          </w:tcPr>
          <w:p>
            <w:pPr>
              <w:keepNext/>
              <w:keepLines/>
            </w:pPr>
            <w:r>
              <w:rPr>
                <w:color w:val="243B53"/>
                <w:sz w:val="17"/>
              </w:rPr>
              <w:t>A law-and-ethics vignette beside the decision sequence and current-source reminder.</w:t>
            </w:r>
          </w:p>
        </w:tc>
        <w:tc>
          <w:tcPr>
            <w:tcW w:type="dxa" w:w="5112"/>
            <w:shd w:fill="DCEFF6"/>
            <w:tcMar>
              <w:top w:w="90" w:type="dxa"/>
              <w:start w:w="110" w:type="dxa"/>
              <w:bottom w:w="90" w:type="dxa"/>
              <w:end w:w="110" w:type="dxa"/>
            </w:tcMar>
            <w:vAlign w:val="top"/>
          </w:tcPr>
          <w:p>
            <w:pPr>
              <w:keepNext/>
              <w:keepLines/>
            </w:pPr>
            <w:r>
              <w:rPr>
                <w:color w:val="243B53"/>
                <w:sz w:val="17"/>
              </w:rPr>
              <w:t>Next: Name the Authority and the Clinical Purpose</w:t>
            </w:r>
          </w:p>
        </w:tc>
      </w:tr>
    </w:tbl>
    <w:p>
      <w:pPr>
        <w:pStyle w:val="CTALabel"/>
        <w:keepNext/>
      </w:pPr>
      <w:r>
        <w:t>Narration</w:t>
      </w:r>
    </w:p>
    <w:p>
      <w:pPr>
        <w:pStyle w:val="CTANarration"/>
        <w:keepLines/>
        <w:ind w:left="259" w:right="173"/>
      </w:pPr>
      <w:r>
        <w:t>During your next LMFT question bank, identify both the authority and the clinical purpose of the best answer. Ask what law, ethical duty, role, or confidentiality rule controls the sequence, and how the response protects the client. If you miss the item, record whether you used an absolute rule, disclosed too much, confused roles, or failed to verify current requirements. Add that pattern to your CTA error log.</w:t>
      </w:r>
    </w:p>
    <w:p>
      <w:pPr>
        <w:pStyle w:val="Heading1"/>
      </w:pPr>
      <w:r>
        <w:t>Audio-Only Adaptation Notes</w:t>
      </w:r>
    </w:p>
    <w:p>
      <w:pPr>
        <w:pStyle w:val="ListBullet"/>
        <w:spacing w:after="40"/>
        <w:ind w:left="360" w:hanging="216"/>
      </w:pPr>
      <w:r>
        <w:t>Verbally distinguish statutes, regulations, ethical standards, and agency policy.</w:t>
      </w:r>
    </w:p>
    <w:p>
      <w:pPr>
        <w:pStyle w:val="ListBullet"/>
        <w:spacing w:after="40"/>
        <w:ind w:left="360" w:hanging="216"/>
      </w:pPr>
      <w:r>
        <w:t>Say “verify current California requirements” whenever a fact-specific rule is discussed.</w:t>
      </w:r>
    </w:p>
    <w:p>
      <w:pPr>
        <w:pStyle w:val="ListBullet"/>
        <w:spacing w:after="40"/>
        <w:ind w:left="360" w:hanging="216"/>
      </w:pPr>
      <w:r>
        <w:t>Read the legal-ethical decision sequence slowly and repeat the final three steps.</w:t>
      </w:r>
    </w:p>
    <w:p>
      <w:pPr>
        <w:pStyle w:val="ListBullet"/>
        <w:spacing w:after="40"/>
        <w:ind w:left="360" w:hanging="216"/>
      </w:pPr>
      <w:r>
        <w:t>Avoid citing section numbers in the narration unless the production team has reverified them for the release date.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teach a durable legal-ethical reasoning method rather than a fragile list of memorized rules. Every revision cycle should reverify California-specific statements against current official BBS statutes, regulations, and guidance before release.</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Legal and Ethical Reasoning</dc:title>
  <dc:subject>CTA LMFT Multimedia Script 07</dc:subject>
  <dc:creator>Clinical Training Academy</dc:creator>
  <cp:keywords>LMFT, California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