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Image: image1.png"/>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Welcome to the CTA Exam Success System</w:t>
      </w:r>
    </w:p>
    <w:p>
      <w:pPr>
        <w:jc w:val="center"/>
      </w:pPr>
      <w:r>
        <w:rPr>
          <w:rFonts w:ascii="Aptos Display" w:hAnsi="Aptos Display"/>
          <w:b/>
          <w:color w:val="2AA7D6"/>
          <w:sz w:val="32"/>
        </w:rPr>
        <w:t>Shared LMFT &amp; LCSW Multimedia Script 01</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Introduce students to the self-paced CTA program, normalize practice errors, explain the learning cycle, and direct students to the roadmap and orientation.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Students enrolled in either the LMFT or LCSW Clinical Exam Preparation Program.</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4–6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Start Here /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Identify the major components of the CTA Exam Success System.</w:t>
      </w:r>
    </w:p>
    <w:p>
      <w:pPr>
        <w:pStyle w:val="ListBullet"/>
        <w:spacing w:after="40"/>
        <w:ind w:left="360" w:hanging="216"/>
      </w:pPr>
      <w:r>
        <w:t>Explain how online, printable, and hybrid study pathways work.</w:t>
      </w:r>
    </w:p>
    <w:p>
      <w:pPr>
        <w:pStyle w:val="ListBullet"/>
        <w:spacing w:after="40"/>
        <w:ind w:left="360" w:hanging="216"/>
      </w:pPr>
      <w:r>
        <w:t>Recognize practice errors as useful information for remediation.</w:t>
      </w:r>
    </w:p>
    <w:p>
      <w:pPr>
        <w:pStyle w:val="ListBullet"/>
        <w:spacing w:after="40"/>
        <w:ind w:left="360" w:hanging="216"/>
      </w:pPr>
      <w:r>
        <w:t>Identify the student’s immediate next step after the welcome lesson.</w:t>
      </w:r>
    </w:p>
    <w:p>
      <w:pPr>
        <w:pStyle w:val="Heading1"/>
      </w:pPr>
      <w:r>
        <w:t>Voice and Presentation Direction</w:t>
      </w:r>
    </w:p>
    <w:p>
      <w:pPr>
        <w:pStyle w:val="ListBullet"/>
        <w:spacing w:after="40"/>
        <w:ind w:left="360" w:hanging="216"/>
      </w:pPr>
      <w:r>
        <w:t>Warm, reassuring, and confident.</w:t>
      </w:r>
    </w:p>
    <w:p>
      <w:pPr>
        <w:pStyle w:val="ListBullet"/>
        <w:spacing w:after="40"/>
        <w:ind w:left="360" w:hanging="216"/>
      </w:pPr>
      <w:r>
        <w:t>Conversational rather than promotional.</w:t>
      </w:r>
    </w:p>
    <w:p>
      <w:pPr>
        <w:pStyle w:val="ListBullet"/>
        <w:spacing w:after="40"/>
        <w:ind w:left="360" w:hanging="216"/>
      </w:pPr>
      <w:r>
        <w:t>Supportive of students who may feel anxious or discouraged.</w:t>
      </w:r>
    </w:p>
    <w:p>
      <w:pPr>
        <w:pStyle w:val="ListBullet"/>
        <w:spacing w:after="40"/>
        <w:ind w:left="360" w:hanging="216"/>
      </w:pPr>
      <w:r>
        <w:t>Clear that the program teaches a repeatable reasoning process.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Welcome to the CTA Exam Success System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20–30 seconds</w:t>
            </w:r>
          </w:p>
        </w:tc>
        <w:tc>
          <w:tcPr>
            <w:tcW w:type="dxa" w:w="3528"/>
            <w:shd w:fill="F3F8FA"/>
            <w:tcMar>
              <w:top w:w="90" w:type="dxa"/>
              <w:start w:w="110" w:type="dxa"/>
              <w:bottom w:w="90" w:type="dxa"/>
              <w:end w:w="110" w:type="dxa"/>
            </w:tcMar>
            <w:vAlign w:val="top"/>
          </w:tcPr>
          <w:p>
            <w:r>
              <w:rPr>
                <w:color w:val="243B53"/>
                <w:sz w:val="17"/>
              </w:rPr>
              <w:t>CTA logo, program title, calm animated entrance.</w:t>
            </w:r>
          </w:p>
        </w:tc>
        <w:tc>
          <w:tcPr>
            <w:tcW w:type="dxa" w:w="5112"/>
            <w:shd w:fill="DCEFF6"/>
            <w:tcMar>
              <w:top w:w="90" w:type="dxa"/>
              <w:start w:w="110" w:type="dxa"/>
              <w:bottom w:w="90" w:type="dxa"/>
              <w:end w:w="110" w:type="dxa"/>
            </w:tcMar>
            <w:vAlign w:val="top"/>
          </w:tcPr>
          <w:p>
            <w:r>
              <w:rPr>
                <w:color w:val="243B53"/>
                <w:sz w:val="17"/>
              </w:rPr>
              <w:t>Welcome to the CTA Exam Success System</w:t>
              <w:br/>
              <w:t>LMFT &amp; LCSW Clinical Exam Preparation</w:t>
            </w:r>
          </w:p>
        </w:tc>
      </w:tr>
    </w:tbl>
    <w:p>
      <w:pPr>
        <w:pStyle w:val="CTALabel"/>
        <w:keepNext/>
      </w:pPr>
      <w:r>
        <w:t>Narration</w:t>
      </w:r>
    </w:p>
    <w:p>
      <w:pPr>
        <w:pStyle w:val="CTANarration"/>
        <w:ind w:left="259" w:right="173"/>
      </w:pPr>
      <w:r>
        <w:t>Welcome to the Clinical Training Academy Exam Success System. You are beginning a structured, self-paced program designed to help you strengthen clinical reasoning, build confidence, and prepare to make sound decisions under exam conditions. Whether you are preparing for the LMFT clinical exam or the LCSW clinical exam, you will be guided through a clear sequence of content review, practice, feedback, remediation, and full-length simulation.</w:t>
      </w:r>
    </w:p>
    <w:p>
      <w:pPr>
        <w:pStyle w:val="Heading2"/>
      </w:pPr>
      <w:r>
        <w:t>Slide 2: This Program Is Built for Real Life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35–45 seconds</w:t>
            </w:r>
          </w:p>
        </w:tc>
        <w:tc>
          <w:tcPr>
            <w:tcW w:type="dxa" w:w="3528"/>
            <w:shd w:fill="F3F8FA"/>
            <w:tcMar>
              <w:top w:w="90" w:type="dxa"/>
              <w:start w:w="110" w:type="dxa"/>
              <w:bottom w:w="90" w:type="dxa"/>
              <w:end w:w="110" w:type="dxa"/>
            </w:tcMar>
            <w:vAlign w:val="top"/>
          </w:tcPr>
          <w:p>
            <w:r>
              <w:rPr>
                <w:color w:val="243B53"/>
                <w:sz w:val="17"/>
              </w:rPr>
              <w:t>Three icons: laptop, printed workbook, headphones.</w:t>
            </w:r>
          </w:p>
        </w:tc>
        <w:tc>
          <w:tcPr>
            <w:tcW w:type="dxa" w:w="5112"/>
            <w:shd w:fill="DCEFF6"/>
            <w:tcMar>
              <w:top w:w="90" w:type="dxa"/>
              <w:start w:w="110" w:type="dxa"/>
              <w:bottom w:w="90" w:type="dxa"/>
              <w:end w:w="110" w:type="dxa"/>
            </w:tcMar>
            <w:vAlign w:val="top"/>
          </w:tcPr>
          <w:p>
            <w:r>
              <w:rPr>
                <w:color w:val="243B53"/>
                <w:sz w:val="17"/>
              </w:rPr>
              <w:t>Study Online</w:t>
              <w:br/>
              <w:t>Download &amp; Print</w:t>
              <w:br/>
              <w:t>Use a Hybrid Approach</w:t>
            </w:r>
          </w:p>
        </w:tc>
      </w:tr>
    </w:tbl>
    <w:p>
      <w:pPr>
        <w:pStyle w:val="CTALabel"/>
        <w:keepNext/>
      </w:pPr>
      <w:r>
        <w:t>Narration</w:t>
      </w:r>
    </w:p>
    <w:p>
      <w:pPr>
        <w:pStyle w:val="CTANarration"/>
        <w:ind w:left="259" w:right="173"/>
      </w:pPr>
      <w:r>
        <w:t>This program is built to fit real life. You may complete it entirely online, download and print the materials, or combine both approaches. You might watch a strategy lesson online, print a workbook for notes, complete a question bank on the website, and listen to an audio review while commuting. The format can change from day to day. The learning sequence stays the same.</w:t>
      </w:r>
    </w:p>
    <w:p>
      <w:pPr>
        <w:pStyle w:val="Heading2"/>
      </w:pPr>
      <w:r>
        <w:t>Slide 3: What You Will Work Through</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40–50 seconds</w:t>
            </w:r>
          </w:p>
        </w:tc>
        <w:tc>
          <w:tcPr>
            <w:tcW w:type="dxa" w:w="3528"/>
            <w:shd w:fill="F3F8FA"/>
            <w:tcMar>
              <w:top w:w="90" w:type="dxa"/>
              <w:start w:w="110" w:type="dxa"/>
              <w:bottom w:w="90" w:type="dxa"/>
              <w:end w:w="110" w:type="dxa"/>
            </w:tcMar>
            <w:vAlign w:val="top"/>
          </w:tcPr>
          <w:p>
            <w:r>
              <w:rPr>
                <w:color w:val="243B53"/>
                <w:sz w:val="17"/>
              </w:rPr>
              <w:t>Simple horizontal pathway with 12 workbook blocks leading to Form A and Form B.</w:t>
            </w:r>
          </w:p>
        </w:tc>
        <w:tc>
          <w:tcPr>
            <w:tcW w:type="dxa" w:w="5112"/>
            <w:shd w:fill="DCEFF6"/>
            <w:tcMar>
              <w:top w:w="90" w:type="dxa"/>
              <w:start w:w="110" w:type="dxa"/>
              <w:bottom w:w="90" w:type="dxa"/>
              <w:end w:w="110" w:type="dxa"/>
            </w:tcMar>
            <w:vAlign w:val="top"/>
          </w:tcPr>
          <w:p>
            <w:r>
              <w:rPr>
                <w:color w:val="243B53"/>
                <w:sz w:val="17"/>
              </w:rPr>
              <w:t>12 Workbooks</w:t>
              <w:br/>
              <w:t>12 Question Banks</w:t>
              <w:br/>
              <w:t>Form A</w:t>
              <w:br/>
              <w:t>Targeted Review</w:t>
              <w:br/>
              <w:t>Form B</w:t>
            </w:r>
          </w:p>
        </w:tc>
      </w:tr>
    </w:tbl>
    <w:p>
      <w:pPr>
        <w:pStyle w:val="CTALabel"/>
        <w:keepNext/>
      </w:pPr>
      <w:r>
        <w:t>Narration</w:t>
      </w:r>
    </w:p>
    <w:p>
      <w:pPr>
        <w:pStyle w:val="CTANarration"/>
        <w:ind w:left="259" w:right="173"/>
      </w:pPr>
      <w:r>
        <w:t>Your program includes twelve focused workbooks, one seventeen-question bank for each workbook, and two comprehensive simulation exams. Form A helps identify remaining gaps after you complete the core curriculum. Form B is reserved for your final readiness check after targeted review. The system is designed so that every stage has a purpose. You are not simply collecting scores. You are learning how to think through the questions.</w:t>
      </w:r>
    </w:p>
    <w:p>
      <w:pPr>
        <w:pStyle w:val="Heading2"/>
      </w:pPr>
      <w:r>
        <w:t>Slide 4: The CTA Study Cycle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Circular diagram: Learn → Practice → Review → Remediate → Simulate.</w:t>
            </w:r>
          </w:p>
        </w:tc>
        <w:tc>
          <w:tcPr>
            <w:tcW w:type="dxa" w:w="5112"/>
            <w:shd w:fill="DCEFF6"/>
            <w:tcMar>
              <w:top w:w="90" w:type="dxa"/>
              <w:start w:w="110" w:type="dxa"/>
              <w:bottom w:w="90" w:type="dxa"/>
              <w:end w:w="110" w:type="dxa"/>
            </w:tcMar>
            <w:vAlign w:val="top"/>
          </w:tcPr>
          <w:p>
            <w:r>
              <w:rPr>
                <w:color w:val="243B53"/>
                <w:sz w:val="17"/>
              </w:rPr>
              <w:t>Learn → Practice → Review → Remediate → Simulate</w:t>
            </w:r>
          </w:p>
        </w:tc>
      </w:tr>
    </w:tbl>
    <w:p>
      <w:pPr>
        <w:pStyle w:val="CTALabel"/>
        <w:keepNext/>
      </w:pPr>
      <w:r>
        <w:t>Narration</w:t>
      </w:r>
    </w:p>
    <w:p>
      <w:pPr>
        <w:pStyle w:val="CTANarration"/>
        <w:ind w:left="259" w:right="173"/>
      </w:pPr>
      <w:r>
        <w:t>The CTA Study Cycle has five parts. First, learn the content and the decision rules. Second, practice without looking at the answers. Third, review every rationale, including the options you did not choose. Fourth, remediate by returning to the concept or reasoning error that caused the miss. Finally, simulate the exam under realistic conditions. Repeating this cycle is more effective than rereading material without testing your decisions.</w:t>
      </w:r>
    </w:p>
    <w:p>
      <w:pPr>
        <w:pStyle w:val="Heading2"/>
      </w:pPr>
      <w:r>
        <w:t>Slide 5: Mistakes Are Information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40–50 seconds</w:t>
            </w:r>
          </w:p>
        </w:tc>
        <w:tc>
          <w:tcPr>
            <w:tcW w:type="dxa" w:w="3528"/>
            <w:shd w:fill="F3F8FA"/>
            <w:tcMar>
              <w:top w:w="90" w:type="dxa"/>
              <w:start w:w="110" w:type="dxa"/>
              <w:bottom w:w="90" w:type="dxa"/>
              <w:end w:w="110" w:type="dxa"/>
            </w:tcMar>
            <w:vAlign w:val="top"/>
          </w:tcPr>
          <w:p>
            <w:r>
              <w:rPr>
                <w:color w:val="243B53"/>
                <w:sz w:val="17"/>
              </w:rPr>
              <w:t>Error log graphic with categories: content, sequence, task word, premature action.</w:t>
            </w:r>
          </w:p>
        </w:tc>
        <w:tc>
          <w:tcPr>
            <w:tcW w:type="dxa" w:w="5112"/>
            <w:shd w:fill="DCEFF6"/>
            <w:tcMar>
              <w:top w:w="90" w:type="dxa"/>
              <w:start w:w="110" w:type="dxa"/>
              <w:bottom w:w="90" w:type="dxa"/>
              <w:end w:w="110" w:type="dxa"/>
            </w:tcMar>
            <w:vAlign w:val="top"/>
          </w:tcPr>
          <w:p>
            <w:r>
              <w:rPr>
                <w:color w:val="243B53"/>
                <w:sz w:val="17"/>
              </w:rPr>
              <w:t>A missed question is a diagnostic clue.</w:t>
            </w:r>
          </w:p>
        </w:tc>
      </w:tr>
    </w:tbl>
    <w:p>
      <w:pPr>
        <w:pStyle w:val="CTALabel"/>
        <w:keepNext/>
      </w:pPr>
      <w:r>
        <w:t>Narration</w:t>
      </w:r>
    </w:p>
    <w:p>
      <w:pPr>
        <w:pStyle w:val="CTANarration"/>
        <w:ind w:left="259" w:right="173"/>
      </w:pPr>
      <w:r>
        <w:t>You are expected to miss some practice questions. A missed question is not proof that you cannot pass. It is a diagnostic clue. It may show a content gap, a sequencing error, a missed task word, or a tendency to choose an answer that is reasonable but premature. Your job is to identify the pattern and correct it. That is how practice becomes progress.</w:t>
      </w:r>
    </w:p>
    <w:p>
      <w:pPr>
        <w:pStyle w:val="Heading2"/>
      </w:pPr>
      <w:r>
        <w:t>Slide 6: Use the Rationales as Coaching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40–50 seconds</w:t>
            </w:r>
          </w:p>
        </w:tc>
        <w:tc>
          <w:tcPr>
            <w:tcW w:type="dxa" w:w="3528"/>
            <w:shd w:fill="F3F8FA"/>
            <w:tcMar>
              <w:top w:w="90" w:type="dxa"/>
              <w:start w:w="110" w:type="dxa"/>
              <w:bottom w:w="90" w:type="dxa"/>
              <w:end w:w="110" w:type="dxa"/>
            </w:tcMar>
            <w:vAlign w:val="top"/>
          </w:tcPr>
          <w:p>
            <w:r>
              <w:rPr>
                <w:color w:val="243B53"/>
                <w:sz w:val="17"/>
              </w:rPr>
              <w:t>Question card beside rationale card and CTA Exam Strategy callout.</w:t>
            </w:r>
          </w:p>
        </w:tc>
        <w:tc>
          <w:tcPr>
            <w:tcW w:type="dxa" w:w="5112"/>
            <w:shd w:fill="DCEFF6"/>
            <w:tcMar>
              <w:top w:w="90" w:type="dxa"/>
              <w:start w:w="110" w:type="dxa"/>
              <w:bottom w:w="90" w:type="dxa"/>
              <w:end w:w="110" w:type="dxa"/>
            </w:tcMar>
            <w:vAlign w:val="top"/>
          </w:tcPr>
          <w:p>
            <w:r>
              <w:rPr>
                <w:color w:val="243B53"/>
                <w:sz w:val="17"/>
              </w:rPr>
              <w:t>Correct Answer</w:t>
              <w:br/>
              <w:t>Why It Is Best</w:t>
              <w:br/>
              <w:t>Why the Others Are Weaker</w:t>
              <w:br/>
              <w:t>CTA Exam Strategy</w:t>
            </w:r>
          </w:p>
        </w:tc>
      </w:tr>
    </w:tbl>
    <w:p>
      <w:pPr>
        <w:pStyle w:val="CTALabel"/>
        <w:keepNext/>
      </w:pPr>
      <w:r>
        <w:t>Narration</w:t>
      </w:r>
    </w:p>
    <w:p>
      <w:pPr>
        <w:pStyle w:val="CTANarration"/>
        <w:ind w:left="259" w:right="173"/>
      </w:pPr>
      <w:r>
        <w:t>The rationales are a central part of the program. Do not review only whether your answer was right or wrong. Study why the best answer fits the question, why each alternative is weaker, and what clue should guide you next time. The CTA Exam Strategy section turns each item into a short coaching lesson. That is where you build repeatable decision-making habits.</w:t>
      </w:r>
    </w:p>
    <w:p>
      <w:pPr>
        <w:pStyle w:val="Heading2"/>
      </w:pPr>
      <w:r>
        <w:t>Slide 7: Confidence Comes from a Process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35–45 seconds</w:t>
            </w:r>
          </w:p>
        </w:tc>
        <w:tc>
          <w:tcPr>
            <w:tcW w:type="dxa" w:w="3528"/>
            <w:shd w:fill="F3F8FA"/>
            <w:tcMar>
              <w:top w:w="90" w:type="dxa"/>
              <w:start w:w="110" w:type="dxa"/>
              <w:bottom w:w="90" w:type="dxa"/>
              <w:end w:w="110" w:type="dxa"/>
            </w:tcMar>
            <w:vAlign w:val="top"/>
          </w:tcPr>
          <w:p>
            <w:r>
              <w:rPr>
                <w:color w:val="243B53"/>
                <w:sz w:val="17"/>
              </w:rPr>
              <w:t>Progress bar moving from unsure to prepared.</w:t>
            </w:r>
          </w:p>
        </w:tc>
        <w:tc>
          <w:tcPr>
            <w:tcW w:type="dxa" w:w="5112"/>
            <w:shd w:fill="DCEFF6"/>
            <w:tcMar>
              <w:top w:w="90" w:type="dxa"/>
              <w:start w:w="110" w:type="dxa"/>
              <w:bottom w:w="90" w:type="dxa"/>
              <w:end w:w="110" w:type="dxa"/>
            </w:tcMar>
            <w:vAlign w:val="top"/>
          </w:tcPr>
          <w:p>
            <w:r>
              <w:rPr>
                <w:color w:val="243B53"/>
                <w:sz w:val="17"/>
              </w:rPr>
              <w:t>Confidence = Repeated, Evidence-Based Practice</w:t>
            </w:r>
          </w:p>
        </w:tc>
      </w:tr>
    </w:tbl>
    <w:p>
      <w:pPr>
        <w:pStyle w:val="CTALabel"/>
        <w:keepNext/>
      </w:pPr>
      <w:r>
        <w:t>Narration</w:t>
      </w:r>
    </w:p>
    <w:p>
      <w:pPr>
        <w:pStyle w:val="CTANarration"/>
        <w:ind w:left="259" w:right="173"/>
      </w:pPr>
      <w:r>
        <w:t>Confidence does not require feeling certain about every topic. It comes from having a process you can trust. You will learn to slow down enough to identify what the question is asking, choose the right stage of clinical action, eliminate weaker options, and move forward. With repetition, that process becomes faster and more dependable.</w:t>
      </w:r>
    </w:p>
    <w:p>
      <w:pPr>
        <w:pStyle w:val="Heading2"/>
      </w:pPr>
      <w:r>
        <w:t>Slide 8: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CTA roadmap and Start Here button.</w:t>
            </w:r>
          </w:p>
        </w:tc>
        <w:tc>
          <w:tcPr>
            <w:tcW w:type="dxa" w:w="5112"/>
            <w:shd w:fill="DCEFF6"/>
            <w:tcMar>
              <w:top w:w="90" w:type="dxa"/>
              <w:start w:w="110" w:type="dxa"/>
              <w:bottom w:w="90" w:type="dxa"/>
              <w:end w:w="110" w:type="dxa"/>
            </w:tcMar>
            <w:vAlign w:val="top"/>
          </w:tcPr>
          <w:p>
            <w:r>
              <w:rPr>
                <w:color w:val="243B53"/>
                <w:sz w:val="17"/>
              </w:rPr>
              <w:t>Next: Choose Your Study Schedule and Begin the Orientation</w:t>
            </w:r>
          </w:p>
        </w:tc>
      </w:tr>
    </w:tbl>
    <w:p>
      <w:pPr>
        <w:pStyle w:val="CTALabel"/>
        <w:keepNext/>
      </w:pPr>
      <w:r>
        <w:t>Narration</w:t>
      </w:r>
    </w:p>
    <w:p>
      <w:pPr>
        <w:pStyle w:val="CTANarration"/>
        <w:ind w:left="259" w:right="173"/>
      </w:pPr>
      <w:r>
        <w:t>Your next step is to open the Student Program Roadmap, choose the study schedule that fits your timeline, and complete the orientation lesson on how to use the twelve workbooks and question banks. Begin with the pace you can sustain. Consistent, thoughtful practice will take you farther than an unrealistic plan that you cannot maintain. Welcome to the program. Let’s get started.</w:t>
      </w:r>
    </w:p>
    <w:p>
      <w:pPr>
        <w:pStyle w:val="Heading1"/>
      </w:pPr>
      <w:r>
        <w:t>Audio-Only Adaptation Notes</w:t>
      </w:r>
    </w:p>
    <w:p>
      <w:pPr>
        <w:pStyle w:val="ListBullet"/>
        <w:spacing w:after="40"/>
        <w:ind w:left="360" w:hanging="216"/>
      </w:pPr>
      <w:r>
        <w:t>Verbally name the three study pathways because the audio listener cannot see the icons.</w:t>
      </w:r>
    </w:p>
    <w:p>
      <w:pPr>
        <w:pStyle w:val="ListBullet"/>
        <w:spacing w:after="40"/>
        <w:ind w:left="360" w:hanging="216"/>
      </w:pPr>
      <w:r>
        <w:t>When describing the CTA Study Cycle, pause briefly between each stage.</w:t>
      </w:r>
    </w:p>
    <w:p>
      <w:pPr>
        <w:pStyle w:val="ListBullet"/>
        <w:spacing w:after="40"/>
        <w:ind w:left="360" w:hanging="216"/>
      </w:pPr>
      <w:r>
        <w:t>Avoid references such as “as you can see”; describe the pathway directly.</w:t>
      </w:r>
    </w:p>
    <w:p>
      <w:pPr>
        <w:pStyle w:val="ListBullet"/>
        <w:spacing w:after="40"/>
        <w:ind w:left="360" w:hanging="216"/>
      </w:pPr>
      <w:r>
        <w:t>End with the exact next step: open the roadmap, choose a schedule, and complete orientation.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p>
      <w:pPr>
        <w:spacing w:after="20"/>
      </w:pPr>
    </w:p>
    <w:p>
      <w:pPr>
        <w:spacing w:before="80" w:after="40"/>
      </w:pPr>
      <w:r>
        <w:rPr>
          <w:b/>
          <w:sz w:val="18"/>
        </w:rPr>
        <w:t xml:space="preserve">Closing Production Note: </w:t>
      </w:r>
      <w:r>
        <w:rPr>
          <w:sz w:val="18"/>
        </w:rPr>
        <w:t>This recording should leave the student feeling welcomed, capable, and clear about what to do next. Detailed operating instructions belong in the second orientation recording.</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pPr>
      <w:keepNext/>
    </w:pPr>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the CTA Exam Success System</dc:title>
  <dc:subject>Shared LMFT &amp; LCSW Multimedia Script 01</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