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Image: image1.png"/>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How to Use the 12 Workbooks and Question Banks</w:t>
      </w:r>
    </w:p>
    <w:p>
      <w:pPr>
        <w:jc w:val="center"/>
      </w:pPr>
      <w:r>
        <w:rPr>
          <w:rFonts w:ascii="Aptos Display" w:hAnsi="Aptos Display"/>
          <w:b/>
          <w:color w:val="2AA7D6"/>
          <w:sz w:val="32"/>
        </w:rPr>
        <w:t>Shared LMFT &amp; LCSW Multimedia Script 02</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students how to move through the complete self-paced program, use each 17-question bank, review rationales, remediate errors, and preserve Forms A and B as meaningful simulations.</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Students beginning either CTA clinical exam-preparation program.</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Start Here /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Select an appropriate online, printable, or hybrid study pathway.</w:t>
      </w:r>
    </w:p>
    <w:p>
      <w:pPr>
        <w:pStyle w:val="ListBullet"/>
        <w:spacing w:after="40"/>
        <w:ind w:left="360" w:hanging="216"/>
      </w:pPr>
      <w:r>
        <w:t>Use the workbook-question bank-rationale-remediation sequence correctly.</w:t>
      </w:r>
    </w:p>
    <w:p>
      <w:pPr>
        <w:pStyle w:val="ListBullet"/>
        <w:spacing w:after="40"/>
        <w:ind w:left="360" w:hanging="216"/>
      </w:pPr>
      <w:r>
        <w:t>Classify missed questions by the underlying reasoning error.</w:t>
      </w:r>
    </w:p>
    <w:p>
      <w:pPr>
        <w:pStyle w:val="ListBullet"/>
        <w:spacing w:after="40"/>
        <w:ind w:left="360" w:hanging="216"/>
      </w:pPr>
      <w:r>
        <w:t>Explain the distinct purposes of Form A and Form B.</w:t>
      </w:r>
    </w:p>
    <w:p>
      <w:pPr>
        <w:pStyle w:val="Heading1"/>
      </w:pPr>
      <w:r>
        <w:t>Voice and Presentation Direction</w:t>
      </w:r>
    </w:p>
    <w:p>
      <w:pPr>
        <w:pStyle w:val="ListBullet"/>
        <w:spacing w:after="40"/>
        <w:ind w:left="360" w:hanging="216"/>
      </w:pPr>
      <w:r>
        <w:t>Organized, practical, and encouraging.</w:t>
      </w:r>
    </w:p>
    <w:p>
      <w:pPr>
        <w:pStyle w:val="ListBullet"/>
        <w:spacing w:after="40"/>
        <w:ind w:left="360" w:hanging="216"/>
      </w:pPr>
      <w:r>
        <w:t>Give direct instructions without sounding rigid.</w:t>
      </w:r>
    </w:p>
    <w:p>
      <w:pPr>
        <w:pStyle w:val="ListBullet"/>
        <w:spacing w:after="40"/>
        <w:ind w:left="360" w:hanging="216"/>
      </w:pPr>
      <w:r>
        <w:t>Emphasize sustainable study rather than speed.</w:t>
      </w:r>
    </w:p>
    <w:p>
      <w:pPr>
        <w:pStyle w:val="ListBullet"/>
        <w:spacing w:after="40"/>
        <w:ind w:left="360" w:hanging="216"/>
      </w:pPr>
      <w:r>
        <w:t>Reinforce that rationales and remediation are part of the curriculum, not optional extras.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How to Use the Program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20–30 seconds</w:t>
            </w:r>
          </w:p>
        </w:tc>
        <w:tc>
          <w:tcPr>
            <w:tcW w:type="dxa" w:w="3528"/>
            <w:shd w:fill="F3F8FA"/>
            <w:tcMar>
              <w:top w:w="90" w:type="dxa"/>
              <w:start w:w="110" w:type="dxa"/>
              <w:bottom w:w="90" w:type="dxa"/>
              <w:end w:w="110" w:type="dxa"/>
            </w:tcMar>
            <w:vAlign w:val="top"/>
          </w:tcPr>
          <w:p>
            <w:r>
              <w:rPr>
                <w:color w:val="243B53"/>
                <w:sz w:val="17"/>
              </w:rPr>
              <w:t>Title slide with roadmap graphic.</w:t>
            </w:r>
          </w:p>
        </w:tc>
        <w:tc>
          <w:tcPr>
            <w:tcW w:type="dxa" w:w="5112"/>
            <w:shd w:fill="DCEFF6"/>
            <w:tcMar>
              <w:top w:w="90" w:type="dxa"/>
              <w:start w:w="110" w:type="dxa"/>
              <w:bottom w:w="90" w:type="dxa"/>
              <w:end w:w="110" w:type="dxa"/>
            </w:tcMar>
            <w:vAlign w:val="top"/>
          </w:tcPr>
          <w:p>
            <w:r>
              <w:rPr>
                <w:color w:val="243B53"/>
                <w:sz w:val="17"/>
              </w:rPr>
              <w:t>How to Use the 12 Workbooks and Question Banks</w:t>
            </w:r>
          </w:p>
        </w:tc>
      </w:tr>
    </w:tbl>
    <w:p>
      <w:pPr>
        <w:pStyle w:val="CTALabel"/>
        <w:keepNext/>
      </w:pPr>
      <w:r>
        <w:t>Narration</w:t>
      </w:r>
    </w:p>
    <w:p>
      <w:pPr>
        <w:pStyle w:val="CTANarration"/>
        <w:ind w:left="259" w:right="173"/>
      </w:pPr>
      <w:r>
        <w:t>This orientation explains exactly how to move through the CTA Exam Success System. You will learn how to use the twelve workbooks, when to complete each question bank, how to review rationales, and how to protect the value of Forms A and B.</w:t>
      </w:r>
    </w:p>
    <w:p>
      <w:pPr>
        <w:pStyle w:val="Heading2"/>
      </w:pPr>
      <w:r>
        <w:t>Slide 2: Choose Your Study Path</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Three pathway cards: online, paper, hybrid.</w:t>
            </w:r>
          </w:p>
        </w:tc>
        <w:tc>
          <w:tcPr>
            <w:tcW w:type="dxa" w:w="5112"/>
            <w:shd w:fill="DCEFF6"/>
            <w:tcMar>
              <w:top w:w="90" w:type="dxa"/>
              <w:start w:w="110" w:type="dxa"/>
              <w:bottom w:w="90" w:type="dxa"/>
              <w:end w:w="110" w:type="dxa"/>
            </w:tcMar>
            <w:vAlign w:val="top"/>
          </w:tcPr>
          <w:p>
            <w:r>
              <w:rPr>
                <w:color w:val="243B53"/>
                <w:sz w:val="17"/>
              </w:rPr>
              <w:t>Online • Download &amp; Print • Hybrid</w:t>
            </w:r>
          </w:p>
        </w:tc>
      </w:tr>
    </w:tbl>
    <w:p>
      <w:pPr>
        <w:pStyle w:val="CTALabel"/>
        <w:keepNext/>
      </w:pPr>
      <w:r>
        <w:t>Narration</w:t>
      </w:r>
    </w:p>
    <w:p>
      <w:pPr>
        <w:pStyle w:val="CTANarration"/>
        <w:ind w:left="259" w:right="173"/>
      </w:pPr>
      <w:r>
        <w:t>First, choose how you want to study. In the online pathway, you read lessons, complete questions, and track progress on the website. In the printable pathway, you download materials, write directly in the workbooks, and self-score after completing each bank. In the hybrid pathway, you combine both methods. Choose the format that makes it easiest to stay consistent. You do not need to use the same format for every workbook.</w:t>
      </w:r>
    </w:p>
    <w:p>
      <w:pPr>
        <w:pStyle w:val="Heading2"/>
      </w:pPr>
      <w:r>
        <w:t>Slide 3: Choose a Realistic Schedule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10-, 14-, and 18-week calendar options.</w:t>
            </w:r>
          </w:p>
        </w:tc>
        <w:tc>
          <w:tcPr>
            <w:tcW w:type="dxa" w:w="5112"/>
            <w:shd w:fill="DCEFF6"/>
            <w:tcMar>
              <w:top w:w="90" w:type="dxa"/>
              <w:start w:w="110" w:type="dxa"/>
              <w:bottom w:w="90" w:type="dxa"/>
              <w:end w:w="110" w:type="dxa"/>
            </w:tcMar>
            <w:vAlign w:val="top"/>
          </w:tcPr>
          <w:p>
            <w:r>
              <w:rPr>
                <w:color w:val="243B53"/>
                <w:sz w:val="17"/>
              </w:rPr>
              <w:t>Accelerated: 10 Weeks</w:t>
              <w:br/>
              <w:t>Recommended: 14 Weeks</w:t>
              <w:br/>
              <w:t>Extended: 18 Weeks</w:t>
            </w:r>
          </w:p>
        </w:tc>
      </w:tr>
    </w:tbl>
    <w:p>
      <w:pPr>
        <w:pStyle w:val="CTALabel"/>
        <w:keepNext/>
      </w:pPr>
      <w:r>
        <w:t>Narration</w:t>
      </w:r>
    </w:p>
    <w:p>
      <w:pPr>
        <w:pStyle w:val="CTANarration"/>
        <w:ind w:left="259" w:right="173"/>
      </w:pPr>
      <w:r>
        <w:t>Next, choose a study schedule. The accelerated plan is appropriate when you have substantial weekly study time and a firm exam date. The fourteen-week plan is the recommended balanced pace. The eighteen-week plan provides more time for work, family, health needs, or deeper remediation. A realistic plan is better than the fastest plan. Choose the schedule you are most likely to follow.</w:t>
      </w:r>
    </w:p>
    <w:p>
      <w:pPr>
        <w:pStyle w:val="Heading2"/>
      </w:pPr>
      <w:r>
        <w:t>Slide 4: One Workbook at a Time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Single workbook highlighted while the others remain dimmed.</w:t>
            </w:r>
          </w:p>
        </w:tc>
        <w:tc>
          <w:tcPr>
            <w:tcW w:type="dxa" w:w="5112"/>
            <w:shd w:fill="DCEFF6"/>
            <w:tcMar>
              <w:top w:w="90" w:type="dxa"/>
              <w:start w:w="110" w:type="dxa"/>
              <w:bottom w:w="90" w:type="dxa"/>
              <w:end w:w="110" w:type="dxa"/>
            </w:tcMar>
            <w:vAlign w:val="top"/>
          </w:tcPr>
          <w:p>
            <w:r>
              <w:rPr>
                <w:color w:val="243B53"/>
                <w:sz w:val="17"/>
              </w:rPr>
              <w:t>Complete the Learning Before Testing Yourself</w:t>
            </w:r>
          </w:p>
        </w:tc>
      </w:tr>
    </w:tbl>
    <w:p>
      <w:pPr>
        <w:pStyle w:val="CTALabel"/>
        <w:keepNext/>
      </w:pPr>
      <w:r>
        <w:t>Narration</w:t>
      </w:r>
    </w:p>
    <w:p>
      <w:pPr>
        <w:pStyle w:val="CTANarration"/>
        <w:ind w:left="259" w:right="173"/>
      </w:pPr>
      <w:r>
        <w:t>Work through one workbook at a time. Read the learning objectives, complete the core content, and pay special attention to the exam tips, common traps, memory aids, and clinical applications. Do not rush directly to the question bank. The questions are most useful after you have completed the learning and can test whether you can apply it.</w:t>
      </w:r>
    </w:p>
    <w:p>
      <w:pPr>
        <w:pStyle w:val="Heading2"/>
      </w:pPr>
      <w:r>
        <w:t>Slide 5: Use Companion Media Strategically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35–45 seconds</w:t>
            </w:r>
          </w:p>
        </w:tc>
        <w:tc>
          <w:tcPr>
            <w:tcW w:type="dxa" w:w="3528"/>
            <w:shd w:fill="F3F8FA"/>
            <w:tcMar>
              <w:top w:w="90" w:type="dxa"/>
              <w:start w:w="110" w:type="dxa"/>
              <w:bottom w:w="90" w:type="dxa"/>
              <w:end w:w="110" w:type="dxa"/>
            </w:tcMar>
            <w:vAlign w:val="top"/>
          </w:tcPr>
          <w:p>
            <w:r>
              <w:rPr>
                <w:color w:val="243B53"/>
                <w:sz w:val="17"/>
              </w:rPr>
              <w:t>Video, transcript, and MP3 icons beside a workbook.</w:t>
            </w:r>
          </w:p>
        </w:tc>
        <w:tc>
          <w:tcPr>
            <w:tcW w:type="dxa" w:w="5112"/>
            <w:shd w:fill="DCEFF6"/>
            <w:tcMar>
              <w:top w:w="90" w:type="dxa"/>
              <w:start w:w="110" w:type="dxa"/>
              <w:bottom w:w="90" w:type="dxa"/>
              <w:end w:w="110" w:type="dxa"/>
            </w:tcMar>
            <w:vAlign w:val="top"/>
          </w:tcPr>
          <w:p>
            <w:r>
              <w:rPr>
                <w:color w:val="243B53"/>
                <w:sz w:val="17"/>
              </w:rPr>
              <w:t>Watch • Read • Listen • Repeat</w:t>
            </w:r>
          </w:p>
        </w:tc>
      </w:tr>
    </w:tbl>
    <w:p>
      <w:pPr>
        <w:pStyle w:val="CTALabel"/>
        <w:keepNext/>
      </w:pPr>
      <w:r>
        <w:t>Narration</w:t>
      </w:r>
    </w:p>
    <w:p>
      <w:pPr>
        <w:pStyle w:val="CTANarration"/>
        <w:ind w:left="259" w:right="173"/>
      </w:pPr>
      <w:r>
        <w:t>Use the companion video or audio to reinforce the workbook’s high-yield ideas. The recordings are not intended to replace the workbook or read it aloud. They help you hear the reasoning, notice exam traps, and connect concepts to decisions. The transcript is available for review, and the audio version can support screen-free study.</w:t>
      </w:r>
    </w:p>
    <w:p>
      <w:pPr>
        <w:pStyle w:val="Heading2"/>
      </w:pPr>
      <w:r>
        <w:t>Slide 6: Complete the 17-Question Bank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Question bank graphic labeled 5 Easy, 7 Moderate, 5 Difficult.</w:t>
            </w:r>
          </w:p>
        </w:tc>
        <w:tc>
          <w:tcPr>
            <w:tcW w:type="dxa" w:w="5112"/>
            <w:shd w:fill="DCEFF6"/>
            <w:tcMar>
              <w:top w:w="90" w:type="dxa"/>
              <w:start w:w="110" w:type="dxa"/>
              <w:bottom w:w="90" w:type="dxa"/>
              <w:end w:w="110" w:type="dxa"/>
            </w:tcMar>
            <w:vAlign w:val="top"/>
          </w:tcPr>
          <w:p>
            <w:r>
              <w:rPr>
                <w:color w:val="243B53"/>
                <w:sz w:val="17"/>
              </w:rPr>
              <w:t>17 Questions</w:t>
              <w:br/>
              <w:t>5 Easy • 7 Moderate • 5 Difficult</w:t>
            </w:r>
          </w:p>
        </w:tc>
      </w:tr>
    </w:tbl>
    <w:p>
      <w:pPr>
        <w:pStyle w:val="CTALabel"/>
        <w:keepNext/>
      </w:pPr>
      <w:r>
        <w:t>Narration</w:t>
      </w:r>
    </w:p>
    <w:p>
      <w:pPr>
        <w:pStyle w:val="CTANarration"/>
        <w:ind w:left="259" w:right="173"/>
      </w:pPr>
      <w:r>
        <w:t>After finishing the workbook, complete its seventeen-question bank without viewing the answers. Each bank includes five easy, seven moderate, and five difficult items. The goal is not to prove mastery on the first attempt. The goal is to see what you can recognize, apply, and integrate without assistance. Answer every question before opening the rationale resource.</w:t>
      </w:r>
    </w:p>
    <w:p>
      <w:pPr>
        <w:pStyle w:val="Heading2"/>
      </w:pPr>
      <w:r>
        <w:t>Slide 7: Review Every Option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Four answer choices with each linked to a rationale bubble.</w:t>
            </w:r>
          </w:p>
        </w:tc>
        <w:tc>
          <w:tcPr>
            <w:tcW w:type="dxa" w:w="5112"/>
            <w:shd w:fill="DCEFF6"/>
            <w:tcMar>
              <w:top w:w="90" w:type="dxa"/>
              <w:start w:w="110" w:type="dxa"/>
              <w:bottom w:w="90" w:type="dxa"/>
              <w:end w:w="110" w:type="dxa"/>
            </w:tcMar>
            <w:vAlign w:val="top"/>
          </w:tcPr>
          <w:p>
            <w:r>
              <w:rPr>
                <w:color w:val="243B53"/>
                <w:sz w:val="17"/>
              </w:rPr>
              <w:t>Review the Correct Answer and Every Distractor</w:t>
            </w:r>
          </w:p>
        </w:tc>
      </w:tr>
    </w:tbl>
    <w:p>
      <w:pPr>
        <w:pStyle w:val="CTALabel"/>
        <w:keepNext/>
      </w:pPr>
      <w:r>
        <w:t>Narration</w:t>
      </w:r>
    </w:p>
    <w:p>
      <w:pPr>
        <w:pStyle w:val="CTANarration"/>
        <w:ind w:left="259" w:right="173"/>
      </w:pPr>
      <w:r>
        <w:t>Once the bank is submitted, review every option. Start with the best answer, then study why the remaining choices are weaker. A distractor may be incorrect because it is premature, too broad, outside the clinician’s role, insufficiently collaborative, or unrelated to the task word. Those distinctions are often more valuable than memorizing the correct letter.</w:t>
      </w:r>
    </w:p>
    <w:p>
      <w:pPr>
        <w:pStyle w:val="Heading2"/>
      </w:pPr>
      <w:r>
        <w:t>Slide 8: Classify the Reason for Each Miss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Error log with five categories.</w:t>
            </w:r>
          </w:p>
        </w:tc>
        <w:tc>
          <w:tcPr>
            <w:tcW w:type="dxa" w:w="5112"/>
            <w:shd w:fill="DCEFF6"/>
            <w:tcMar>
              <w:top w:w="90" w:type="dxa"/>
              <w:start w:w="110" w:type="dxa"/>
              <w:bottom w:w="90" w:type="dxa"/>
              <w:end w:w="110" w:type="dxa"/>
            </w:tcMar>
            <w:vAlign w:val="top"/>
          </w:tcPr>
          <w:p>
            <w:r>
              <w:rPr>
                <w:color w:val="243B53"/>
                <w:sz w:val="17"/>
              </w:rPr>
              <w:t>Content Gap</w:t>
              <w:br/>
              <w:t>Task-Word Error</w:t>
              <w:br/>
              <w:t>Sequence Error</w:t>
              <w:br/>
              <w:t>Premature Action</w:t>
              <w:br/>
              <w:t>Overthinking</w:t>
            </w:r>
          </w:p>
        </w:tc>
      </w:tr>
    </w:tbl>
    <w:p>
      <w:pPr>
        <w:pStyle w:val="CTALabel"/>
        <w:keepNext/>
      </w:pPr>
      <w:r>
        <w:t>Narration</w:t>
      </w:r>
    </w:p>
    <w:p>
      <w:pPr>
        <w:pStyle w:val="CTANarration"/>
        <w:ind w:left="259" w:right="173"/>
      </w:pPr>
      <w:r>
        <w:t>For each missed question, classify the reason. Did you lack the content? Did you miss the word FIRST, NEXT, BEST, or MOST? Did you act before gathering enough information? Did you choose a later treatment step too soon? Or did you overthink the scenario and add facts that were not provided? Recording the reason helps you fix the pattern instead of simply repeating the item.</w:t>
      </w:r>
    </w:p>
    <w:p>
      <w:pPr>
        <w:pStyle w:val="Heading2"/>
      </w:pPr>
      <w:r>
        <w:t>Slide 9: Remediate Before Moving 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Arrow returning from error log to the workbook section.</w:t>
            </w:r>
          </w:p>
        </w:tc>
        <w:tc>
          <w:tcPr>
            <w:tcW w:type="dxa" w:w="5112"/>
            <w:shd w:fill="DCEFF6"/>
            <w:tcMar>
              <w:top w:w="90" w:type="dxa"/>
              <w:start w:w="110" w:type="dxa"/>
              <w:bottom w:w="90" w:type="dxa"/>
              <w:end w:w="110" w:type="dxa"/>
            </w:tcMar>
            <w:vAlign w:val="top"/>
          </w:tcPr>
          <w:p>
            <w:r>
              <w:rPr>
                <w:color w:val="243B53"/>
                <w:sz w:val="17"/>
              </w:rPr>
              <w:t>Return to the Concept • Restate the Rule • Try Again</w:t>
            </w:r>
          </w:p>
        </w:tc>
      </w:tr>
    </w:tbl>
    <w:p>
      <w:pPr>
        <w:pStyle w:val="CTALabel"/>
        <w:keepNext/>
      </w:pPr>
      <w:r>
        <w:t>Narration</w:t>
      </w:r>
    </w:p>
    <w:p>
      <w:pPr>
        <w:pStyle w:val="CTANarration"/>
        <w:ind w:left="259" w:right="173"/>
      </w:pPr>
      <w:r>
        <w:t>Before moving to the next workbook, complete targeted remediation. Return to the section connected to the miss, restate the decision rule in your own words, and explain what would make the tempting distractor appropriate at a later stage. You may repeat selected questions after remediation, but do not rely on memorizing the answer letter.</w:t>
      </w:r>
    </w:p>
    <w:p>
      <w:pPr>
        <w:pStyle w:val="Heading2"/>
      </w:pPr>
      <w:r>
        <w:t>Slide 10: Complete All 12 Workbooks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35–45 seconds</w:t>
            </w:r>
          </w:p>
        </w:tc>
        <w:tc>
          <w:tcPr>
            <w:tcW w:type="dxa" w:w="3528"/>
            <w:shd w:fill="F3F8FA"/>
            <w:tcMar>
              <w:top w:w="90" w:type="dxa"/>
              <w:start w:w="110" w:type="dxa"/>
              <w:bottom w:w="90" w:type="dxa"/>
              <w:end w:w="110" w:type="dxa"/>
            </w:tcMar>
            <w:vAlign w:val="top"/>
          </w:tcPr>
          <w:p>
            <w:r>
              <w:rPr>
                <w:color w:val="243B53"/>
                <w:sz w:val="17"/>
              </w:rPr>
              <w:t>Twelve completed workbook checkmarks.</w:t>
            </w:r>
          </w:p>
        </w:tc>
        <w:tc>
          <w:tcPr>
            <w:tcW w:type="dxa" w:w="5112"/>
            <w:shd w:fill="DCEFF6"/>
            <w:tcMar>
              <w:top w:w="90" w:type="dxa"/>
              <w:start w:w="110" w:type="dxa"/>
              <w:bottom w:w="90" w:type="dxa"/>
              <w:end w:w="110" w:type="dxa"/>
            </w:tcMar>
            <w:vAlign w:val="top"/>
          </w:tcPr>
          <w:p>
            <w:r>
              <w:rPr>
                <w:color w:val="243B53"/>
                <w:sz w:val="17"/>
              </w:rPr>
              <w:t>Curriculum First • Simulation Second</w:t>
            </w:r>
          </w:p>
        </w:tc>
      </w:tr>
    </w:tbl>
    <w:p>
      <w:pPr>
        <w:pStyle w:val="CTALabel"/>
        <w:keepNext/>
      </w:pPr>
      <w:r>
        <w:t>Narration</w:t>
      </w:r>
    </w:p>
    <w:p>
      <w:pPr>
        <w:pStyle w:val="CTANarration"/>
        <w:ind w:left="259" w:right="173"/>
      </w:pPr>
      <w:r>
        <w:t>Complete all twelve workbooks and question banks before taking Form A. The comprehensive simulation is designed to measure how well you integrate material across the full program. Taking it too early reduces its value and may create unnecessary anxiety from testing content you have not yet reviewed.</w:t>
      </w:r>
    </w:p>
    <w:p>
      <w:pPr>
        <w:pStyle w:val="Heading2"/>
      </w:pPr>
      <w:r>
        <w:t>Slide 11: Use Form A as a Diagnostic Simulation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Timed exam screen followed by domain performance bars.</w:t>
            </w:r>
          </w:p>
        </w:tc>
        <w:tc>
          <w:tcPr>
            <w:tcW w:type="dxa" w:w="5112"/>
            <w:shd w:fill="DCEFF6"/>
            <w:tcMar>
              <w:top w:w="90" w:type="dxa"/>
              <w:start w:w="110" w:type="dxa"/>
              <w:bottom w:w="90" w:type="dxa"/>
              <w:end w:w="110" w:type="dxa"/>
            </w:tcMar>
            <w:vAlign w:val="top"/>
          </w:tcPr>
          <w:p>
            <w:r>
              <w:rPr>
                <w:color w:val="243B53"/>
                <w:sz w:val="17"/>
              </w:rPr>
              <w:t>Form A: Simulate • Score • Diagnose • Remediate</w:t>
            </w:r>
          </w:p>
        </w:tc>
      </w:tr>
    </w:tbl>
    <w:p>
      <w:pPr>
        <w:pStyle w:val="CTALabel"/>
        <w:keepNext/>
      </w:pPr>
      <w:r>
        <w:t>Narration</w:t>
      </w:r>
    </w:p>
    <w:p>
      <w:pPr>
        <w:pStyle w:val="CTANarration"/>
        <w:ind w:left="259" w:right="173"/>
      </w:pPr>
      <w:r>
        <w:t>Take Form A under realistic, uninterrupted conditions. Complete the entire exam before reviewing answers. After submission, examine your overall result, pacing, and content-area performance. Then complete a focused remediation plan. Form A is not a final judgment. It is a diagnostic simulation that shows what still needs attention.</w:t>
      </w:r>
    </w:p>
    <w:p>
      <w:pPr>
        <w:pStyle w:val="Heading2"/>
      </w:pPr>
      <w:r>
        <w:t>Slide 12: Reserve Form B for Final Readiness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Locked Form B opening after a remediation checklist.</w:t>
            </w:r>
          </w:p>
        </w:tc>
        <w:tc>
          <w:tcPr>
            <w:tcW w:type="dxa" w:w="5112"/>
            <w:shd w:fill="DCEFF6"/>
            <w:tcMar>
              <w:top w:w="90" w:type="dxa"/>
              <w:start w:w="110" w:type="dxa"/>
              <w:bottom w:w="90" w:type="dxa"/>
              <w:end w:w="110" w:type="dxa"/>
            </w:tcMar>
            <w:vAlign w:val="top"/>
          </w:tcPr>
          <w:p>
            <w:r>
              <w:rPr>
                <w:color w:val="243B53"/>
                <w:sz w:val="17"/>
              </w:rPr>
              <w:t>Form B Unlocks After Form A Remediation</w:t>
            </w:r>
          </w:p>
        </w:tc>
      </w:tr>
    </w:tbl>
    <w:p>
      <w:pPr>
        <w:pStyle w:val="CTALabel"/>
        <w:keepNext/>
      </w:pPr>
      <w:r>
        <w:t>Narration</w:t>
      </w:r>
    </w:p>
    <w:p>
      <w:pPr>
        <w:pStyle w:val="CTANarration"/>
        <w:ind w:left="259" w:right="173"/>
      </w:pPr>
      <w:r>
        <w:t>Form B should remain protected until you have reviewed Form A and completed the required remediation. Use Form B as your final readiness check, not as an extra question bank. Take it under the same conditions you plan to use for the real exam. Afterward, review the rationales, identify final weak areas, and follow the final-week checklist.</w:t>
      </w:r>
    </w:p>
    <w:p>
      <w:pPr>
        <w:pStyle w:val="Heading2"/>
      </w:pPr>
      <w:r>
        <w:t>Slide 13: Track Progress, Not Perfection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40–50 seconds</w:t>
            </w:r>
          </w:p>
        </w:tc>
        <w:tc>
          <w:tcPr>
            <w:tcW w:type="dxa" w:w="3528"/>
            <w:shd w:fill="F3F8FA"/>
            <w:tcMar>
              <w:top w:w="90" w:type="dxa"/>
              <w:start w:w="110" w:type="dxa"/>
              <w:bottom w:w="90" w:type="dxa"/>
              <w:end w:w="110" w:type="dxa"/>
            </w:tcMar>
            <w:vAlign w:val="top"/>
          </w:tcPr>
          <w:p>
            <w:r>
              <w:rPr>
                <w:color w:val="243B53"/>
                <w:sz w:val="17"/>
              </w:rPr>
              <w:t>Trend line showing improving consistency across weeks.</w:t>
            </w:r>
          </w:p>
        </w:tc>
        <w:tc>
          <w:tcPr>
            <w:tcW w:type="dxa" w:w="5112"/>
            <w:shd w:fill="DCEFF6"/>
            <w:tcMar>
              <w:top w:w="90" w:type="dxa"/>
              <w:start w:w="110" w:type="dxa"/>
              <w:bottom w:w="90" w:type="dxa"/>
              <w:end w:w="110" w:type="dxa"/>
            </w:tcMar>
            <w:vAlign w:val="top"/>
          </w:tcPr>
          <w:p>
            <w:r>
              <w:rPr>
                <w:color w:val="243B53"/>
                <w:sz w:val="17"/>
              </w:rPr>
              <w:t>Look for Better Decisions Across Time</w:t>
            </w:r>
          </w:p>
        </w:tc>
      </w:tr>
    </w:tbl>
    <w:p>
      <w:pPr>
        <w:pStyle w:val="CTALabel"/>
        <w:keepNext/>
      </w:pPr>
      <w:r>
        <w:t>Narration</w:t>
      </w:r>
    </w:p>
    <w:p>
      <w:pPr>
        <w:pStyle w:val="CTANarration"/>
        <w:ind w:left="259" w:right="173"/>
      </w:pPr>
      <w:r>
        <w:t>Use the roadmap, readiness tracker, and error log to look for improvement across time. One score does not define your readiness. Watch for fewer sequencing errors, stronger elimination of distractors, better pacing, and more consistent reasoning across content areas. Progress is the pattern.</w:t>
      </w:r>
    </w:p>
    <w:p>
      <w:pPr>
        <w:pStyle w:val="Heading2"/>
      </w:pPr>
      <w:r>
        <w:t>Slide 14: Begin Workbook 1</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Pr>
          <w:tblHeader/>
        </w:trPr>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Workbook 1 cover with Start button.</w:t>
            </w:r>
          </w:p>
        </w:tc>
        <w:tc>
          <w:tcPr>
            <w:tcW w:type="dxa" w:w="5112"/>
            <w:shd w:fill="DCEFF6"/>
            <w:tcMar>
              <w:top w:w="90" w:type="dxa"/>
              <w:start w:w="110" w:type="dxa"/>
              <w:bottom w:w="90" w:type="dxa"/>
              <w:end w:w="110" w:type="dxa"/>
            </w:tcMar>
            <w:vAlign w:val="top"/>
          </w:tcPr>
          <w:p>
            <w:r>
              <w:rPr>
                <w:color w:val="243B53"/>
                <w:sz w:val="17"/>
              </w:rPr>
              <w:t>Next: Begin Workbook 1</w:t>
            </w:r>
          </w:p>
        </w:tc>
      </w:tr>
    </w:tbl>
    <w:p>
      <w:pPr>
        <w:pStyle w:val="CTALabel"/>
        <w:keepNext/>
      </w:pPr>
      <w:r>
        <w:t>Narration</w:t>
      </w:r>
    </w:p>
    <w:p>
      <w:pPr>
        <w:pStyle w:val="CTANarration"/>
        <w:ind w:left="259" w:right="173"/>
      </w:pPr>
      <w:r>
        <w:t>You now know how to use the full program. Open your roadmap, confirm your schedule, and begin Workbook 1. Complete the learning before the question bank, review every rationale after submission, and record what each miss teaches you. That cycle will guide you all the way to Form B.</w:t>
      </w:r>
    </w:p>
    <w:p>
      <w:pPr>
        <w:pStyle w:val="Heading1"/>
      </w:pPr>
      <w:r>
        <w:t>Audio-Only Adaptation Notes</w:t>
      </w:r>
    </w:p>
    <w:p>
      <w:pPr>
        <w:pStyle w:val="ListBullet"/>
        <w:spacing w:after="40"/>
        <w:ind w:left="360" w:hanging="216"/>
      </w:pPr>
      <w:r>
        <w:t>State every numerical element aloud, including twelve workbooks and seventeen questions per bank.</w:t>
      </w:r>
    </w:p>
    <w:p>
      <w:pPr>
        <w:pStyle w:val="ListBullet"/>
        <w:spacing w:after="40"/>
        <w:ind w:left="360" w:hanging="216"/>
      </w:pPr>
      <w:r>
        <w:t>Describe the 10-, 14-, and 18-week choices without relying on a visible calendar.</w:t>
      </w:r>
    </w:p>
    <w:p>
      <w:pPr>
        <w:pStyle w:val="ListBullet"/>
        <w:spacing w:after="40"/>
        <w:ind w:left="360" w:hanging="216"/>
      </w:pPr>
      <w:r>
        <w:t>When discussing the error log, list the categories slowly enough for note-taking.</w:t>
      </w:r>
    </w:p>
    <w:p>
      <w:pPr>
        <w:pStyle w:val="ListBullet"/>
        <w:spacing w:after="40"/>
        <w:ind w:left="360" w:hanging="216"/>
      </w:pPr>
      <w:r>
        <w:t>Clearly distinguish Form A as diagnostic and Form B as final readiness.</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cantSplit/>
          <w:tblHeader/>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function as the student’s operating manual. After viewing or listening, the student should be able to begin Workbook 1 without needing a teacher to explain the sequence.</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pPr>
      <w:keepNext/>
    </w:pPr>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the 12 Workbooks and Question Banks</dc:title>
  <dc:subject>Shared LMFT &amp; LCSW Multimedia Script 02</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