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Assessment, Intervention, Evaluation, and Follow-Up</w:t>
      </w:r>
    </w:p>
    <w:p>
      <w:pPr>
        <w:jc w:val="center"/>
      </w:pPr>
      <w:r>
        <w:rPr>
          <w:rFonts w:ascii="Aptos Display" w:hAnsi="Aptos Display"/>
          <w:b/>
          <w:color w:val="2AA7D6"/>
          <w:sz w:val="32"/>
        </w:rPr>
        <w:t>Shared LMFT &amp; LCSW Multimedia Script 04</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candidates to identify the stage of clinical work and select the action that fits what is known, what remains unknown, and what has already occurred.</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LMFT and LCSW candidates strengthening scenario-based clinical sequencing.</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9-12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Shared Core Strategy Library in both the LMFT and LCSW programs.</w:t>
            </w:r>
          </w:p>
        </w:tc>
      </w:tr>
      <w:tr>
        <w:tc>
          <w:tcPr>
            <w:tcW w:type="dxa" w:w="2448"/>
            <w:tcMar>
              <w:top w:w="90" w:type="dxa"/>
              <w:start w:w="110" w:type="dxa"/>
              <w:bottom w:w="90" w:type="dxa"/>
              <w:end w:w="110" w:type="dxa"/>
            </w:tcMar>
            <w:vAlign w:val="top"/>
          </w:tcPr>
          <w:p>
            <w:pPr>
              <w:spacing w:after="40"/>
            </w:pPr>
            <w:r>
              <w:rPr>
                <w:color w:val="243B53"/>
                <w:sz w:val="17"/>
              </w:rPr>
              <w:t>Script Use</w:t>
            </w:r>
          </w:p>
        </w:tc>
        <w:tc>
          <w:tcPr>
            <w:tcW w:type="dxa" w:w="8208"/>
            <w:tcMar>
              <w:top w:w="90" w:type="dxa"/>
              <w:start w:w="110" w:type="dxa"/>
              <w:bottom w:w="90" w:type="dxa"/>
              <w:end w:w="110" w:type="dxa"/>
            </w:tcMar>
            <w:vAlign w:val="top"/>
          </w:tcPr>
          <w:p>
            <w:pPr>
              <w:spacing w:after="40"/>
            </w:pPr>
            <w:r>
              <w:rPr>
                <w:color w:val="243B53"/>
                <w:sz w:val="17"/>
              </w:rPr>
              <w:t>The narration below also serves as the caption and transcript source after final recording edits.</w:t>
            </w:r>
          </w:p>
        </w:tc>
      </w:tr>
    </w:tbl>
    <w:p>
      <w:pPr>
        <w:spacing w:after="20"/>
      </w:pPr>
    </w:p>
    <w:p>
      <w:pPr>
        <w:pStyle w:val="Heading1"/>
      </w:pPr>
      <w:r>
        <w:t>Learning Outcomes</w:t>
      </w:r>
    </w:p>
    <w:p>
      <w:pPr>
        <w:pStyle w:val="ListBullet"/>
        <w:spacing w:after="40"/>
        <w:ind w:left="360" w:hanging="216"/>
      </w:pPr>
      <w:r>
        <w:t>Distinguish assessment, planning, intervention, evaluation, and follow-up.</w:t>
      </w:r>
    </w:p>
    <w:p>
      <w:pPr>
        <w:pStyle w:val="ListBullet"/>
        <w:spacing w:after="40"/>
        <w:ind w:left="360" w:hanging="216"/>
      </w:pPr>
      <w:r>
        <w:t>Identify when assessment should precede intervention.</w:t>
      </w:r>
    </w:p>
    <w:p>
      <w:pPr>
        <w:pStyle w:val="ListBullet"/>
        <w:spacing w:after="40"/>
        <w:ind w:left="360" w:hanging="216"/>
      </w:pPr>
      <w:r>
        <w:t>Recognize when urgent facts require action without delay.</w:t>
      </w:r>
    </w:p>
    <w:p>
      <w:pPr>
        <w:pStyle w:val="ListBullet"/>
        <w:spacing w:after="40"/>
        <w:ind w:left="360" w:hanging="216"/>
      </w:pPr>
      <w:r>
        <w:t>Apply a stage-check routine to exam questions.</w:t>
      </w:r>
    </w:p>
    <w:p>
      <w:pPr>
        <w:pStyle w:val="Heading1"/>
      </w:pPr>
      <w:r>
        <w:t>Voice and Presentation Direction</w:t>
      </w:r>
    </w:p>
    <w:p>
      <w:pPr>
        <w:pStyle w:val="ListBullet"/>
        <w:spacing w:after="40"/>
        <w:ind w:left="360" w:hanging="216"/>
      </w:pPr>
      <w:r>
        <w:t>Clear, organized, and clinically practical.</w:t>
      </w:r>
    </w:p>
    <w:p>
      <w:pPr>
        <w:pStyle w:val="ListBullet"/>
        <w:spacing w:after="40"/>
        <w:ind w:left="360" w:hanging="216"/>
      </w:pPr>
      <w:r>
        <w:t>Emphasize sequencing without presenting a rigid formula.</w:t>
      </w:r>
    </w:p>
    <w:p>
      <w:pPr>
        <w:pStyle w:val="ListBullet"/>
        <w:spacing w:after="40"/>
        <w:ind w:left="360" w:hanging="216"/>
      </w:pPr>
      <w:r>
        <w:t>Use examples that apply across LMFT and LCSW practice.</w:t>
      </w:r>
    </w:p>
    <w:p>
      <w:pPr>
        <w:pStyle w:val="ListBullet"/>
        <w:spacing w:after="40"/>
        <w:ind w:left="360" w:hanging="216"/>
      </w:pPr>
      <w:r>
        <w:t>Normalize returning to assessment when new information changes the case.</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Speak naturally and directly to one candidate. Do not read the slide text word for word. Pause briefly after important decision rules and use a calm, confident pace.</w:t>
            </w:r>
          </w:p>
        </w:tc>
      </w:tr>
    </w:tbl>
    <w:p>
      <w:pPr>
        <w:spacing w:after="20"/>
      </w:pPr>
    </w:p>
    <w:p>
      <w:pPr>
        <w:pStyle w:val="Heading1"/>
      </w:pPr>
      <w:r>
        <w:t>Slide-by-Slide Script</w:t>
      </w:r>
    </w:p>
    <w:p>
      <w:pPr>
        <w:pStyle w:val="Heading2"/>
      </w:pPr>
      <w:r>
        <w:t>Slide 1: Clinical Questions Follow a Process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Five-stage pathway: Assess → Plan → Intervene → Evaluate → Follow Up.</w:t>
            </w:r>
          </w:p>
        </w:tc>
        <w:tc>
          <w:tcPr>
            <w:tcW w:type="dxa" w:w="5112"/>
            <w:shd w:fill="DCEFF6"/>
            <w:tcMar>
              <w:top w:w="90" w:type="dxa"/>
              <w:start w:w="110" w:type="dxa"/>
              <w:bottom w:w="90" w:type="dxa"/>
              <w:end w:w="110" w:type="dxa"/>
            </w:tcMar>
            <w:vAlign w:val="top"/>
          </w:tcPr>
          <w:p>
            <w:r>
              <w:rPr>
                <w:color w:val="243B53"/>
                <w:sz w:val="17"/>
              </w:rPr>
              <w:t>Assess → Plan → Intervene → Evaluate → Follow Up</w:t>
            </w:r>
          </w:p>
        </w:tc>
      </w:tr>
    </w:tbl>
    <w:p>
      <w:pPr>
        <w:pStyle w:val="CTALabel"/>
      </w:pPr>
      <w:r>
        <w:t>Narration</w:t>
      </w:r>
    </w:p>
    <w:p>
      <w:pPr>
        <w:pStyle w:val="CTANarration"/>
        <w:ind w:left="259" w:right="173"/>
      </w:pPr>
      <w:r>
        <w:t>Many exam questions become easier when you identify the stage of clinical work. A sound process usually moves from assessment to planning, intervention, evaluation, and follow-up. The correct answer is often the option that fits the stage supported by the facts, not the option that sounds most active or most sophisticated.</w:t>
      </w:r>
    </w:p>
    <w:p>
      <w:pPr>
        <w:pStyle w:val="Heading2"/>
      </w:pPr>
      <w:r>
        <w:t>Slide 2: Assessment Answers: What Is Happening?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Magnifying glass over safety, symptoms, functioning, context, and resources.</w:t>
            </w:r>
          </w:p>
        </w:tc>
        <w:tc>
          <w:tcPr>
            <w:tcW w:type="dxa" w:w="5112"/>
            <w:shd w:fill="DCEFF6"/>
            <w:tcMar>
              <w:top w:w="90" w:type="dxa"/>
              <w:start w:w="110" w:type="dxa"/>
              <w:bottom w:w="90" w:type="dxa"/>
              <w:end w:w="110" w:type="dxa"/>
            </w:tcMar>
            <w:vAlign w:val="top"/>
          </w:tcPr>
          <w:p>
            <w:r>
              <w:rPr>
                <w:color w:val="243B53"/>
                <w:sz w:val="17"/>
              </w:rPr>
              <w:t>Assessment Clarifies</w:t>
              <w:br/>
              <w:t>Safety • Severity • Context • Functioning • Needs</w:t>
            </w:r>
          </w:p>
        </w:tc>
      </w:tr>
    </w:tbl>
    <w:p>
      <w:pPr>
        <w:pStyle w:val="CTALabel"/>
      </w:pPr>
      <w:r>
        <w:t>Narration</w:t>
      </w:r>
    </w:p>
    <w:p>
      <w:pPr>
        <w:pStyle w:val="CTANarration"/>
        <w:ind w:left="259" w:right="173"/>
      </w:pPr>
      <w:r>
        <w:t>Assessment clarifies what is happening. It may involve immediate safety, symptom severity, functional impact, developmental or cultural context, available supports, medical factors, substance use, relationship patterns, or environmental stressors. Assessment is not the same as doing nothing. It is the active process of gathering the information needed to choose an appropriate response.</w:t>
      </w:r>
    </w:p>
    <w:p>
      <w:pPr>
        <w:pStyle w:val="Heading2"/>
      </w:pPr>
      <w:r>
        <w:t>Slide 3: Planning Connects Findings to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Assessment findings flowing into goals, priorities, and selected services.</w:t>
            </w:r>
          </w:p>
        </w:tc>
        <w:tc>
          <w:tcPr>
            <w:tcW w:type="dxa" w:w="5112"/>
            <w:shd w:fill="DCEFF6"/>
            <w:tcMar>
              <w:top w:w="90" w:type="dxa"/>
              <w:start w:w="110" w:type="dxa"/>
              <w:bottom w:w="90" w:type="dxa"/>
              <w:end w:w="110" w:type="dxa"/>
            </w:tcMar>
            <w:vAlign w:val="top"/>
          </w:tcPr>
          <w:p>
            <w:r>
              <w:rPr>
                <w:color w:val="243B53"/>
                <w:sz w:val="17"/>
              </w:rPr>
              <w:t>Planning = Priorities + Goals + Next Actions</w:t>
            </w:r>
          </w:p>
        </w:tc>
      </w:tr>
    </w:tbl>
    <w:p>
      <w:pPr>
        <w:pStyle w:val="CTALabel"/>
      </w:pPr>
      <w:r>
        <w:t>Narration</w:t>
      </w:r>
    </w:p>
    <w:p>
      <w:pPr>
        <w:pStyle w:val="CTANarration"/>
        <w:ind w:left="259" w:right="173"/>
      </w:pPr>
      <w:r>
        <w:t>Planning connects assessment findings to a direction. It identifies priorities, collaborative goals, the level of care, the treatment focus, needed services, and the sequence of next actions. Planning should be based on the information already gathered. If the plan appears before the necessary assessment, it may be premature. If assessment is complete, continuing to gather information may delay needed action.</w:t>
      </w:r>
    </w:p>
    <w:p>
      <w:pPr>
        <w:pStyle w:val="Heading2"/>
      </w:pPr>
      <w:r>
        <w:t>Slide 4: Intervention Changes Something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Intervention icons: safety plan, therapy technique, referral, advocacy, coordination.</w:t>
            </w:r>
          </w:p>
        </w:tc>
        <w:tc>
          <w:tcPr>
            <w:tcW w:type="dxa" w:w="5112"/>
            <w:shd w:fill="DCEFF6"/>
            <w:tcMar>
              <w:top w:w="90" w:type="dxa"/>
              <w:start w:w="110" w:type="dxa"/>
              <w:bottom w:w="90" w:type="dxa"/>
              <w:end w:w="110" w:type="dxa"/>
            </w:tcMar>
            <w:vAlign w:val="top"/>
          </w:tcPr>
          <w:p>
            <w:r>
              <w:rPr>
                <w:color w:val="243B53"/>
                <w:sz w:val="17"/>
              </w:rPr>
              <w:t>Intervention = Action Intended to Produce Change</w:t>
            </w:r>
          </w:p>
        </w:tc>
      </w:tr>
    </w:tbl>
    <w:p>
      <w:pPr>
        <w:pStyle w:val="CTALabel"/>
      </w:pPr>
      <w:r>
        <w:t>Narration</w:t>
      </w:r>
    </w:p>
    <w:p>
      <w:pPr>
        <w:pStyle w:val="CTANarration"/>
        <w:ind w:left="259" w:right="173"/>
      </w:pPr>
      <w:r>
        <w:t>Intervention is the action intended to produce change. It may include a therapeutic technique, a safety response, psychoeducation, referral, case management, advocacy, family or systems work, crisis stabilization, or coordination with another professional. The exam usually expects the intervention to match the assessed problem, the clinician’s role, the client’s needs, and the stage of care.</w:t>
      </w:r>
    </w:p>
    <w:p>
      <w:pPr>
        <w:pStyle w:val="Heading2"/>
      </w:pPr>
      <w:r>
        <w:t>Slide 5: Evaluation Asks Whether the Plan Is Working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Progress graph with goals, symptoms, functioning, and client feedback.</w:t>
            </w:r>
          </w:p>
        </w:tc>
        <w:tc>
          <w:tcPr>
            <w:tcW w:type="dxa" w:w="5112"/>
            <w:shd w:fill="DCEFF6"/>
            <w:tcMar>
              <w:top w:w="90" w:type="dxa"/>
              <w:start w:w="110" w:type="dxa"/>
              <w:bottom w:w="90" w:type="dxa"/>
              <w:end w:w="110" w:type="dxa"/>
            </w:tcMar>
            <w:vAlign w:val="top"/>
          </w:tcPr>
          <w:p>
            <w:r>
              <w:rPr>
                <w:color w:val="243B53"/>
                <w:sz w:val="17"/>
              </w:rPr>
              <w:t>Evaluation Reviews</w:t>
              <w:br/>
              <w:t>Progress • Outcomes • Barriers • Fit</w:t>
            </w:r>
          </w:p>
        </w:tc>
      </w:tr>
    </w:tbl>
    <w:p>
      <w:pPr>
        <w:pStyle w:val="CTALabel"/>
      </w:pPr>
      <w:r>
        <w:t>Narration</w:t>
      </w:r>
    </w:p>
    <w:p>
      <w:pPr>
        <w:pStyle w:val="CTANarration"/>
        <w:ind w:left="259" w:right="173"/>
      </w:pPr>
      <w:r>
        <w:t>Evaluation asks whether the plan is working. The clinician reviews progress toward goals, symptom change, functioning, client feedback, adherence, barriers, risk changes, and the fit of the intervention. Evaluation is not reserved for the end of treatment. It occurs throughout care and helps determine whether to continue, modify, intensify, or step down the plan.</w:t>
      </w:r>
    </w:p>
    <w:p>
      <w:pPr>
        <w:pStyle w:val="Heading2"/>
      </w:pPr>
      <w:r>
        <w:t>Slide 6: Follow-Up Maintains Continuity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45-55 seconds</w:t>
            </w:r>
          </w:p>
        </w:tc>
        <w:tc>
          <w:tcPr>
            <w:tcW w:type="dxa" w:w="3528"/>
            <w:shd w:fill="F3F8FA"/>
            <w:tcMar>
              <w:top w:w="90" w:type="dxa"/>
              <w:start w:w="110" w:type="dxa"/>
              <w:bottom w:w="90" w:type="dxa"/>
              <w:end w:w="110" w:type="dxa"/>
            </w:tcMar>
            <w:vAlign w:val="top"/>
          </w:tcPr>
          <w:p>
            <w:r>
              <w:rPr>
                <w:color w:val="243B53"/>
                <w:sz w:val="17"/>
              </w:rPr>
              <w:t>Calendar, referral loop, and continuity arrow.</w:t>
            </w:r>
          </w:p>
        </w:tc>
        <w:tc>
          <w:tcPr>
            <w:tcW w:type="dxa" w:w="5112"/>
            <w:shd w:fill="DCEFF6"/>
            <w:tcMar>
              <w:top w:w="90" w:type="dxa"/>
              <w:start w:w="110" w:type="dxa"/>
              <w:bottom w:w="90" w:type="dxa"/>
              <w:end w:w="110" w:type="dxa"/>
            </w:tcMar>
            <w:vAlign w:val="top"/>
          </w:tcPr>
          <w:p>
            <w:r>
              <w:rPr>
                <w:color w:val="243B53"/>
                <w:sz w:val="17"/>
              </w:rPr>
              <w:t>Follow-Up = Reassessment + Continuity + Next Check</w:t>
            </w:r>
          </w:p>
        </w:tc>
      </w:tr>
    </w:tbl>
    <w:p>
      <w:pPr>
        <w:pStyle w:val="CTALabel"/>
      </w:pPr>
      <w:r>
        <w:t>Narration</w:t>
      </w:r>
    </w:p>
    <w:p>
      <w:pPr>
        <w:pStyle w:val="CTANarration"/>
        <w:ind w:left="259" w:right="173"/>
      </w:pPr>
      <w:r>
        <w:t>Follow-up maintains continuity after an action has been taken. It may include reassessing safety, checking whether a referral was accessed, reviewing the effect of a treatment change, coordinating the next appointment, or confirming that the client understands the plan. A strong answer often includes an appropriate next check rather than treating one action as the end of the process.</w:t>
      </w:r>
    </w:p>
    <w:p>
      <w:pPr>
        <w:pStyle w:val="Heading2"/>
      </w:pPr>
      <w:r>
        <w:t>Slide 7: When Assessment Should Come First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Question mark over missing information, followed by a decision point.</w:t>
            </w:r>
          </w:p>
        </w:tc>
        <w:tc>
          <w:tcPr>
            <w:tcW w:type="dxa" w:w="5112"/>
            <w:shd w:fill="DCEFF6"/>
            <w:tcMar>
              <w:top w:w="90" w:type="dxa"/>
              <w:start w:w="110" w:type="dxa"/>
              <w:bottom w:w="90" w:type="dxa"/>
              <w:end w:w="110" w:type="dxa"/>
            </w:tcMar>
            <w:vAlign w:val="top"/>
          </w:tcPr>
          <w:p>
            <w:r>
              <w:rPr>
                <w:color w:val="243B53"/>
                <w:sz w:val="17"/>
              </w:rPr>
              <w:t>Assess First When Key Information Is Missing</w:t>
            </w:r>
          </w:p>
        </w:tc>
      </w:tr>
    </w:tbl>
    <w:p>
      <w:pPr>
        <w:pStyle w:val="CTALabel"/>
      </w:pPr>
      <w:r>
        <w:t>Narration</w:t>
      </w:r>
    </w:p>
    <w:p>
      <w:pPr>
        <w:pStyle w:val="CTANarration"/>
        <w:ind w:left="259" w:right="173"/>
      </w:pPr>
      <w:r>
        <w:t>Assessment should usually come first when the question does not provide enough information to determine safety, severity, cause, level of care, or the client’s goals. For example, if a client reports worsening symptoms but the stem does not describe onset, triggers, functioning, medication changes, substance use, or risk, selecting a major intervention may be premature. First clarify the information that would change the decision.</w:t>
      </w:r>
    </w:p>
    <w:p>
      <w:pPr>
        <w:pStyle w:val="Heading2"/>
      </w:pPr>
      <w:r>
        <w:t>Slide 8: When Action Should Not Wait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65-75 seconds</w:t>
            </w:r>
          </w:p>
        </w:tc>
        <w:tc>
          <w:tcPr>
            <w:tcW w:type="dxa" w:w="3528"/>
            <w:shd w:fill="F3F8FA"/>
            <w:tcMar>
              <w:top w:w="90" w:type="dxa"/>
              <w:start w:w="110" w:type="dxa"/>
              <w:bottom w:w="90" w:type="dxa"/>
              <w:end w:w="110" w:type="dxa"/>
            </w:tcMar>
            <w:vAlign w:val="top"/>
          </w:tcPr>
          <w:p>
            <w:r>
              <w:rPr>
                <w:color w:val="243B53"/>
                <w:sz w:val="17"/>
              </w:rPr>
              <w:t>Red urgency marker interrupting the assessment pathway.</w:t>
            </w:r>
          </w:p>
        </w:tc>
        <w:tc>
          <w:tcPr>
            <w:tcW w:type="dxa" w:w="5112"/>
            <w:shd w:fill="DCEFF6"/>
            <w:tcMar>
              <w:top w:w="90" w:type="dxa"/>
              <w:start w:w="110" w:type="dxa"/>
              <w:bottom w:w="90" w:type="dxa"/>
              <w:end w:w="110" w:type="dxa"/>
            </w:tcMar>
            <w:vAlign w:val="top"/>
          </w:tcPr>
          <w:p>
            <w:r>
              <w:rPr>
                <w:color w:val="243B53"/>
                <w:sz w:val="17"/>
              </w:rPr>
              <w:t>Immediate Danger or Mandatory Duty Can Change the Sequence</w:t>
            </w:r>
          </w:p>
        </w:tc>
      </w:tr>
    </w:tbl>
    <w:p>
      <w:pPr>
        <w:pStyle w:val="CTALabel"/>
      </w:pPr>
      <w:r>
        <w:t>Narration</w:t>
      </w:r>
    </w:p>
    <w:p>
      <w:pPr>
        <w:pStyle w:val="CTANarration"/>
        <w:ind w:left="259" w:right="173"/>
      </w:pPr>
      <w:r>
        <w:t>Assessment is not an excuse to delay when the facts already show immediate danger or a required protective action. If the scenario establishes imminent risk, a medical emergency, abuse that triggers reporting, or another mandatory duty, the next step may be direct action. The exam rewards appropriate sequencing, not automatic information gathering in every situation.</w:t>
      </w:r>
    </w:p>
    <w:p>
      <w:pPr>
        <w:pStyle w:val="Heading2"/>
      </w:pPr>
      <w:r>
        <w:t>Slide 9: Example: Symptoms Worsen After a Change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70-80 seconds</w:t>
            </w:r>
          </w:p>
        </w:tc>
        <w:tc>
          <w:tcPr>
            <w:tcW w:type="dxa" w:w="3528"/>
            <w:shd w:fill="F3F8FA"/>
            <w:tcMar>
              <w:top w:w="90" w:type="dxa"/>
              <w:start w:w="110" w:type="dxa"/>
              <w:bottom w:w="90" w:type="dxa"/>
              <w:end w:w="110" w:type="dxa"/>
            </w:tcMar>
            <w:vAlign w:val="top"/>
          </w:tcPr>
          <w:p>
            <w:r>
              <w:rPr>
                <w:color w:val="243B53"/>
                <w:sz w:val="17"/>
              </w:rPr>
              <w:t>Client reports worsening anxiety after a medication change; assessment questions highlighted.</w:t>
            </w:r>
          </w:p>
        </w:tc>
        <w:tc>
          <w:tcPr>
            <w:tcW w:type="dxa" w:w="5112"/>
            <w:shd w:fill="DCEFF6"/>
            <w:tcMar>
              <w:top w:w="90" w:type="dxa"/>
              <w:start w:w="110" w:type="dxa"/>
              <w:bottom w:w="90" w:type="dxa"/>
              <w:end w:w="110" w:type="dxa"/>
            </w:tcMar>
            <w:vAlign w:val="top"/>
          </w:tcPr>
          <w:p>
            <w:r>
              <w:rPr>
                <w:color w:val="243B53"/>
                <w:sz w:val="17"/>
              </w:rPr>
              <w:t>What Changed? When? How Severe? Any Safety Concern?</w:t>
            </w:r>
          </w:p>
        </w:tc>
      </w:tr>
    </w:tbl>
    <w:p>
      <w:pPr>
        <w:pStyle w:val="CTALabel"/>
      </w:pPr>
      <w:r>
        <w:t>Narration</w:t>
      </w:r>
    </w:p>
    <w:p>
      <w:pPr>
        <w:pStyle w:val="CTANarration"/>
        <w:ind w:left="259" w:right="173"/>
      </w:pPr>
      <w:r>
        <w:t>Consider a client who reports sharply worsening anxiety after a recent medication change. The clinician may eventually coordinate with the prescriber, modify the therapy plan, teach coping skills, or recommend a higher level of care. But first, the clinician needs to clarify timing, severity, functional impact, physical symptoms, medication adherence, and safety. Those findings determine which intervention is appropriate and how urgently it is needed.</w:t>
      </w:r>
    </w:p>
    <w:p>
      <w:pPr>
        <w:pStyle w:val="Heading2"/>
      </w:pPr>
      <w:r>
        <w:t>Slide 10: Example: The Current Approach Is Not Helping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70-80 seconds</w:t>
            </w:r>
          </w:p>
        </w:tc>
        <w:tc>
          <w:tcPr>
            <w:tcW w:type="dxa" w:w="3528"/>
            <w:shd w:fill="F3F8FA"/>
            <w:tcMar>
              <w:top w:w="90" w:type="dxa"/>
              <w:start w:w="110" w:type="dxa"/>
              <w:bottom w:w="90" w:type="dxa"/>
              <w:end w:w="110" w:type="dxa"/>
            </w:tcMar>
            <w:vAlign w:val="top"/>
          </w:tcPr>
          <w:p>
            <w:r>
              <w:rPr>
                <w:color w:val="243B53"/>
                <w:sz w:val="17"/>
              </w:rPr>
              <w:t>Client feedback leads to evaluation, then plan modification.</w:t>
            </w:r>
          </w:p>
        </w:tc>
        <w:tc>
          <w:tcPr>
            <w:tcW w:type="dxa" w:w="5112"/>
            <w:shd w:fill="DCEFF6"/>
            <w:tcMar>
              <w:top w:w="90" w:type="dxa"/>
              <w:start w:w="110" w:type="dxa"/>
              <w:bottom w:w="90" w:type="dxa"/>
              <w:end w:w="110" w:type="dxa"/>
            </w:tcMar>
            <w:vAlign w:val="top"/>
          </w:tcPr>
          <w:p>
            <w:r>
              <w:rPr>
                <w:color w:val="243B53"/>
                <w:sz w:val="17"/>
              </w:rPr>
              <w:t>Client Feedback → Evaluate Fit → Revise Collaboratively</w:t>
            </w:r>
          </w:p>
        </w:tc>
      </w:tr>
    </w:tbl>
    <w:p>
      <w:pPr>
        <w:pStyle w:val="CTALabel"/>
      </w:pPr>
      <w:r>
        <w:t>Narration</w:t>
      </w:r>
    </w:p>
    <w:p>
      <w:pPr>
        <w:pStyle w:val="CTANarration"/>
        <w:ind w:left="259" w:right="173"/>
      </w:pPr>
      <w:r>
        <w:t>Now consider a client who says the current approach is not helping. The clinician does not need to begin the entire intake again, and immediately terminating or referring may be too extreme. This is an evaluation stage. Explore the client’s experience, review goals and progress, identify barriers, and collaboratively decide whether the plan should be modified. The stage changes the best answer.</w:t>
      </w:r>
    </w:p>
    <w:p>
      <w:pPr>
        <w:pStyle w:val="Heading2"/>
      </w:pPr>
      <w:r>
        <w:t>Slide 11: Common Stage Errors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60-70 seconds</w:t>
            </w:r>
          </w:p>
        </w:tc>
        <w:tc>
          <w:tcPr>
            <w:tcW w:type="dxa" w:w="3528"/>
            <w:shd w:fill="F3F8FA"/>
            <w:tcMar>
              <w:top w:w="90" w:type="dxa"/>
              <w:start w:w="110" w:type="dxa"/>
              <w:bottom w:w="90" w:type="dxa"/>
              <w:end w:w="110" w:type="dxa"/>
            </w:tcMar>
            <w:vAlign w:val="top"/>
          </w:tcPr>
          <w:p>
            <w:r>
              <w:rPr>
                <w:color w:val="243B53"/>
                <w:sz w:val="17"/>
              </w:rPr>
              <w:t>Four error cards: intervene too soon, assess forever, evaluate before action, skip follow-up.</w:t>
            </w:r>
          </w:p>
        </w:tc>
        <w:tc>
          <w:tcPr>
            <w:tcW w:type="dxa" w:w="5112"/>
            <w:shd w:fill="DCEFF6"/>
            <w:tcMar>
              <w:top w:w="90" w:type="dxa"/>
              <w:start w:w="110" w:type="dxa"/>
              <w:bottom w:w="90" w:type="dxa"/>
              <w:end w:w="110" w:type="dxa"/>
            </w:tcMar>
            <w:vAlign w:val="top"/>
          </w:tcPr>
          <w:p>
            <w:r>
              <w:rPr>
                <w:color w:val="243B53"/>
                <w:sz w:val="17"/>
              </w:rPr>
              <w:t>Common Errors</w:t>
              <w:br/>
              <w:t>Act Too Soon • Assess Too Long • Evaluate Too Early • Skip Follow-Up</w:t>
            </w:r>
          </w:p>
        </w:tc>
      </w:tr>
    </w:tbl>
    <w:p>
      <w:pPr>
        <w:pStyle w:val="CTALabel"/>
      </w:pPr>
      <w:r>
        <w:t>Narration</w:t>
      </w:r>
    </w:p>
    <w:p>
      <w:pPr>
        <w:pStyle w:val="CTANarration"/>
        <w:ind w:left="259" w:right="173"/>
      </w:pPr>
      <w:r>
        <w:t>Watch for four common stage errors. First, intervening before enough information is available. Second, continuing to assess after the necessary information is already present. Third, evaluating an intervention that has not yet been implemented. Fourth, taking action without arranging follow-up. These errors often appear as plausible distractors because each option describes something that could be useful at a different time.</w:t>
      </w:r>
    </w:p>
    <w:p>
      <w:pPr>
        <w:pStyle w:val="Heading2"/>
      </w:pPr>
      <w:r>
        <w:t>Slide 12: Use the Stage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55-65 seconds</w:t>
            </w:r>
          </w:p>
        </w:tc>
        <w:tc>
          <w:tcPr>
            <w:tcW w:type="dxa" w:w="3528"/>
            <w:shd w:fill="F3F8FA"/>
            <w:tcMar>
              <w:top w:w="90" w:type="dxa"/>
              <w:start w:w="110" w:type="dxa"/>
              <w:bottom w:w="90" w:type="dxa"/>
              <w:end w:w="110" w:type="dxa"/>
            </w:tcMar>
            <w:vAlign w:val="top"/>
          </w:tcPr>
          <w:p>
            <w:r>
              <w:rPr>
                <w:color w:val="243B53"/>
                <w:sz w:val="17"/>
              </w:rPr>
              <w:t>Checklist: What is known? What is missing? What has happened? What comes next?</w:t>
            </w:r>
          </w:p>
        </w:tc>
        <w:tc>
          <w:tcPr>
            <w:tcW w:type="dxa" w:w="5112"/>
            <w:shd w:fill="DCEFF6"/>
            <w:tcMar>
              <w:top w:w="90" w:type="dxa"/>
              <w:start w:w="110" w:type="dxa"/>
              <w:bottom w:w="90" w:type="dxa"/>
              <w:end w:w="110" w:type="dxa"/>
            </w:tcMar>
            <w:vAlign w:val="top"/>
          </w:tcPr>
          <w:p>
            <w:r>
              <w:rPr>
                <w:color w:val="243B53"/>
                <w:sz w:val="17"/>
              </w:rPr>
              <w:t>Stage Check</w:t>
              <w:br/>
              <w:t>Known • Missing • Completed • Next</w:t>
            </w:r>
          </w:p>
        </w:tc>
      </w:tr>
    </w:tbl>
    <w:p>
      <w:pPr>
        <w:pStyle w:val="CTALabel"/>
      </w:pPr>
      <w:r>
        <w:t>Narration</w:t>
      </w:r>
    </w:p>
    <w:p>
      <w:pPr>
        <w:pStyle w:val="CTANarration"/>
        <w:ind w:left="259" w:right="173"/>
      </w:pPr>
      <w:r>
        <w:t>Use this stage check. What information is already known? What essential information is still missing? What action has already been completed? What stage logically comes next? Then choose the option that matches the answer to those questions. This routine keeps you from selecting an answer based only on clinical importance.</w:t>
      </w:r>
    </w:p>
    <w:p>
      <w:pPr>
        <w:pStyle w:val="Heading2"/>
      </w:pPr>
      <w:r>
        <w:t>Slide 13: The Process Is Flexible, Not Mechanical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50-60 seconds</w:t>
            </w:r>
          </w:p>
        </w:tc>
        <w:tc>
          <w:tcPr>
            <w:tcW w:type="dxa" w:w="3528"/>
            <w:shd w:fill="F3F8FA"/>
            <w:tcMar>
              <w:top w:w="90" w:type="dxa"/>
              <w:start w:w="110" w:type="dxa"/>
              <w:bottom w:w="90" w:type="dxa"/>
              <w:end w:w="110" w:type="dxa"/>
            </w:tcMar>
            <w:vAlign w:val="top"/>
          </w:tcPr>
          <w:p>
            <w:r>
              <w:rPr>
                <w:color w:val="243B53"/>
                <w:sz w:val="17"/>
              </w:rPr>
              <w:t>Flexible loop among stages with clinical judgment at the center.</w:t>
            </w:r>
          </w:p>
        </w:tc>
        <w:tc>
          <w:tcPr>
            <w:tcW w:type="dxa" w:w="5112"/>
            <w:shd w:fill="DCEFF6"/>
            <w:tcMar>
              <w:top w:w="90" w:type="dxa"/>
              <w:start w:w="110" w:type="dxa"/>
              <w:bottom w:w="90" w:type="dxa"/>
              <w:end w:w="110" w:type="dxa"/>
            </w:tcMar>
            <w:vAlign w:val="top"/>
          </w:tcPr>
          <w:p>
            <w:r>
              <w:rPr>
                <w:color w:val="243B53"/>
                <w:sz w:val="17"/>
              </w:rPr>
              <w:t>Clinical Judgment Guides the Sequence</w:t>
            </w:r>
          </w:p>
        </w:tc>
      </w:tr>
    </w:tbl>
    <w:p>
      <w:pPr>
        <w:pStyle w:val="CTALabel"/>
      </w:pPr>
      <w:r>
        <w:t>Narration</w:t>
      </w:r>
    </w:p>
    <w:p>
      <w:pPr>
        <w:pStyle w:val="CTANarration"/>
        <w:ind w:left="259" w:right="173"/>
      </w:pPr>
      <w:r>
        <w:t>The stages are a guide, not a rigid formula. Clinical work may move back to assessment when risk changes, return to planning when barriers emerge, or combine intervention and evaluation within one session. The exam still expects you to recognize what the facts require at that moment. Use the process to organize judgment, not replace it.</w:t>
      </w:r>
    </w:p>
    <w:p>
      <w:pPr>
        <w:pStyle w:val="Heading2"/>
      </w:pPr>
      <w:r>
        <w:t>Slide 14: Your Next Step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trPr>
        <w:tc>
          <w:tcPr>
            <w:tcW w:type="dxa" w:w="1440"/>
            <w:shd w:fill="17365D"/>
            <w:tcMar>
              <w:top w:w="90" w:type="dxa"/>
              <w:start w:w="110" w:type="dxa"/>
              <w:bottom w:w="90" w:type="dxa"/>
              <w:end w:w="110" w:type="dxa"/>
            </w:tcMar>
          </w:tcPr>
          <w:p>
            <w:pPr>
              <w:jc w:val="center"/>
            </w:pPr>
            <w:r>
              <w:rPr>
                <w:b/>
                <w:color w:val="FFFFFF"/>
                <w:sz w:val="17"/>
              </w:rPr>
              <w:t>Estimated Time</w:t>
            </w:r>
          </w:p>
        </w:tc>
        <w:tc>
          <w:tcPr>
            <w:tcW w:type="dxa" w:w="3528"/>
            <w:shd w:fill="17365D"/>
            <w:tcMar>
              <w:top w:w="90" w:type="dxa"/>
              <w:start w:w="110" w:type="dxa"/>
              <w:bottom w:w="90" w:type="dxa"/>
              <w:end w:w="110" w:type="dxa"/>
            </w:tcMar>
          </w:tcPr>
          <w:p>
            <w:pPr>
              <w:jc w:val="center"/>
            </w:pPr>
            <w:r>
              <w:rPr>
                <w:b/>
                <w:color w:val="FFFFFF"/>
                <w:sz w:val="17"/>
              </w:rPr>
              <w:t>Visual Direction</w:t>
            </w:r>
          </w:p>
        </w:tc>
        <w:tc>
          <w:tcPr>
            <w:tcW w:type="dxa" w:w="5112"/>
            <w:shd w:fill="17365D"/>
            <w:tcMar>
              <w:top w:w="90" w:type="dxa"/>
              <w:start w:w="110" w:type="dxa"/>
              <w:bottom w:w="90" w:type="dxa"/>
              <w:end w:w="110" w:type="dxa"/>
            </w:tcMar>
          </w:tcPr>
          <w:p>
            <w:pPr>
              <w:jc w:val="center"/>
            </w:pPr>
            <w:r>
              <w:rPr>
                <w:b/>
                <w:color w:val="FFFFFF"/>
                <w:sz w:val="17"/>
              </w:rPr>
              <w:t>On-Screen Text</w:t>
            </w:r>
          </w:p>
        </w:tc>
      </w:tr>
      <w:tr>
        <w:tc>
          <w:tcPr>
            <w:tcW w:type="dxa" w:w="1440"/>
            <w:shd w:fill="F3F8FA"/>
            <w:tcMar>
              <w:top w:w="90" w:type="dxa"/>
              <w:start w:w="110" w:type="dxa"/>
              <w:bottom w:w="90" w:type="dxa"/>
              <w:end w:w="110" w:type="dxa"/>
            </w:tcMar>
            <w:vAlign w:val="top"/>
          </w:tcPr>
          <w:p>
            <w:r>
              <w:rPr>
                <w:color w:val="243B53"/>
                <w:sz w:val="17"/>
              </w:rPr>
              <w:t>25-35 seconds</w:t>
            </w:r>
          </w:p>
        </w:tc>
        <w:tc>
          <w:tcPr>
            <w:tcW w:type="dxa" w:w="3528"/>
            <w:shd w:fill="F3F8FA"/>
            <w:tcMar>
              <w:top w:w="90" w:type="dxa"/>
              <w:start w:w="110" w:type="dxa"/>
              <w:bottom w:w="90" w:type="dxa"/>
              <w:end w:w="110" w:type="dxa"/>
            </w:tcMar>
            <w:vAlign w:val="top"/>
          </w:tcPr>
          <w:p>
            <w:r>
              <w:rPr>
                <w:color w:val="243B53"/>
                <w:sz w:val="17"/>
              </w:rPr>
              <w:t>Practice item with stage labels beside the answer choices.</w:t>
            </w:r>
          </w:p>
        </w:tc>
        <w:tc>
          <w:tcPr>
            <w:tcW w:type="dxa" w:w="5112"/>
            <w:shd w:fill="DCEFF6"/>
            <w:tcMar>
              <w:top w:w="90" w:type="dxa"/>
              <w:start w:w="110" w:type="dxa"/>
              <w:bottom w:w="90" w:type="dxa"/>
              <w:end w:w="110" w:type="dxa"/>
            </w:tcMar>
            <w:vAlign w:val="top"/>
          </w:tcPr>
          <w:p>
            <w:r>
              <w:rPr>
                <w:color w:val="243B53"/>
                <w:sz w:val="17"/>
              </w:rPr>
              <w:t>Next: Label the Stage Before Choosing an Answer</w:t>
            </w:r>
          </w:p>
        </w:tc>
      </w:tr>
    </w:tbl>
    <w:p>
      <w:pPr>
        <w:pStyle w:val="CTALabel"/>
      </w:pPr>
      <w:r>
        <w:t>Narration</w:t>
      </w:r>
    </w:p>
    <w:p>
      <w:pPr>
        <w:pStyle w:val="CTANarration"/>
        <w:ind w:left="259" w:right="173"/>
      </w:pPr>
      <w:r>
        <w:t>During your next question bank, label the stage before choosing an answer. Ask whether the question is testing assessment, planning, intervention, evaluation, or follow-up. Record any stage error in your CTA error log. The more often you identify the stage deliberately, the faster the sequence will become under exam conditions.</w:t>
      </w:r>
    </w:p>
    <w:p>
      <w:pPr>
        <w:pStyle w:val="Heading1"/>
      </w:pPr>
      <w:r>
        <w:t>Audio-Only Adaptation Notes</w:t>
      </w:r>
    </w:p>
    <w:p>
      <w:pPr>
        <w:pStyle w:val="ListBullet"/>
        <w:spacing w:after="40"/>
        <w:ind w:left="360" w:hanging="216"/>
      </w:pPr>
      <w:r>
        <w:t>Name each stage aloud whenever the visual pathway appears.</w:t>
      </w:r>
    </w:p>
    <w:p>
      <w:pPr>
        <w:pStyle w:val="ListBullet"/>
        <w:spacing w:after="40"/>
        <w:ind w:left="360" w:hanging="216"/>
      </w:pPr>
      <w:r>
        <w:t>Describe urgent exceptions explicitly so audio listeners do not hear “always assess first.”</w:t>
      </w:r>
    </w:p>
    <w:p>
      <w:pPr>
        <w:pStyle w:val="ListBullet"/>
        <w:spacing w:after="40"/>
        <w:ind w:left="360" w:hanging="216"/>
      </w:pPr>
      <w:r>
        <w:t>Pause after the four stage-check questions near the end.</w:t>
      </w:r>
    </w:p>
    <w:p>
      <w:pPr>
        <w:pStyle w:val="ListBullet"/>
        <w:spacing w:after="40"/>
        <w:ind w:left="360" w:hanging="216"/>
      </w:pPr>
      <w:r>
        <w:t>End by directing the student to label the stage in the next question bank.</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become a recurring reference throughout both programs. It should teach a flexible clinical sequence while preserving the importance of safety, legal duties, and professional judgment.</w:t>
            </w:r>
          </w:p>
        </w:tc>
      </w:tr>
    </w:tbl>
    <w:p>
      <w:pPr>
        <w:spacing w:after="20"/>
      </w:pPr>
    </w:p>
    <w:p>
      <w:pPr>
        <w:pStyle w:val="CTASmall"/>
        <w:jc w:val="center"/>
      </w:pPr>
      <w:r>
        <w:t>Educational exam-preparation content. CTA does not guarantee passage of a licensing examination.</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Shared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Intervention, Evaluation, and Follow-Up</dc:title>
  <dc:subject>Shared LMFT &amp; LCSW Multimedia Script 04</dc:subject>
  <dc:creator>Clinical Training Academy</dc:creator>
  <cp:keywords/>
  <dc:description>Version 1.0, July 2026</dc:description>
  <cp:lastModifiedBy/>
  <cp:revision>1</cp:revision>
  <dcterms:created xsi:type="dcterms:W3CDTF">2013-12-23T23:15:00Z</dcterms:created>
  <dcterms:modified xsi:type="dcterms:W3CDTF">2013-12-23T23:15:00Z</dcterms:modified>
  <cp:category/>
</cp:coreProperties>
</file>