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How to Take Forms A and B Under Simulated Conditions</w:t>
      </w:r>
    </w:p>
    <w:p>
      <w:pPr>
        <w:jc w:val="center"/>
      </w:pPr>
      <w:r>
        <w:rPr>
          <w:rFonts w:ascii="Aptos Display" w:hAnsi="Aptos Display"/>
          <w:b/>
          <w:color w:val="2AA7D6"/>
          <w:sz w:val="32"/>
        </w:rPr>
        <w:t>Shared LMFT &amp; LCSW Multimedia Script 07</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Protect the diagnostic value of the two comprehensive simulations by teaching preparation, timing discipline, controlled feedback, remediation, and appropriate interpretation.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Students who have completed or are approaching the end of the 12-workbook curriculum.</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9-12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Explain the distinct purposes of Form A and Form B.</w:t>
      </w:r>
    </w:p>
    <w:p>
      <w:pPr>
        <w:pStyle w:val="ListBullet"/>
        <w:spacing w:after="40"/>
        <w:ind w:left="360" w:hanging="216"/>
      </w:pPr>
      <w:r>
        <w:t>Prepare a realistic simulation environment and timing plan.</w:t>
      </w:r>
    </w:p>
    <w:p>
      <w:pPr>
        <w:pStyle w:val="ListBullet"/>
        <w:spacing w:after="40"/>
        <w:ind w:left="360" w:hanging="216"/>
      </w:pPr>
      <w:r>
        <w:t>Review Form A through performance patterns and item-level rationales.</w:t>
      </w:r>
    </w:p>
    <w:p>
      <w:pPr>
        <w:pStyle w:val="ListBullet"/>
        <w:spacing w:after="40"/>
        <w:ind w:left="360" w:hanging="216"/>
      </w:pPr>
      <w:r>
        <w:t>Complete targeted remediation before using Form B as a final readiness check.</w:t>
      </w:r>
    </w:p>
    <w:p>
      <w:pPr>
        <w:pStyle w:val="Heading1"/>
      </w:pPr>
      <w:r>
        <w:t>Voice and Presentation Direction</w:t>
      </w:r>
    </w:p>
    <w:p>
      <w:pPr>
        <w:pStyle w:val="ListBullet"/>
        <w:spacing w:after="40"/>
        <w:ind w:left="360" w:hanging="216"/>
      </w:pPr>
      <w:r>
        <w:t>Calm, procedural, and reassuring.</w:t>
      </w:r>
    </w:p>
    <w:p>
      <w:pPr>
        <w:pStyle w:val="ListBullet"/>
        <w:spacing w:after="40"/>
        <w:ind w:left="360" w:hanging="216"/>
      </w:pPr>
      <w:r>
        <w:t>Protect the forms without making students fearful of taking them.</w:t>
      </w:r>
    </w:p>
    <w:p>
      <w:pPr>
        <w:pStyle w:val="ListBullet"/>
        <w:spacing w:after="40"/>
        <w:ind w:left="360" w:hanging="216"/>
      </w:pPr>
      <w:r>
        <w:t>Avoid presenting a CTA score as a guaranteed predictor of official exam passage.</w:t>
      </w:r>
    </w:p>
    <w:p>
      <w:pPr>
        <w:pStyle w:val="ListBullet"/>
        <w:spacing w:after="40"/>
        <w:ind w:left="360" w:hanging="216"/>
      </w:pPr>
      <w:r>
        <w:t>Emphasize learning from timing, stamina, and error patterns as well as content areas.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Forms A and B Have Different Jobs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30-40 seconds</w:t>
            </w:r>
          </w:p>
        </w:tc>
        <w:tc>
          <w:tcPr>
            <w:tcW w:type="dxa" w:w="3528"/>
            <w:shd w:fill="F3F8FA"/>
            <w:tcMar>
              <w:top w:w="90" w:type="dxa"/>
              <w:start w:w="110" w:type="dxa"/>
              <w:bottom w:w="90" w:type="dxa"/>
              <w:end w:w="110" w:type="dxa"/>
            </w:tcMar>
            <w:vAlign w:val="top"/>
          </w:tcPr>
          <w:p>
            <w:r>
              <w:rPr>
                <w:color w:val="243B53"/>
                <w:sz w:val="17"/>
              </w:rPr>
              <w:t>Form A labeled Diagnostic; Form B labeled Final Readiness.</w:t>
            </w:r>
          </w:p>
        </w:tc>
        <w:tc>
          <w:tcPr>
            <w:tcW w:type="dxa" w:w="5112"/>
            <w:shd w:fill="DCEFF6"/>
            <w:tcMar>
              <w:top w:w="90" w:type="dxa"/>
              <w:start w:w="110" w:type="dxa"/>
              <w:bottom w:w="90" w:type="dxa"/>
              <w:end w:w="110" w:type="dxa"/>
            </w:tcMar>
            <w:vAlign w:val="top"/>
          </w:tcPr>
          <w:p>
            <w:r>
              <w:rPr>
                <w:color w:val="243B53"/>
                <w:sz w:val="17"/>
              </w:rPr>
              <w:t>Form A = Diagnose Gaps</w:t>
              <w:br/>
              <w:t>Form B = Final Readiness Check</w:t>
            </w:r>
          </w:p>
        </w:tc>
      </w:tr>
    </w:tbl>
    <w:p>
      <w:pPr>
        <w:pStyle w:val="CTALabel"/>
      </w:pPr>
      <w:r>
        <w:t>Narration</w:t>
      </w:r>
    </w:p>
    <w:p>
      <w:pPr>
        <w:pStyle w:val="CTANarration"/>
        <w:ind w:left="259" w:right="173"/>
      </w:pPr>
      <w:r>
        <w:t>Forms A and B are not two interchangeable practice sets. Form A is your diagnostic simulation after the twelve-workbook curriculum. Form B is your final readiness check after targeted remediation. Protecting those roles makes the results more useful.</w:t>
      </w:r>
    </w:p>
    <w:p>
      <w:pPr>
        <w:pStyle w:val="Heading2"/>
      </w:pPr>
      <w:r>
        <w:t>Slide 2: Do Not Take Form A Too Early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Twelve completed workbook checkmarks before the Form A gate.</w:t>
            </w:r>
          </w:p>
        </w:tc>
        <w:tc>
          <w:tcPr>
            <w:tcW w:type="dxa" w:w="5112"/>
            <w:shd w:fill="DCEFF6"/>
            <w:tcMar>
              <w:top w:w="90" w:type="dxa"/>
              <w:start w:w="110" w:type="dxa"/>
              <w:bottom w:w="90" w:type="dxa"/>
              <w:end w:w="110" w:type="dxa"/>
            </w:tcMar>
            <w:vAlign w:val="top"/>
          </w:tcPr>
          <w:p>
            <w:r>
              <w:rPr>
                <w:color w:val="243B53"/>
                <w:sz w:val="17"/>
              </w:rPr>
              <w:t>Complete the Curriculum Before Form A</w:t>
            </w:r>
          </w:p>
        </w:tc>
      </w:tr>
    </w:tbl>
    <w:p>
      <w:pPr>
        <w:pStyle w:val="CTALabel"/>
      </w:pPr>
      <w:r>
        <w:t>Narration</w:t>
      </w:r>
    </w:p>
    <w:p>
      <w:pPr>
        <w:pStyle w:val="CTANarration"/>
        <w:ind w:left="259" w:right="173"/>
      </w:pPr>
      <w:r>
        <w:t>Take Form A only after completing all twelve workbooks and their question banks. Taking it too early measures what you have not studied rather than how well you integrate the program. It also uses up a valuable simulation before you are ready to learn from the result.</w:t>
      </w:r>
    </w:p>
    <w:p>
      <w:pPr>
        <w:pStyle w:val="Heading2"/>
      </w:pPr>
      <w:r>
        <w:t>Slide 3: Prepare the Environment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Quiet desk, timer, water, permitted materials removed, phone silenced.</w:t>
            </w:r>
          </w:p>
        </w:tc>
        <w:tc>
          <w:tcPr>
            <w:tcW w:type="dxa" w:w="5112"/>
            <w:shd w:fill="DCEFF6"/>
            <w:tcMar>
              <w:top w:w="90" w:type="dxa"/>
              <w:start w:w="110" w:type="dxa"/>
              <w:bottom w:w="90" w:type="dxa"/>
              <w:end w:w="110" w:type="dxa"/>
            </w:tcMar>
            <w:vAlign w:val="top"/>
          </w:tcPr>
          <w:p>
            <w:r>
              <w:rPr>
                <w:color w:val="243B53"/>
                <w:sz w:val="17"/>
              </w:rPr>
              <w:t>Quiet Space • Full Time Block • No Answer Resources • Minimal Interruptions</w:t>
            </w:r>
          </w:p>
        </w:tc>
      </w:tr>
    </w:tbl>
    <w:p>
      <w:pPr>
        <w:pStyle w:val="CTALabel"/>
      </w:pPr>
      <w:r>
        <w:t>Narration</w:t>
      </w:r>
    </w:p>
    <w:p>
      <w:pPr>
        <w:pStyle w:val="CTANarration"/>
        <w:ind w:left="259" w:right="173"/>
      </w:pPr>
      <w:r>
        <w:t>Before the simulation, prepare the environment. Reserve the full time block listed in your profession-specific roadmap. Use a quiet space, silence notifications, remove answer resources, and arrange only the materials permitted by the simulation instructions. Tell others when you will be unavailable. The goal is to practice the conditions, not just the questions.</w:t>
      </w:r>
    </w:p>
    <w:p>
      <w:pPr>
        <w:pStyle w:val="Heading2"/>
      </w:pPr>
      <w:r>
        <w:t>Slide 4: Use the Profession-Specific Timing Plan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Roadmap with profession-specific timing and checkpoints.</w:t>
            </w:r>
          </w:p>
        </w:tc>
        <w:tc>
          <w:tcPr>
            <w:tcW w:type="dxa" w:w="5112"/>
            <w:shd w:fill="DCEFF6"/>
            <w:tcMar>
              <w:top w:w="90" w:type="dxa"/>
              <w:start w:w="110" w:type="dxa"/>
              <w:bottom w:w="90" w:type="dxa"/>
              <w:end w:w="110" w:type="dxa"/>
            </w:tcMar>
            <w:vAlign w:val="top"/>
          </w:tcPr>
          <w:p>
            <w:r>
              <w:rPr>
                <w:color w:val="243B53"/>
                <w:sz w:val="17"/>
              </w:rPr>
              <w:t>Follow the Timing Plan in Your LMFT or LCSW Roadmap</w:t>
            </w:r>
          </w:p>
        </w:tc>
      </w:tr>
    </w:tbl>
    <w:p>
      <w:pPr>
        <w:pStyle w:val="CTALabel"/>
      </w:pPr>
      <w:r>
        <w:t>Narration</w:t>
      </w:r>
    </w:p>
    <w:p>
      <w:pPr>
        <w:pStyle w:val="CTANarration"/>
        <w:ind w:left="259" w:right="173"/>
      </w:pPr>
      <w:r>
        <w:t>The LMFT and LCSW simulations differ in length and format, so use the timing plan in your own roadmap. Set quarter-point or section checkpoints before you begin. The purpose is not to rush. It is to notice early whether your pace will allow you to complete the full exam with enough attention for later questions.</w:t>
      </w:r>
    </w:p>
    <w:p>
      <w:pPr>
        <w:pStyle w:val="Heading2"/>
      </w:pPr>
      <w:r>
        <w:t>Slide 5: Complete the Entire Form Before Reviewing Answers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Locked rationale screen until final submission.</w:t>
            </w:r>
          </w:p>
        </w:tc>
        <w:tc>
          <w:tcPr>
            <w:tcW w:type="dxa" w:w="5112"/>
            <w:shd w:fill="DCEFF6"/>
            <w:tcMar>
              <w:top w:w="90" w:type="dxa"/>
              <w:start w:w="110" w:type="dxa"/>
              <w:bottom w:w="90" w:type="dxa"/>
              <w:end w:w="110" w:type="dxa"/>
            </w:tcMar>
            <w:vAlign w:val="top"/>
          </w:tcPr>
          <w:p>
            <w:r>
              <w:rPr>
                <w:color w:val="243B53"/>
                <w:sz w:val="17"/>
              </w:rPr>
              <w:t>No Rationales Until the Full Attempt Is Submitted</w:t>
            </w:r>
          </w:p>
        </w:tc>
      </w:tr>
    </w:tbl>
    <w:p>
      <w:pPr>
        <w:pStyle w:val="CTALabel"/>
      </w:pPr>
      <w:r>
        <w:t>Narration</w:t>
      </w:r>
    </w:p>
    <w:p>
      <w:pPr>
        <w:pStyle w:val="CTANarration"/>
        <w:ind w:left="259" w:right="173"/>
      </w:pPr>
      <w:r>
        <w:t>Do not review answers, rationales, notes, or outside resources during the attempt. Complete the entire form before checking performance. Early feedback changes how you approach later items and makes the result less representative of a full exam experience.</w:t>
      </w:r>
    </w:p>
    <w:p>
      <w:pPr>
        <w:pStyle w:val="Heading2"/>
      </w:pPr>
      <w:r>
        <w:t>Slide 6: Use a Consistent Item Routine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Routine: task word, stage, eliminate, choose, move.</w:t>
            </w:r>
          </w:p>
        </w:tc>
        <w:tc>
          <w:tcPr>
            <w:tcW w:type="dxa" w:w="5112"/>
            <w:shd w:fill="DCEFF6"/>
            <w:tcMar>
              <w:top w:w="90" w:type="dxa"/>
              <w:start w:w="110" w:type="dxa"/>
              <w:bottom w:w="90" w:type="dxa"/>
              <w:end w:w="110" w:type="dxa"/>
            </w:tcMar>
            <w:vAlign w:val="top"/>
          </w:tcPr>
          <w:p>
            <w:r>
              <w:rPr>
                <w:color w:val="243B53"/>
                <w:sz w:val="17"/>
              </w:rPr>
              <w:t>Task Word → Stage → Eliminate → Choose → Move</w:t>
            </w:r>
          </w:p>
        </w:tc>
      </w:tr>
    </w:tbl>
    <w:p>
      <w:pPr>
        <w:pStyle w:val="CTALabel"/>
      </w:pPr>
      <w:r>
        <w:t>Narration</w:t>
      </w:r>
    </w:p>
    <w:p>
      <w:pPr>
        <w:pStyle w:val="CTANarration"/>
        <w:ind w:left="259" w:right="173"/>
      </w:pPr>
      <w:r>
        <w:t>Use the same item routine you practiced in the workbook banks. Identify the task word, name the stage, eliminate mistimed or unsupported options, choose the best fit, and move on. A simulation is not the time to invent a new strategy. It is the time to apply the process you have rehearsed.</w:t>
      </w:r>
    </w:p>
    <w:p>
      <w:pPr>
        <w:pStyle w:val="Heading2"/>
      </w:pPr>
      <w:r>
        <w:t>Slide 7: Flag Strategically, Not Emotionally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Flag icon beside a question with a brief note of the uncertainty.</w:t>
            </w:r>
          </w:p>
        </w:tc>
        <w:tc>
          <w:tcPr>
            <w:tcW w:type="dxa" w:w="5112"/>
            <w:shd w:fill="DCEFF6"/>
            <w:tcMar>
              <w:top w:w="90" w:type="dxa"/>
              <w:start w:w="110" w:type="dxa"/>
              <w:bottom w:w="90" w:type="dxa"/>
              <w:end w:w="110" w:type="dxa"/>
            </w:tcMar>
            <w:vAlign w:val="top"/>
          </w:tcPr>
          <w:p>
            <w:r>
              <w:rPr>
                <w:color w:val="243B53"/>
                <w:sz w:val="17"/>
              </w:rPr>
              <w:t>Flag Only When a Specific Review May Help</w:t>
            </w:r>
          </w:p>
        </w:tc>
      </w:tr>
    </w:tbl>
    <w:p>
      <w:pPr>
        <w:pStyle w:val="CTALabel"/>
      </w:pPr>
      <w:r>
        <w:t>Narration</w:t>
      </w:r>
    </w:p>
    <w:p>
      <w:pPr>
        <w:pStyle w:val="CTANarration"/>
        <w:ind w:left="259" w:right="173"/>
      </w:pPr>
      <w:r>
        <w:t>Flag an item when you can identify a specific reason that review may help, such as a missed task word, a calculation of sequence, or a comparison between two remaining options. Do not flag every uncomfortable question. Excessive flagging creates a second exam and can encourage unnecessary answer changes.</w:t>
      </w:r>
    </w:p>
    <w:p>
      <w:pPr>
        <w:pStyle w:val="Heading2"/>
      </w:pPr>
      <w:r>
        <w:t>Slide 8: Record More Than the Score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Score card plus pacing, confidence, fatigue, and domain notes.</w:t>
            </w:r>
          </w:p>
        </w:tc>
        <w:tc>
          <w:tcPr>
            <w:tcW w:type="dxa" w:w="5112"/>
            <w:shd w:fill="DCEFF6"/>
            <w:tcMar>
              <w:top w:w="90" w:type="dxa"/>
              <w:start w:w="110" w:type="dxa"/>
              <w:bottom w:w="90" w:type="dxa"/>
              <w:end w:w="110" w:type="dxa"/>
            </w:tcMar>
            <w:vAlign w:val="top"/>
          </w:tcPr>
          <w:p>
            <w:r>
              <w:rPr>
                <w:color w:val="243B53"/>
                <w:sz w:val="17"/>
              </w:rPr>
              <w:t>Score • Pace • Stamina • Error Patterns • Content Areas</w:t>
            </w:r>
          </w:p>
        </w:tc>
      </w:tr>
    </w:tbl>
    <w:p>
      <w:pPr>
        <w:pStyle w:val="CTALabel"/>
      </w:pPr>
      <w:r>
        <w:t>Narration</w:t>
      </w:r>
    </w:p>
    <w:p>
      <w:pPr>
        <w:pStyle w:val="CTANarration"/>
        <w:ind w:left="259" w:right="173"/>
      </w:pPr>
      <w:r>
        <w:t>After Form A, record more than the overall score. Note your pace, the point when concentration dropped, the number of unanswered or rushed items, content-area patterns, and the reasoning errors that repeated. A score tells you how the attempt ended. These additional observations tell you what to change.</w:t>
      </w:r>
    </w:p>
    <w:p>
      <w:pPr>
        <w:pStyle w:val="Heading2"/>
      </w:pPr>
      <w:r>
        <w:t>Slide 9: Review Form A in Two Passes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Pass 1: performance profile; Pass 2: item rationales and error log.</w:t>
            </w:r>
          </w:p>
        </w:tc>
        <w:tc>
          <w:tcPr>
            <w:tcW w:type="dxa" w:w="5112"/>
            <w:shd w:fill="DCEFF6"/>
            <w:tcMar>
              <w:top w:w="90" w:type="dxa"/>
              <w:start w:w="110" w:type="dxa"/>
              <w:bottom w:w="90" w:type="dxa"/>
              <w:end w:w="110" w:type="dxa"/>
            </w:tcMar>
            <w:vAlign w:val="top"/>
          </w:tcPr>
          <w:p>
            <w:r>
              <w:rPr>
                <w:color w:val="243B53"/>
                <w:sz w:val="17"/>
              </w:rPr>
              <w:t>Pass 1: Identify Patterns</w:t>
              <w:br/>
              <w:t>Pass 2: Study Individual Items</w:t>
            </w:r>
          </w:p>
        </w:tc>
      </w:tr>
    </w:tbl>
    <w:p>
      <w:pPr>
        <w:pStyle w:val="CTALabel"/>
      </w:pPr>
      <w:r>
        <w:t>Narration</w:t>
      </w:r>
    </w:p>
    <w:p>
      <w:pPr>
        <w:pStyle w:val="CTANarration"/>
        <w:ind w:left="259" w:right="173"/>
      </w:pPr>
      <w:r>
        <w:t>Review Form A in two passes. First, look at the overall pattern: content areas, timing, stamina, and repeated error types. Second, review individual items and rationales. This prevents you from treating every missed question as an isolated problem when several may come from the same decision error.</w:t>
      </w:r>
    </w:p>
    <w:p>
      <w:pPr>
        <w:pStyle w:val="Heading2"/>
      </w:pPr>
      <w:r>
        <w:t>Slide 10: Build a Targeted Remediation Plan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Top three priorities linked to workbooks, media, and practice.</w:t>
            </w:r>
          </w:p>
        </w:tc>
        <w:tc>
          <w:tcPr>
            <w:tcW w:type="dxa" w:w="5112"/>
            <w:shd w:fill="DCEFF6"/>
            <w:tcMar>
              <w:top w:w="90" w:type="dxa"/>
              <w:start w:w="110" w:type="dxa"/>
              <w:bottom w:w="90" w:type="dxa"/>
              <w:end w:w="110" w:type="dxa"/>
            </w:tcMar>
            <w:vAlign w:val="top"/>
          </w:tcPr>
          <w:p>
            <w:r>
              <w:rPr>
                <w:color w:val="243B53"/>
                <w:sz w:val="17"/>
              </w:rPr>
              <w:t>Choose 2-4 High-Impact Priorities</w:t>
            </w:r>
          </w:p>
        </w:tc>
      </w:tr>
    </w:tbl>
    <w:p>
      <w:pPr>
        <w:pStyle w:val="CTALabel"/>
      </w:pPr>
      <w:r>
        <w:t>Narration</w:t>
      </w:r>
    </w:p>
    <w:p>
      <w:pPr>
        <w:pStyle w:val="CTANarration"/>
        <w:ind w:left="259" w:right="173"/>
      </w:pPr>
      <w:r>
        <w:t>Choose two to four high-impact priorities for remediation. Link each priority to the relevant workbook, strategy recording, error-log entries, and selected practice questions. Avoid trying to repeat the entire program. A focused plan is more effective than broad rereading, especially when the same pattern affected many items.</w:t>
      </w:r>
    </w:p>
    <w:p>
      <w:pPr>
        <w:pStyle w:val="Heading2"/>
      </w:pPr>
      <w:r>
        <w:t>Slide 11: Demonstrate Readiness Before Form B</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Checklist: remediation completed, rules retrieved, pacing practiced, weak areas improved.</w:t>
            </w:r>
          </w:p>
        </w:tc>
        <w:tc>
          <w:tcPr>
            <w:tcW w:type="dxa" w:w="5112"/>
            <w:shd w:fill="DCEFF6"/>
            <w:tcMar>
              <w:top w:w="90" w:type="dxa"/>
              <w:start w:w="110" w:type="dxa"/>
              <w:bottom w:w="90" w:type="dxa"/>
              <w:end w:w="110" w:type="dxa"/>
            </w:tcMar>
            <w:vAlign w:val="top"/>
          </w:tcPr>
          <w:p>
            <w:r>
              <w:rPr>
                <w:color w:val="243B53"/>
                <w:sz w:val="17"/>
              </w:rPr>
              <w:t>Remediation Complete Before Form B</w:t>
            </w:r>
          </w:p>
        </w:tc>
      </w:tr>
    </w:tbl>
    <w:p>
      <w:pPr>
        <w:pStyle w:val="CTALabel"/>
      </w:pPr>
      <w:r>
        <w:t>Narration</w:t>
      </w:r>
    </w:p>
    <w:p>
      <w:pPr>
        <w:pStyle w:val="CTANarration"/>
        <w:ind w:left="259" w:right="173"/>
      </w:pPr>
      <w:r>
        <w:t>Before Form B, confirm that you completed the remediation plan, can retrieve the corrected decision rules, and improved the weak areas through targeted practice. Also practice the pacing or reset strategy you plan to use. Form B should test updated preparation, not simply repeat the conditions that produced the Form A result.</w:t>
      </w:r>
    </w:p>
    <w:p>
      <w:pPr>
        <w:pStyle w:val="Heading2"/>
      </w:pPr>
      <w:r>
        <w:t>Slide 12: Take Form B Under the Same Controlled Conditions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Form B setup mirroring Form A.</w:t>
            </w:r>
          </w:p>
        </w:tc>
        <w:tc>
          <w:tcPr>
            <w:tcW w:type="dxa" w:w="5112"/>
            <w:shd w:fill="DCEFF6"/>
            <w:tcMar>
              <w:top w:w="90" w:type="dxa"/>
              <w:start w:w="110" w:type="dxa"/>
              <w:bottom w:w="90" w:type="dxa"/>
              <w:end w:w="110" w:type="dxa"/>
            </w:tcMar>
            <w:vAlign w:val="top"/>
          </w:tcPr>
          <w:p>
            <w:r>
              <w:rPr>
                <w:color w:val="243B53"/>
                <w:sz w:val="17"/>
              </w:rPr>
              <w:t>Same Environment • Same Timing Discipline • No Early Feedback</w:t>
            </w:r>
          </w:p>
        </w:tc>
      </w:tr>
    </w:tbl>
    <w:p>
      <w:pPr>
        <w:pStyle w:val="CTALabel"/>
      </w:pPr>
      <w:r>
        <w:t>Narration</w:t>
      </w:r>
    </w:p>
    <w:p>
      <w:pPr>
        <w:pStyle w:val="CTANarration"/>
        <w:ind w:left="259" w:right="173"/>
      </w:pPr>
      <w:r>
        <w:t>Take Form B under the same controlled conditions. Use the full time block, remove answer resources, follow the timing checkpoints, and complete the entire form before reviewing rationales. Consistency allows you to compare your decision-making and stamina more meaningfully.</w:t>
      </w:r>
    </w:p>
    <w:p>
      <w:pPr>
        <w:pStyle w:val="Heading2"/>
      </w:pPr>
      <w:r>
        <w:t>Slide 13: Interpret Form B as Evidence, Not a Guarantee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Readiness indicators beside a disclaimer that no simulation predicts passage.</w:t>
            </w:r>
          </w:p>
        </w:tc>
        <w:tc>
          <w:tcPr>
            <w:tcW w:type="dxa" w:w="5112"/>
            <w:shd w:fill="DCEFF6"/>
            <w:tcMar>
              <w:top w:w="90" w:type="dxa"/>
              <w:start w:w="110" w:type="dxa"/>
              <w:bottom w:w="90" w:type="dxa"/>
              <w:end w:w="110" w:type="dxa"/>
            </w:tcMar>
            <w:vAlign w:val="top"/>
          </w:tcPr>
          <w:p>
            <w:r>
              <w:rPr>
                <w:color w:val="243B53"/>
                <w:sz w:val="17"/>
              </w:rPr>
              <w:t>Use Multiple Readiness Indicators</w:t>
            </w:r>
          </w:p>
        </w:tc>
      </w:tr>
    </w:tbl>
    <w:p>
      <w:pPr>
        <w:pStyle w:val="CTALabel"/>
      </w:pPr>
      <w:r>
        <w:t>Narration</w:t>
      </w:r>
    </w:p>
    <w:p>
      <w:pPr>
        <w:pStyle w:val="CTANarration"/>
        <w:ind w:left="259" w:right="173"/>
      </w:pPr>
      <w:r>
        <w:t>Use Form B as one source of readiness evidence, not a guarantee of passage. Consider the score, content balance, pacing, stamina, confidence in the decision routine, and whether major error patterns have decreased. No practice form can reproduce every official exam condition or predict an individual outcome with certainty.</w:t>
      </w:r>
    </w:p>
    <w:p>
      <w:pPr>
        <w:pStyle w:val="Heading2"/>
      </w:pPr>
      <w:r>
        <w:t>Slide 14: If the Result Is Lower Than Expected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Calm reset pathway: review, identify cause, extend plan, seek official information if needed.</w:t>
            </w:r>
          </w:p>
        </w:tc>
        <w:tc>
          <w:tcPr>
            <w:tcW w:type="dxa" w:w="5112"/>
            <w:shd w:fill="DCEFF6"/>
            <w:tcMar>
              <w:top w:w="90" w:type="dxa"/>
              <w:start w:w="110" w:type="dxa"/>
              <w:bottom w:w="90" w:type="dxa"/>
              <w:end w:w="110" w:type="dxa"/>
            </w:tcMar>
            <w:vAlign w:val="top"/>
          </w:tcPr>
          <w:p>
            <w:r>
              <w:rPr>
                <w:color w:val="243B53"/>
                <w:sz w:val="17"/>
              </w:rPr>
              <w:t>Pause • Diagnose • Extend • Retest Skills</w:t>
            </w:r>
          </w:p>
        </w:tc>
      </w:tr>
    </w:tbl>
    <w:p>
      <w:pPr>
        <w:pStyle w:val="CTALabel"/>
      </w:pPr>
      <w:r>
        <w:t>Narration</w:t>
      </w:r>
    </w:p>
    <w:p>
      <w:pPr>
        <w:pStyle w:val="CTANarration"/>
        <w:ind w:left="259" w:right="173"/>
      </w:pPr>
      <w:r>
        <w:t>If Form B is lower than expected, do not react by repeatedly retaking it. Pause and diagnose the cause. Was the problem content, sequencing, timing, fatigue, anxiety, or testing conditions? Extend the study plan, return to targeted materials, and practice the underlying skills. Repeated exposure without correction mainly teaches familiarity with the form.</w:t>
      </w:r>
    </w:p>
    <w:p>
      <w:pPr>
        <w:pStyle w:val="Heading2"/>
      </w:pPr>
      <w:r>
        <w:t>Slide 15: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Simulation preparation checklist.</w:t>
            </w:r>
          </w:p>
        </w:tc>
        <w:tc>
          <w:tcPr>
            <w:tcW w:type="dxa" w:w="5112"/>
            <w:shd w:fill="DCEFF6"/>
            <w:tcMar>
              <w:top w:w="90" w:type="dxa"/>
              <w:start w:w="110" w:type="dxa"/>
              <w:bottom w:w="90" w:type="dxa"/>
              <w:end w:w="110" w:type="dxa"/>
            </w:tcMar>
            <w:vAlign w:val="top"/>
          </w:tcPr>
          <w:p>
            <w:r>
              <w:rPr>
                <w:color w:val="243B53"/>
                <w:sz w:val="17"/>
              </w:rPr>
              <w:t>Next: Schedule Form A Only After All 12 Workbooks Are Complete</w:t>
            </w:r>
          </w:p>
        </w:tc>
      </w:tr>
    </w:tbl>
    <w:p>
      <w:pPr>
        <w:pStyle w:val="CTALabel"/>
      </w:pPr>
      <w:r>
        <w:t>Narration</w:t>
      </w:r>
    </w:p>
    <w:p>
      <w:pPr>
        <w:pStyle w:val="CTANarration"/>
        <w:ind w:left="259" w:right="173"/>
      </w:pPr>
      <w:r>
        <w:t>Use the simulation checklist in your roadmap. Schedule Form A only after the twelve workbooks and banks are complete, protect a realistic time block, and plan the remediation period before Form B. Treat each form as a meaningful learning event rather than another set of questions.</w:t>
      </w:r>
    </w:p>
    <w:p>
      <w:pPr>
        <w:pStyle w:val="Heading1"/>
      </w:pPr>
      <w:r>
        <w:t>Audio-Only Adaptation Notes</w:t>
      </w:r>
    </w:p>
    <w:p>
      <w:pPr>
        <w:pStyle w:val="ListBullet"/>
        <w:spacing w:after="40"/>
        <w:ind w:left="360" w:hanging="216"/>
      </w:pPr>
      <w:r>
        <w:t>Refer listeners to their profession-specific roadmap for exact timing details.</w:t>
      </w:r>
    </w:p>
    <w:p>
      <w:pPr>
        <w:pStyle w:val="ListBullet"/>
        <w:spacing w:after="40"/>
        <w:ind w:left="360" w:hanging="216"/>
      </w:pPr>
      <w:r>
        <w:t>State clearly that rationales remain closed until the full attempt is submitted.</w:t>
      </w:r>
    </w:p>
    <w:p>
      <w:pPr>
        <w:pStyle w:val="ListBullet"/>
        <w:spacing w:after="40"/>
        <w:ind w:left="360" w:hanging="216"/>
      </w:pPr>
      <w:r>
        <w:t>Differentiate diagnostic use of Form A from readiness use of Form B.</w:t>
      </w:r>
    </w:p>
    <w:p>
      <w:pPr>
        <w:pStyle w:val="ListBullet"/>
        <w:spacing w:after="40"/>
        <w:ind w:left="360" w:hanging="216"/>
      </w:pPr>
      <w:r>
        <w:t>End with the simulation preparation checklist and scheduling direction.</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appear before Form A and remain available before Form B. It should preserve exam security while helping students use each attempt constructively.</w:t>
            </w:r>
          </w:p>
        </w:tc>
      </w:tr>
    </w:tbl>
    <w:p>
      <w:pPr>
        <w:spacing w:after="20"/>
      </w:pPr>
    </w:p>
    <w:p>
      <w:pPr>
        <w:pStyle w:val="CTASmall"/>
        <w:jc w:val="center"/>
      </w:pPr>
      <w:r>
        <w:t>Educational exam-preparation content. CTA does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Take Forms A and B Under Simulated Conditions</dc:title>
  <dc:subject>Shared LMFT &amp; LCSW Multimedia Script 07</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