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 Companion: Exam Strategy and Clinical Reasoning</w:t>
      </w:r>
    </w:p>
    <w:p>
      <w:pPr>
        <w:jc w:val="center"/>
      </w:pPr>
      <w:r>
        <w:rPr>
          <w:rFonts w:ascii="Aptos Display" w:hAnsi="Aptos Display"/>
          <w:b/>
          <w:color w:val="2AA7D6"/>
          <w:sz w:val="32"/>
        </w:rPr>
        <w:t>LMFT Workbook 1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the decision process candidates should use throughout the LMFT program: identify the exact task, sequence clinical priorities, apply a systemic lens, compare plausible options, and learn from errors.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1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1: Exam Strategy and Clinical Reasoning, including the clinical decision hierarchy, three-pass vignette method, systemic lens, pacing guidance, and practice review process.</w:t>
            </w:r>
          </w:p>
        </w:tc>
      </w:tr>
    </w:tbl>
    <w:p>
      <w:pPr>
        <w:spacing w:after="20"/>
      </w:pPr>
    </w:p>
    <w:p>
      <w:pPr>
        <w:pStyle w:val="Heading1"/>
      </w:pPr>
      <w:r>
        <w:t>Learning Outcomes</w:t>
      </w:r>
    </w:p>
    <w:p>
      <w:pPr>
        <w:pStyle w:val="ListBullet"/>
        <w:spacing w:after="40"/>
        <w:ind w:left="360" w:hanging="216"/>
      </w:pPr>
      <w:r>
        <w:t>Identify the exact task and qualifier in an exam question.</w:t>
      </w:r>
    </w:p>
    <w:p>
      <w:pPr>
        <w:pStyle w:val="ListBullet"/>
        <w:spacing w:after="40"/>
        <w:ind w:left="360" w:hanging="216"/>
      </w:pPr>
      <w:r>
        <w:t>Use a priority hierarchy before selecting an intervention.</w:t>
      </w:r>
    </w:p>
    <w:p>
      <w:pPr>
        <w:pStyle w:val="ListBullet"/>
        <w:spacing w:after="40"/>
        <w:ind w:left="360" w:hanging="216"/>
      </w:pPr>
      <w:r>
        <w:t>Apply the three-pass vignette method and LMFT systemic lens.</w:t>
      </w:r>
    </w:p>
    <w:p>
      <w:pPr>
        <w:pStyle w:val="ListBullet"/>
        <w:spacing w:after="40"/>
        <w:ind w:left="360" w:hanging="216"/>
      </w:pPr>
      <w:r>
        <w:t>Recognize common distractor patterns and create a focused study plan.</w:t>
      </w:r>
    </w:p>
    <w:p>
      <w:pPr>
        <w:pStyle w:val="Heading1"/>
      </w:pPr>
      <w:r>
        <w:t>Voice and Presentation Direction</w:t>
      </w:r>
    </w:p>
    <w:p>
      <w:pPr>
        <w:pStyle w:val="ListBullet"/>
        <w:spacing w:after="40"/>
        <w:ind w:left="360" w:hanging="216"/>
      </w:pPr>
      <w:r>
        <w:t>Speak as an exam coach, not as a lecturer reading a textbook.</w:t>
      </w:r>
    </w:p>
    <w:p>
      <w:pPr>
        <w:pStyle w:val="ListBullet"/>
        <w:spacing w:after="40"/>
        <w:ind w:left="360" w:hanging="216"/>
      </w:pPr>
      <w:r>
        <w:t>Emphasize timing and sequence whenever two options both sound clinically reasonable.</w:t>
      </w:r>
    </w:p>
    <w:p>
      <w:pPr>
        <w:pStyle w:val="ListBullet"/>
        <w:spacing w:after="40"/>
        <w:ind w:left="360" w:hanging="216"/>
      </w:pPr>
      <w:r>
        <w:t>Use systemic language without minimizing safety, power, or individual responsibility.</w:t>
      </w:r>
    </w:p>
    <w:p>
      <w:pPr>
        <w:pStyle w:val="ListBullet"/>
        <w:spacing w:after="40"/>
        <w:ind w:left="360" w:hanging="216"/>
      </w:pPr>
      <w:r>
        <w:t>Close with a specific direction for completing Workbook 1 and its question bank.</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confident coaching tone. Keep the focus on repeatable reasoning rather than memorizing isolated rules. Pause after each decision question so the learner can practice the sequence mentally.</w:t>
            </w:r>
          </w:p>
        </w:tc>
      </w:tr>
    </w:tbl>
    <w:p>
      <w:pPr>
        <w:spacing w:after="20"/>
      </w:pPr>
    </w:p>
    <w:p>
      <w:pPr>
        <w:pStyle w:val="Heading1"/>
      </w:pPr>
      <w:r>
        <w:t>Slide-by-Slide Script</w:t>
      </w:r>
    </w:p>
    <w:p>
      <w:pPr>
        <w:pStyle w:val="Heading2"/>
        <w:keepNext/>
      </w:pPr>
      <w:r>
        <w:t>Slide 1: Why Workbook 1 Matters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pathway from vignette to task, priority, choice, and review.</w:t>
            </w:r>
          </w:p>
        </w:tc>
        <w:tc>
          <w:tcPr>
            <w:tcW w:type="dxa" w:w="5112"/>
            <w:shd w:fill="DCEFF6"/>
            <w:tcMar>
              <w:top w:w="90" w:type="dxa"/>
              <w:start w:w="110" w:type="dxa"/>
              <w:bottom w:w="90" w:type="dxa"/>
              <w:end w:w="110" w:type="dxa"/>
            </w:tcMar>
            <w:vAlign w:val="top"/>
          </w:tcPr>
          <w:p>
            <w:pPr>
              <w:keepNext/>
              <w:keepLines/>
            </w:pPr>
            <w:r>
              <w:rPr>
                <w:color w:val="243B53"/>
                <w:sz w:val="17"/>
              </w:rPr>
              <w:t>Task → Priority → Fit → Answer</w:t>
            </w:r>
          </w:p>
        </w:tc>
      </w:tr>
    </w:tbl>
    <w:p>
      <w:pPr>
        <w:pStyle w:val="CTALabel"/>
        <w:keepNext/>
      </w:pPr>
      <w:r>
        <w:t>Narration</w:t>
      </w:r>
    </w:p>
    <w:p>
      <w:pPr>
        <w:pStyle w:val="CTANarration"/>
        <w:keepLines/>
        <w:ind w:left="259" w:right="173"/>
      </w:pPr>
      <w:r>
        <w:t>Workbook 1 gives you the reasoning structure you will use across the entire LMFT program. The exam rarely rewards the answer with the most clinical vocabulary or the most intensive action. It rewards the answer that fits the exact task, the stage of care, the facts already known, and the professional role. Your goal is to slow the question down just enough to identify what must happen now, what information is still missing, and which option is best timed. This companion lesson highlights the three habits to practice in every workbook: read the task first, use a clinical priority hierarchy, and compare answers for sequence and fit.</w:t>
      </w:r>
    </w:p>
    <w:p>
      <w:pPr>
        <w:pStyle w:val="Heading2"/>
        <w:keepNext/>
      </w:pPr>
      <w:r>
        <w:t>Slide 2: Read the Task Before Solving the Story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The final sentence of a vignette is highlighted before the case details.</w:t>
            </w:r>
          </w:p>
        </w:tc>
        <w:tc>
          <w:tcPr>
            <w:tcW w:type="dxa" w:w="5112"/>
            <w:shd w:fill="DCEFF6"/>
            <w:tcMar>
              <w:top w:w="90" w:type="dxa"/>
              <w:start w:w="110" w:type="dxa"/>
              <w:bottom w:w="90" w:type="dxa"/>
              <w:end w:w="110" w:type="dxa"/>
            </w:tcMar>
            <w:vAlign w:val="top"/>
          </w:tcPr>
          <w:p>
            <w:pPr>
              <w:keepNext/>
              <w:keepLines/>
            </w:pPr>
            <w:r>
              <w:rPr>
                <w:color w:val="243B53"/>
                <w:sz w:val="17"/>
              </w:rPr>
              <w:t>FIRST • NEXT • BEST • MOST</w:t>
            </w:r>
          </w:p>
        </w:tc>
      </w:tr>
    </w:tbl>
    <w:p>
      <w:pPr>
        <w:pStyle w:val="CTALabel"/>
        <w:keepNext/>
      </w:pPr>
      <w:r>
        <w:t>Narration</w:t>
      </w:r>
    </w:p>
    <w:p>
      <w:pPr>
        <w:pStyle w:val="CTANarration"/>
        <w:keepLines/>
        <w:ind w:left="259" w:right="173"/>
      </w:pPr>
      <w:r>
        <w:t>Begin with the final question and its qualifier. FIRST asks for the earliest required step. NEXT asks what follows from work that has already occurred. BEST asks for the strongest overall response under the stated conditions. MOST appropriate asks which option fits the role, evidence, and stage better than the alternatives. Also identify the task category. Is the question asking for assessment, immediate safety action, diagnosis, treatment planning, intervention, referral, legal or ethical response, or evaluation of progress? When candidates read the entire story before defining the task, they often answer a different clinical question than the one being asked.</w:t>
      </w:r>
    </w:p>
    <w:p>
      <w:pPr>
        <w:pStyle w:val="Heading2"/>
        <w:keepNext/>
      </w:pPr>
      <w:r>
        <w:t>Slide 3: Use the Clinical Decision Hierarchy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vertical hierarchy moves from emergency and safety to assessment, planning, intervention, and review.</w:t>
            </w:r>
          </w:p>
        </w:tc>
        <w:tc>
          <w:tcPr>
            <w:tcW w:type="dxa" w:w="5112"/>
            <w:shd w:fill="DCEFF6"/>
            <w:tcMar>
              <w:top w:w="90" w:type="dxa"/>
              <w:start w:w="110" w:type="dxa"/>
              <w:bottom w:w="90" w:type="dxa"/>
              <w:end w:w="110" w:type="dxa"/>
            </w:tcMar>
            <w:vAlign w:val="top"/>
          </w:tcPr>
          <w:p>
            <w:pPr>
              <w:keepNext/>
              <w:keepLines/>
            </w:pPr>
            <w:r>
              <w:rPr>
                <w:color w:val="243B53"/>
                <w:sz w:val="17"/>
              </w:rPr>
              <w:t>Emergency → Duty → Role → Assess → Plan → Intervene → Review</w:t>
            </w:r>
          </w:p>
        </w:tc>
      </w:tr>
    </w:tbl>
    <w:p>
      <w:pPr>
        <w:pStyle w:val="CTALabel"/>
        <w:keepNext/>
      </w:pPr>
      <w:r>
        <w:t>Narration</w:t>
      </w:r>
    </w:p>
    <w:p>
      <w:pPr>
        <w:pStyle w:val="CTANarration"/>
        <w:keepLines/>
        <w:ind w:left="259" w:right="173"/>
      </w:pPr>
      <w:r>
        <w:t>Use a priority hierarchy when several answers seem plausible. Respond first to a medical emergency or immediate danger. Address a controlling legal or ethical duty when the facts clearly support it. Clarify the therapist role, treatment unit, consent, and confidentiality frame when those are uncertain. Engage and assess before choosing a diagnosis, intervention, referral, or level of care that depends on missing information. Then formulate goals, choose a plan, intervene, and monitor response. This hierarchy is not mechanical. It prevents premature action while still allowing immediate action when danger, medical instability, or a clear duty is already established.</w:t>
      </w:r>
    </w:p>
    <w:p>
      <w:pPr>
        <w:pStyle w:val="Heading2"/>
        <w:keepNext/>
      </w:pPr>
      <w:r>
        <w:t>Slide 4: Use the Three-Pass Vignette Method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Three passes over the question: task, decision facts, sequence and fit.</w:t>
            </w:r>
          </w:p>
        </w:tc>
        <w:tc>
          <w:tcPr>
            <w:tcW w:type="dxa" w:w="5112"/>
            <w:shd w:fill="DCEFF6"/>
            <w:tcMar>
              <w:top w:w="90" w:type="dxa"/>
              <w:start w:w="110" w:type="dxa"/>
              <w:bottom w:w="90" w:type="dxa"/>
              <w:end w:w="110" w:type="dxa"/>
            </w:tcMar>
            <w:vAlign w:val="top"/>
          </w:tcPr>
          <w:p>
            <w:pPr>
              <w:keepNext/>
              <w:keepLines/>
            </w:pPr>
            <w:r>
              <w:rPr>
                <w:color w:val="243B53"/>
                <w:sz w:val="17"/>
              </w:rPr>
              <w:t>1 Define • 2 Extract • 3 Compare</w:t>
            </w:r>
          </w:p>
        </w:tc>
      </w:tr>
    </w:tbl>
    <w:p>
      <w:pPr>
        <w:pStyle w:val="CTALabel"/>
        <w:keepNext/>
      </w:pPr>
      <w:r>
        <w:t>Narration</w:t>
      </w:r>
    </w:p>
    <w:p>
      <w:pPr>
        <w:pStyle w:val="CTANarration"/>
        <w:keepLines/>
        <w:ind w:left="259" w:right="173"/>
      </w:pPr>
      <w:r>
        <w:t>Pass one: define the task by reading the final sentence and qualifier. Pass two: extract only the facts that control the decision, such as safety signals, stage of care, what has already happened, the treatment unit, client preferences, relational patterns, and missing information. Pass three: compare sequence and fit. Eliminate answers that assume facts, skip a required step, violate autonomy or law, use excessive intensity, or answer the wrong task. This method is faster than repeatedly rereading the whole vignette because it tells you exactly which details matter and why one plausible option is better timed than another.</w:t>
      </w:r>
    </w:p>
    <w:p>
      <w:pPr>
        <w:pStyle w:val="Heading2"/>
        <w:keepNext/>
      </w:pPr>
      <w:r>
        <w:t>Slide 5: Add the LMFT Systemic Lens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Individual symptoms are shown inside relationship, family, cultural, and environmental systems.</w:t>
            </w:r>
          </w:p>
        </w:tc>
        <w:tc>
          <w:tcPr>
            <w:tcW w:type="dxa" w:w="5112"/>
            <w:shd w:fill="DCEFF6"/>
            <w:tcMar>
              <w:top w:w="90" w:type="dxa"/>
              <w:start w:w="110" w:type="dxa"/>
              <w:bottom w:w="90" w:type="dxa"/>
              <w:end w:w="110" w:type="dxa"/>
            </w:tcMar>
            <w:vAlign w:val="top"/>
          </w:tcPr>
          <w:p>
            <w:pPr>
              <w:keepNext/>
              <w:keepLines/>
            </w:pPr>
            <w:r>
              <w:rPr>
                <w:color w:val="243B53"/>
                <w:sz w:val="17"/>
              </w:rPr>
              <w:t>Individual + Relationship + Context</w:t>
            </w:r>
          </w:p>
        </w:tc>
      </w:tr>
    </w:tbl>
    <w:p>
      <w:pPr>
        <w:pStyle w:val="CTALabel"/>
        <w:keepNext/>
      </w:pPr>
      <w:r>
        <w:t>Narration</w:t>
      </w:r>
    </w:p>
    <w:p>
      <w:pPr>
        <w:pStyle w:val="CTANarration"/>
        <w:keepLines/>
        <w:ind w:left="259" w:right="173"/>
      </w:pPr>
      <w:r>
        <w:t>Systemic reasoning means asking how symptoms, attachment, roles, boundaries, hierarchy, communication, developmental transitions, culture, and reciprocal sequences shape the case. Identify the relevant treatment unit: individual, couple, family, group, caregiver system, or another relational unit. Do not force family treatment into every question. Safety, privacy, consent, medical urgency, or individual assessment may require another sequence. Systemic thinking also does not mean equal blame. Track influence and patterns while preserving responsibility, power differences, and client protection. The best answer integrates the person and the system instead of reducing the case to only one of them.</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Five trap cards: keyword match, strongest action, assumed facts, skipped stage, moral judgment.</w:t>
            </w:r>
          </w:p>
        </w:tc>
        <w:tc>
          <w:tcPr>
            <w:tcW w:type="dxa" w:w="5112"/>
            <w:shd w:fill="DCEFF6"/>
            <w:tcMar>
              <w:top w:w="90" w:type="dxa"/>
              <w:start w:w="110" w:type="dxa"/>
              <w:bottom w:w="90" w:type="dxa"/>
              <w:end w:w="110" w:type="dxa"/>
            </w:tcMar>
            <w:vAlign w:val="top"/>
          </w:tcPr>
          <w:p>
            <w:pPr>
              <w:keepNext/>
              <w:keepLines/>
            </w:pPr>
            <w:r>
              <w:rPr>
                <w:color w:val="243B53"/>
                <w:sz w:val="17"/>
              </w:rPr>
              <w:t>Plausible Does Not Mean Well-Timed</w:t>
            </w:r>
          </w:p>
        </w:tc>
      </w:tr>
    </w:tbl>
    <w:p>
      <w:pPr>
        <w:pStyle w:val="CTALabel"/>
        <w:keepNext/>
      </w:pPr>
      <w:r>
        <w:t>Narration</w:t>
      </w:r>
    </w:p>
    <w:p>
      <w:pPr>
        <w:pStyle w:val="CTANarration"/>
        <w:keepLines/>
        <w:ind w:left="259" w:right="173"/>
      </w:pPr>
      <w:r>
        <w:t>Watch for familiar traps. One is matching a single keyword to a favorite theory or diagnosis. Another is choosing the most intensive action because it sounds decisive. A third is assuming facts that are not in the vignette, such as danger, consent, motivation, or a confirmed diagnosis. A fourth is skipping the current stage by teaching skills before assessment or referring before basic clarification. A fifth is judging a client as resistant, manipulative, or unmotivated instead of assessing function, context, readiness, and barriers. When an option feels emotionally satisfying, return to the task word and ask whether the action is actually supported now.</w:t>
      </w:r>
    </w:p>
    <w:p>
      <w:pPr>
        <w:pStyle w:val="Heading2"/>
        <w:keepNext/>
      </w:pPr>
      <w:r>
        <w:t>Slide 7: Mini Scenario: Couple Conflict and Fear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couple session shows one partner requesting communication skills while the other privately reports retaliation fears.</w:t>
            </w:r>
          </w:p>
        </w:tc>
        <w:tc>
          <w:tcPr>
            <w:tcW w:type="dxa" w:w="5112"/>
            <w:shd w:fill="DCEFF6"/>
            <w:tcMar>
              <w:top w:w="90" w:type="dxa"/>
              <w:start w:w="110" w:type="dxa"/>
              <w:bottom w:w="90" w:type="dxa"/>
              <w:end w:w="110" w:type="dxa"/>
            </w:tcMar>
            <w:vAlign w:val="top"/>
          </w:tcPr>
          <w:p>
            <w:pPr>
              <w:keepNext/>
              <w:keepLines/>
            </w:pPr>
            <w:r>
              <w:rPr>
                <w:color w:val="243B53"/>
                <w:sz w:val="17"/>
              </w:rPr>
              <w:t>Safety and Treatment Format Before Skills</w:t>
            </w:r>
          </w:p>
        </w:tc>
      </w:tr>
    </w:tbl>
    <w:p>
      <w:pPr>
        <w:pStyle w:val="CTALabel"/>
        <w:keepNext/>
      </w:pPr>
      <w:r>
        <w:t>Narration</w:t>
      </w:r>
    </w:p>
    <w:p>
      <w:pPr>
        <w:pStyle w:val="CTANarration"/>
        <w:keepLines/>
        <w:ind w:left="259" w:right="173"/>
      </w:pPr>
      <w:r>
        <w:t>Imagine a couple requesting communication training. During an individual check-in allowed by the treatment policy, one partner reports monitoring, threats, and fear of punishment after disagreements. Teaching assertive communication in the next conjoint session sounds clinically useful, but it may increase danger. The stronger first response is to assess safety, coercion, retaliation risk, and whether conjoint treatment is appropriate before facilitating disclosure or skills practice. This answer wins because it follows the hierarchy: immediate safety and treatment structure control the next step. The systemic lens still matters, but it cannot be used to frame coercive violence as an equal communication problem.</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Workbook, 17-question bank, rationale review, and error log appear in a learning cycle.</w:t>
            </w:r>
          </w:p>
        </w:tc>
        <w:tc>
          <w:tcPr>
            <w:tcW w:type="dxa" w:w="5112"/>
            <w:shd w:fill="DCEFF6"/>
            <w:tcMar>
              <w:top w:w="90" w:type="dxa"/>
              <w:start w:w="110" w:type="dxa"/>
              <w:bottom w:w="90" w:type="dxa"/>
              <w:end w:w="110" w:type="dxa"/>
            </w:tcMar>
            <w:vAlign w:val="top"/>
          </w:tcPr>
          <w:p>
            <w:pPr>
              <w:keepNext/>
              <w:keepLines/>
            </w:pPr>
            <w:r>
              <w:rPr>
                <w:color w:val="243B53"/>
                <w:sz w:val="17"/>
              </w:rPr>
              <w:t>Learn → Practice → Review → Correct</w:t>
            </w:r>
          </w:p>
        </w:tc>
      </w:tr>
    </w:tbl>
    <w:p>
      <w:pPr>
        <w:pStyle w:val="CTALabel"/>
        <w:keepNext/>
      </w:pPr>
      <w:r>
        <w:t>Narration</w:t>
      </w:r>
    </w:p>
    <w:p>
      <w:pPr>
        <w:pStyle w:val="CTANarration"/>
        <w:keepLines/>
        <w:ind w:left="259" w:right="173"/>
      </w:pPr>
      <w:r>
        <w:t>Complete Workbook 1 before attempting the 17-question bank. For every missed or low-confidence item, record four things: the task word, the decision stage, the fact you overlooked, and the rule that makes the correct answer better timed. Practice at a deliberate pace first, then repeat with timing. Do not measure progress only by score. Track whether you are reducing premature intervention, unsupported assumptions, and task-word errors. Carry this same reasoning routine into every later CTA workbook.</w:t>
      </w:r>
    </w:p>
    <w:p>
      <w:pPr>
        <w:pStyle w:val="Heading1"/>
      </w:pPr>
      <w:r>
        <w:t>Audio-Only Adaptation Notes</w:t>
      </w:r>
    </w:p>
    <w:p>
      <w:pPr>
        <w:pStyle w:val="ListBullet"/>
        <w:spacing w:after="40"/>
        <w:ind w:left="360" w:hanging="216"/>
      </w:pPr>
      <w:r>
        <w:t>Name the task words slowly and distinctly.</w:t>
      </w:r>
    </w:p>
    <w:p>
      <w:pPr>
        <w:pStyle w:val="ListBullet"/>
        <w:spacing w:after="40"/>
        <w:ind w:left="360" w:hanging="216"/>
      </w:pPr>
      <w:r>
        <w:t>Describe the clinical hierarchy from top to bottom when the visual appears.</w:t>
      </w:r>
    </w:p>
    <w:p>
      <w:pPr>
        <w:pStyle w:val="ListBullet"/>
        <w:spacing w:after="40"/>
        <w:ind w:left="360" w:hanging="216"/>
      </w:pPr>
      <w:r>
        <w:t>Pause after each of the three vignette passes.</w:t>
      </w:r>
    </w:p>
    <w:p>
      <w:pPr>
        <w:pStyle w:val="ListBullet"/>
        <w:spacing w:after="40"/>
        <w:ind w:left="360" w:hanging="216"/>
      </w:pPr>
      <w:r>
        <w:t>End by stating the four error-log fields aloud.</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companion lesson establishes the reasoning language used throughout all later LMFT workbook media. The final recording should feel practical, repeatable, and directly connected to the Workbook 1 practice cycle.</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1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 Companion: Exam Strategy and Clinical Reasoning</dc:title>
  <dc:subject>CTA LMFT Workbook 1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