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2 Companion: Clinical Engagement, Intake, and Mental Status Assessment</w:t>
      </w:r>
    </w:p>
    <w:p>
      <w:pPr>
        <w:jc w:val="center"/>
      </w:pPr>
      <w:r>
        <w:rPr>
          <w:rFonts w:ascii="Aptos Display" w:hAnsi="Aptos Display"/>
          <w:b/>
          <w:color w:val="2AA7D6"/>
          <w:sz w:val="32"/>
        </w:rPr>
        <w:t>LMFT Workbook 2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how LMFT candidates should establish balanced alliances, clarify the treatment frame, organize intake information, conduct a behavioral mental status assessment, and prioritize medical, medication, substance, and safety factors.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2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2: Clinical Engagement, Intake, and Mental Status Assessment, including integrated intake reasoning, interviewing methods, MSE documentation, baseline comparison, and systemic formulation.</w:t>
            </w:r>
          </w:p>
        </w:tc>
      </w:tr>
    </w:tbl>
    <w:p>
      <w:pPr>
        <w:spacing w:after="20"/>
      </w:pPr>
    </w:p>
    <w:p>
      <w:pPr>
        <w:pStyle w:val="Heading1"/>
      </w:pPr>
      <w:r>
        <w:t>Learning Outcomes</w:t>
      </w:r>
    </w:p>
    <w:p>
      <w:pPr>
        <w:pStyle w:val="ListBullet"/>
        <w:spacing w:after="40"/>
        <w:ind w:left="360" w:hanging="216"/>
      </w:pPr>
      <w:r>
        <w:t>Treat engagement as a source of assessment data.</w:t>
      </w:r>
    </w:p>
    <w:p>
      <w:pPr>
        <w:pStyle w:val="ListBullet"/>
        <w:spacing w:after="40"/>
        <w:ind w:left="360" w:hanging="216"/>
      </w:pPr>
      <w:r>
        <w:t>Clarify role, participants, referral, and treatment unit.</w:t>
      </w:r>
    </w:p>
    <w:p>
      <w:pPr>
        <w:pStyle w:val="ListBullet"/>
        <w:spacing w:after="40"/>
        <w:ind w:left="360" w:hanging="216"/>
      </w:pPr>
      <w:r>
        <w:t>Use interviewing methods and the MSE accurately.</w:t>
      </w:r>
    </w:p>
    <w:p>
      <w:pPr>
        <w:pStyle w:val="ListBullet"/>
        <w:spacing w:after="40"/>
        <w:ind w:left="360" w:hanging="216"/>
      </w:pPr>
      <w:r>
        <w:t>Recognize medical, medication, substance, and safety priorities.</w:t>
      </w:r>
    </w:p>
    <w:p>
      <w:pPr>
        <w:pStyle w:val="Heading1"/>
      </w:pPr>
      <w:r>
        <w:t>Voice and Presentation Direction</w:t>
      </w:r>
    </w:p>
    <w:p>
      <w:pPr>
        <w:pStyle w:val="ListBullet"/>
        <w:spacing w:after="40"/>
        <w:ind w:left="360" w:hanging="216"/>
      </w:pPr>
      <w:r>
        <w:t>Model respectful curiosity and balanced alliance language.</w:t>
      </w:r>
    </w:p>
    <w:p>
      <w:pPr>
        <w:pStyle w:val="ListBullet"/>
        <w:spacing w:after="40"/>
        <w:ind w:left="360" w:hanging="216"/>
      </w:pPr>
      <w:r>
        <w:t>Avoid diagnostic certainty when the available information is incomplete.</w:t>
      </w:r>
    </w:p>
    <w:p>
      <w:pPr>
        <w:pStyle w:val="ListBullet"/>
        <w:spacing w:after="40"/>
        <w:ind w:left="360" w:hanging="216"/>
      </w:pPr>
      <w:r>
        <w:t>State observable behavior before offering possible explanations.</w:t>
      </w:r>
    </w:p>
    <w:p>
      <w:pPr>
        <w:pStyle w:val="ListBullet"/>
        <w:spacing w:after="40"/>
        <w:ind w:left="360" w:hanging="216"/>
      </w:pPr>
      <w:r>
        <w:t>Reinforce scope: assess and coordinate, but do not prescribe.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calm, collaborative clinical tone. Distinguish observation from inference and emphasize that engagement and assessment occur together.</w:t>
            </w:r>
          </w:p>
        </w:tc>
      </w:tr>
    </w:tbl>
    <w:p>
      <w:pPr>
        <w:spacing w:after="20"/>
      </w:pPr>
    </w:p>
    <w:p>
      <w:pPr>
        <w:pStyle w:val="Heading1"/>
      </w:pPr>
      <w:r>
        <w:t>Slide-by-Slide Script</w:t>
      </w:r>
    </w:p>
    <w:p>
      <w:pPr>
        <w:pStyle w:val="Heading2"/>
        <w:keepNext/>
      </w:pPr>
      <w:r>
        <w:t>Slide 1: Engagement and Assessment Begin Together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therapeutic alliance and an assessment map develop side by side.</w:t>
            </w:r>
          </w:p>
        </w:tc>
        <w:tc>
          <w:tcPr>
            <w:tcW w:type="dxa" w:w="5112"/>
            <w:shd w:fill="DCEFF6"/>
            <w:tcMar>
              <w:top w:w="90" w:type="dxa"/>
              <w:start w:w="110" w:type="dxa"/>
              <w:bottom w:w="90" w:type="dxa"/>
              <w:end w:w="110" w:type="dxa"/>
            </w:tcMar>
            <w:vAlign w:val="top"/>
          </w:tcPr>
          <w:p>
            <w:pPr>
              <w:keepNext/>
              <w:keepLines/>
            </w:pPr>
            <w:r>
              <w:rPr>
                <w:color w:val="243B53"/>
                <w:sz w:val="17"/>
              </w:rPr>
              <w:t>Relationship Is Clinical Data</w:t>
            </w:r>
          </w:p>
        </w:tc>
      </w:tr>
    </w:tbl>
    <w:p>
      <w:pPr>
        <w:pStyle w:val="CTALabel"/>
        <w:keepNext/>
      </w:pPr>
      <w:r>
        <w:t>Narration</w:t>
      </w:r>
    </w:p>
    <w:p>
      <w:pPr>
        <w:pStyle w:val="CTANarration"/>
        <w:keepLines/>
        <w:ind w:left="259" w:right="173"/>
      </w:pPr>
      <w:r>
        <w:t>Engagement is not a warm-up that happens before real assessment. The way clients respond to pacing, transparency, direct questions, boundaries, and the therapist’s attempts to include each person provides important clinical information. In LMFT work, engagement also means building a workable alliance with multiple participants without automatically accepting one person’s description of the problem. The goal is not to make everyone agree. The goal is to create enough safety and clarity for each relevant perspective to be heard while the therapist continues to assess functioning, relationships, risk, readiness, and expectations.</w:t>
      </w:r>
    </w:p>
    <w:p>
      <w:pPr>
        <w:pStyle w:val="Heading2"/>
        <w:keepNext/>
      </w:pPr>
      <w:r>
        <w:t>Slide 2: Clarify Role, Referral, and Treatment Unit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Nested cards show referral source, participants, therapist role, and client system.</w:t>
            </w:r>
          </w:p>
        </w:tc>
        <w:tc>
          <w:tcPr>
            <w:tcW w:type="dxa" w:w="5112"/>
            <w:shd w:fill="DCEFF6"/>
            <w:tcMar>
              <w:top w:w="90" w:type="dxa"/>
              <w:start w:w="110" w:type="dxa"/>
              <w:bottom w:w="90" w:type="dxa"/>
              <w:end w:w="110" w:type="dxa"/>
            </w:tcMar>
            <w:vAlign w:val="top"/>
          </w:tcPr>
          <w:p>
            <w:pPr>
              <w:keepNext/>
              <w:keepLines/>
            </w:pPr>
            <w:r>
              <w:rPr>
                <w:color w:val="243B53"/>
                <w:sz w:val="17"/>
              </w:rPr>
              <w:t>Who Referred? Who Participates? Who Is the Client?</w:t>
            </w:r>
          </w:p>
        </w:tc>
      </w:tr>
    </w:tbl>
    <w:p>
      <w:pPr>
        <w:pStyle w:val="CTALabel"/>
        <w:keepNext/>
      </w:pPr>
      <w:r>
        <w:t>Narration</w:t>
      </w:r>
    </w:p>
    <w:p>
      <w:pPr>
        <w:pStyle w:val="CTANarration"/>
        <w:keepLines/>
        <w:ind w:left="259" w:right="173"/>
      </w:pPr>
      <w:r>
        <w:t>Early in intake, clarify who requested treatment, who is present, who is considered the client or client system, what role the therapist is performing, and what information may be shared. A court, employer, school, parent, partner, or physician may influence attendance without becoming the clinical client. In couple or family work, participation does not automatically answer who controls authorization or how individual contacts will be handled. Clear role and treatment-unit decisions improve consent, reduce later conflict, and prevent the therapist from moving into assessment or intervention under an inaccurate frame.</w:t>
      </w:r>
    </w:p>
    <w:p>
      <w:pPr>
        <w:pStyle w:val="Heading2"/>
        <w:keepNext/>
      </w:pPr>
      <w:r>
        <w:t>Slide 3: Match the Interview Tool to the Task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Open questions, reflections, clarifying questions, and direct questions are matched to different purposes.</w:t>
            </w:r>
          </w:p>
        </w:tc>
        <w:tc>
          <w:tcPr>
            <w:tcW w:type="dxa" w:w="5112"/>
            <w:shd w:fill="DCEFF6"/>
            <w:tcMar>
              <w:top w:w="90" w:type="dxa"/>
              <w:start w:w="110" w:type="dxa"/>
              <w:bottom w:w="90" w:type="dxa"/>
              <w:end w:w="110" w:type="dxa"/>
            </w:tcMar>
            <w:vAlign w:val="top"/>
          </w:tcPr>
          <w:p>
            <w:pPr>
              <w:keepNext/>
              <w:keepLines/>
            </w:pPr>
            <w:r>
              <w:rPr>
                <w:color w:val="243B53"/>
                <w:sz w:val="17"/>
              </w:rPr>
              <w:t>Explore Broadly • Clarify Precisely</w:t>
            </w:r>
          </w:p>
        </w:tc>
      </w:tr>
    </w:tbl>
    <w:p>
      <w:pPr>
        <w:pStyle w:val="CTALabel"/>
        <w:keepNext/>
      </w:pPr>
      <w:r>
        <w:t>Narration</w:t>
      </w:r>
    </w:p>
    <w:p>
      <w:pPr>
        <w:pStyle w:val="CTANarration"/>
        <w:keepLines/>
        <w:ind w:left="259" w:right="173"/>
      </w:pPr>
      <w:r>
        <w:t>Use open questions to invite the client’s story and priorities. Use reflection to communicate understanding and check meaning. Use clarification to resolve ambiguity or inconsistency without accusation. Use direct, focused questions when an exact fact controls the next decision, such as the timing of a medication change, current suicidal intent, access to a weapon, or the amount of a substance used. A good intake is organized but not mechanical. Follow the clues that affect safety, diagnosis, functioning, treatment fit, and the client system rather than asking every possible question with equal depth.</w:t>
      </w:r>
    </w:p>
    <w:p>
      <w:pPr>
        <w:pStyle w:val="Heading2"/>
        <w:keepNext/>
      </w:pPr>
      <w:r>
        <w:t>Slide 4: Use the Mental Status Examination as a Snapshot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MSE domains surround a current-time snapshot icon.</w:t>
            </w:r>
          </w:p>
        </w:tc>
        <w:tc>
          <w:tcPr>
            <w:tcW w:type="dxa" w:w="5112"/>
            <w:shd w:fill="DCEFF6"/>
            <w:tcMar>
              <w:top w:w="90" w:type="dxa"/>
              <w:start w:w="110" w:type="dxa"/>
              <w:bottom w:w="90" w:type="dxa"/>
              <w:end w:w="110" w:type="dxa"/>
            </w:tcMar>
            <w:vAlign w:val="top"/>
          </w:tcPr>
          <w:p>
            <w:pPr>
              <w:keepNext/>
              <w:keepLines/>
            </w:pPr>
            <w:r>
              <w:rPr>
                <w:color w:val="243B53"/>
                <w:sz w:val="17"/>
              </w:rPr>
              <w:t>Observe • Describe • Compare</w:t>
            </w:r>
          </w:p>
        </w:tc>
      </w:tr>
    </w:tbl>
    <w:p>
      <w:pPr>
        <w:pStyle w:val="CTALabel"/>
        <w:keepNext/>
      </w:pPr>
      <w:r>
        <w:t>Narration</w:t>
      </w:r>
    </w:p>
    <w:p>
      <w:pPr>
        <w:pStyle w:val="CTANarration"/>
        <w:keepLines/>
        <w:ind w:left="259" w:right="173"/>
      </w:pPr>
      <w:r>
        <w:t>The mental status examination describes current appearance and behavior, speech, reported mood, observed affect, thought process, thought content, perception, cognition, orientation, memory, insight, judgment, and impulse control. It is a snapshot, not a complete diagnosis. Document what you see and hear before assigning meaning. For example, “speaks softly, pauses before answering, and maintains limited eye contact” is more accurate than “guarded and deceptive” when culture, anxiety, language, trauma, or baseline are unknown. Compare findings with prior functioning and the immediate context.</w:t>
      </w:r>
    </w:p>
    <w:p>
      <w:pPr>
        <w:pStyle w:val="Heading2"/>
        <w:keepNext/>
      </w:pPr>
      <w:r>
        <w:t>Slide 5: Establish Baseline and Rule Out Health Factors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timeline connects baseline, health changes, medication, substances, sleep, and current symptoms.</w:t>
            </w:r>
          </w:p>
        </w:tc>
        <w:tc>
          <w:tcPr>
            <w:tcW w:type="dxa" w:w="5112"/>
            <w:shd w:fill="DCEFF6"/>
            <w:tcMar>
              <w:top w:w="90" w:type="dxa"/>
              <w:start w:w="110" w:type="dxa"/>
              <w:bottom w:w="90" w:type="dxa"/>
              <w:end w:w="110" w:type="dxa"/>
            </w:tcMar>
            <w:vAlign w:val="top"/>
          </w:tcPr>
          <w:p>
            <w:pPr>
              <w:keepNext/>
              <w:keepLines/>
            </w:pPr>
            <w:r>
              <w:rPr>
                <w:color w:val="243B53"/>
                <w:sz w:val="17"/>
              </w:rPr>
              <w:t>What Changed? When? What Else Could Explain It?</w:t>
            </w:r>
          </w:p>
        </w:tc>
      </w:tr>
    </w:tbl>
    <w:p>
      <w:pPr>
        <w:pStyle w:val="CTALabel"/>
        <w:keepNext/>
      </w:pPr>
      <w:r>
        <w:t>Narration</w:t>
      </w:r>
    </w:p>
    <w:p>
      <w:pPr>
        <w:pStyle w:val="CTANarration"/>
        <w:keepLines/>
        <w:ind w:left="259" w:right="173"/>
      </w:pPr>
      <w:r>
        <w:t>Chronology and baseline often determine urgency. Ask when symptoms began, whether they fluctuate, what changed around the onset, and whether the presentation differs from usual functioning. Assess health conditions, recent injury, sleep, pain, pregnancy or postpartum changes, medication starts and stops, missed doses, nonprescription products, alcohol, cannabis, stimulants, sedatives, and other substances. Sudden confusion, altered consciousness, unsteady walking, or rapid cognitive change may require medical evaluation before psychological interpretation. The LMFT can assess effects, coordinate care, and encourage prescriber contact, but should not direct medication changes.</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taking sides, checklist interviewing, inferred motive, premature diagnosis, and ignored medical clues.</w:t>
            </w:r>
          </w:p>
        </w:tc>
        <w:tc>
          <w:tcPr>
            <w:tcW w:type="dxa" w:w="5112"/>
            <w:shd w:fill="DCEFF6"/>
            <w:tcMar>
              <w:top w:w="90" w:type="dxa"/>
              <w:start w:w="110" w:type="dxa"/>
              <w:bottom w:w="90" w:type="dxa"/>
              <w:end w:w="110" w:type="dxa"/>
            </w:tcMar>
            <w:vAlign w:val="top"/>
          </w:tcPr>
          <w:p>
            <w:pPr>
              <w:keepNext/>
              <w:keepLines/>
            </w:pPr>
            <w:r>
              <w:rPr>
                <w:color w:val="243B53"/>
                <w:sz w:val="17"/>
              </w:rPr>
              <w:t>Describe Before You Conclude</w:t>
            </w:r>
          </w:p>
        </w:tc>
      </w:tr>
    </w:tbl>
    <w:p>
      <w:pPr>
        <w:pStyle w:val="CTALabel"/>
        <w:keepNext/>
      </w:pPr>
      <w:r>
        <w:t>Narration</w:t>
      </w:r>
    </w:p>
    <w:p>
      <w:pPr>
        <w:pStyle w:val="CTANarration"/>
        <w:keepLines/>
        <w:ind w:left="259" w:right="173"/>
      </w:pPr>
      <w:r>
        <w:t>Common traps include accepting one participant’s referral label as the formulation, joining with one person against another, turning intake into a rigid checklist, interpreting quiet behavior as resistance or deception, diagnosing from one MSE finding, or ignoring a new medical or medication clue. Another trap is preserving rapport by avoiding direct safety questions. Empathy and direct assessment are compatible. The strongest answer usually clarifies the missing fact that will change the next decision while maintaining a respectful alliance and accurate scope.</w:t>
      </w:r>
    </w:p>
    <w:p>
      <w:pPr>
        <w:pStyle w:val="Heading2"/>
        <w:keepNext/>
      </w:pPr>
      <w:r>
        <w:t>Slide 7: Mini Scenario: New Confusion After Medication Use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client combines sleep and allergy products and develops confusion and unsteady walking.</w:t>
            </w:r>
          </w:p>
        </w:tc>
        <w:tc>
          <w:tcPr>
            <w:tcW w:type="dxa" w:w="5112"/>
            <w:shd w:fill="DCEFF6"/>
            <w:tcMar>
              <w:top w:w="90" w:type="dxa"/>
              <w:start w:w="110" w:type="dxa"/>
              <w:bottom w:w="90" w:type="dxa"/>
              <w:end w:w="110" w:type="dxa"/>
            </w:tcMar>
            <w:vAlign w:val="top"/>
          </w:tcPr>
          <w:p>
            <w:pPr>
              <w:keepNext/>
              <w:keepLines/>
            </w:pPr>
            <w:r>
              <w:rPr>
                <w:color w:val="243B53"/>
                <w:sz w:val="17"/>
              </w:rPr>
              <w:t>Medical Priority Before Psychological Interpretation</w:t>
            </w:r>
          </w:p>
        </w:tc>
      </w:tr>
    </w:tbl>
    <w:p>
      <w:pPr>
        <w:pStyle w:val="CTALabel"/>
        <w:keepNext/>
      </w:pPr>
      <w:r>
        <w:t>Narration</w:t>
      </w:r>
    </w:p>
    <w:p>
      <w:pPr>
        <w:pStyle w:val="CTANarration"/>
        <w:keepLines/>
        <w:ind w:left="259" w:right="173"/>
      </w:pPr>
      <w:r>
        <w:t>A client arrives for intake with new confusion, blurred vision, and unsteady walking after combining several over-the-counter sleep and allergy products. Continuing the routine interview or interpreting the symptoms as anxiety would be poorly timed. The therapist should assess immediate safety, clarify what was taken and when, and arrange prompt medical or poison-control guidance as indicated. This response does not require the therapist to diagnose toxicity or recommend another medication. It uses the available facts to recognize a possible medical emergency, remain within scope, and preserve continuity after the urgent issue is addressed.</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An intake map and MSE note feed into the Workbook 2 question bank and error log.</w:t>
            </w:r>
          </w:p>
        </w:tc>
        <w:tc>
          <w:tcPr>
            <w:tcW w:type="dxa" w:w="5112"/>
            <w:shd w:fill="DCEFF6"/>
            <w:tcMar>
              <w:top w:w="90" w:type="dxa"/>
              <w:start w:w="110" w:type="dxa"/>
              <w:bottom w:w="90" w:type="dxa"/>
              <w:end w:w="110" w:type="dxa"/>
            </w:tcMar>
            <w:vAlign w:val="top"/>
          </w:tcPr>
          <w:p>
            <w:pPr>
              <w:keepNext/>
              <w:keepLines/>
            </w:pPr>
            <w:r>
              <w:rPr>
                <w:color w:val="243B53"/>
                <w:sz w:val="17"/>
              </w:rPr>
              <w:t>Role • Safety • Baseline • Context • Next Step</w:t>
            </w:r>
          </w:p>
        </w:tc>
      </w:tr>
    </w:tbl>
    <w:p>
      <w:pPr>
        <w:pStyle w:val="CTALabel"/>
        <w:keepNext/>
      </w:pPr>
      <w:r>
        <w:t>Narration</w:t>
      </w:r>
    </w:p>
    <w:p>
      <w:pPr>
        <w:pStyle w:val="CTANarration"/>
        <w:keepLines/>
        <w:ind w:left="259" w:right="173"/>
      </w:pPr>
      <w:r>
        <w:t>As you complete Workbook 2, practice organizing every vignette under five headings: role and treatment unit, immediate safety or medical urgency, current symptoms and MSE, baseline and chronology, and systemic or contextual factors. In the question bank, mark whether a missed item came from taking sides, inferring motive, diagnosing too soon, overlooking a medical or substance clue, or avoiding a direct question. Your goal is to gather enough accurate information for the next decision without delaying action when urgency is already established.</w:t>
      </w:r>
    </w:p>
    <w:p>
      <w:pPr>
        <w:pStyle w:val="Heading1"/>
      </w:pPr>
      <w:r>
        <w:t>Audio-Only Adaptation Notes</w:t>
      </w:r>
    </w:p>
    <w:p>
      <w:pPr>
        <w:pStyle w:val="ListBullet"/>
        <w:spacing w:after="40"/>
        <w:ind w:left="360" w:hanging="216"/>
      </w:pPr>
      <w:r>
        <w:t>Name the MSE domains in grouped phrases rather than as a rapid list.</w:t>
      </w:r>
    </w:p>
    <w:p>
      <w:pPr>
        <w:pStyle w:val="ListBullet"/>
        <w:spacing w:after="40"/>
        <w:ind w:left="360" w:hanging="216"/>
      </w:pPr>
      <w:r>
        <w:t>Verbally distinguish observed affect from reported mood.</w:t>
      </w:r>
    </w:p>
    <w:p>
      <w:pPr>
        <w:pStyle w:val="ListBullet"/>
        <w:spacing w:after="40"/>
        <w:ind w:left="360" w:hanging="216"/>
      </w:pPr>
      <w:r>
        <w:t>Pause after “What changed? When? What else could explain it?”</w:t>
      </w:r>
    </w:p>
    <w:p>
      <w:pPr>
        <w:pStyle w:val="ListBullet"/>
        <w:spacing w:after="40"/>
        <w:ind w:left="360" w:hanging="216"/>
      </w:pPr>
      <w:r>
        <w:t>End with the five intake headings.</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companion recording should prepare students to use Workbook 2 as the assessment foundation for later diagnosis, crisis, planning, and intervention modules.</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2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2 Companion: Clinical Engagement, Intake, and Mental Status Assessment</dc:title>
  <dc:subject>CTA LMFT Workbook 2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