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3 Companion: Developmental, Psychosocial, and Diversity Assessment</w:t>
      </w:r>
    </w:p>
    <w:p>
      <w:pPr>
        <w:jc w:val="center"/>
      </w:pPr>
      <w:r>
        <w:rPr>
          <w:rFonts w:ascii="Aptos Display" w:hAnsi="Aptos Display"/>
          <w:b/>
          <w:color w:val="2AA7D6"/>
          <w:sz w:val="32"/>
        </w:rPr>
        <w:t>LMFT Workbook 3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a multidimensional developmental and contextual assessment that integrates family life cycle, culture, identity, power, access, trauma, resilience, and environmental systems.</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LMFT Workbook 3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3: Developmental, Psychosocial, and Diversity Assessment, including the contextual reasoning sequence and systemic development lens.</w:t>
            </w:r>
          </w:p>
        </w:tc>
      </w:tr>
    </w:tbl>
    <w:p>
      <w:pPr>
        <w:spacing w:after="20"/>
      </w:pPr>
    </w:p>
    <w:p>
      <w:pPr>
        <w:pStyle w:val="Heading1"/>
      </w:pPr>
      <w:r>
        <w:t>Learning Outcomes</w:t>
      </w:r>
    </w:p>
    <w:p>
      <w:pPr>
        <w:pStyle w:val="ListBullet"/>
        <w:spacing w:after="40"/>
        <w:ind w:left="360" w:hanging="216"/>
      </w:pPr>
      <w:r>
        <w:t>Locate the client within development and family life cycle.</w:t>
      </w:r>
    </w:p>
    <w:p>
      <w:pPr>
        <w:pStyle w:val="ListBullet"/>
        <w:spacing w:after="40"/>
        <w:ind w:left="360" w:hanging="216"/>
      </w:pPr>
      <w:r>
        <w:t>Assess culture, identity, environment, and client meaning.</w:t>
      </w:r>
    </w:p>
    <w:p>
      <w:pPr>
        <w:pStyle w:val="ListBullet"/>
        <w:spacing w:after="40"/>
        <w:ind w:left="360" w:hanging="216"/>
      </w:pPr>
      <w:r>
        <w:t>Recognize power, access, structural barriers, trauma, and resilience.</w:t>
      </w:r>
    </w:p>
    <w:p>
      <w:pPr>
        <w:pStyle w:val="ListBullet"/>
        <w:spacing w:after="40"/>
        <w:ind w:left="360" w:hanging="216"/>
      </w:pPr>
      <w:r>
        <w:t>Select a contextual next step without pathologizing difference.</w:t>
      </w:r>
    </w:p>
    <w:p>
      <w:pPr>
        <w:pStyle w:val="Heading1"/>
      </w:pPr>
      <w:r>
        <w:t>Voice and Presentation Direction</w:t>
      </w:r>
    </w:p>
    <w:p>
      <w:pPr>
        <w:pStyle w:val="ListBullet"/>
        <w:spacing w:after="40"/>
        <w:ind w:left="360" w:hanging="216"/>
      </w:pPr>
      <w:r>
        <w:t>Ask rather than assume.</w:t>
      </w:r>
    </w:p>
    <w:p>
      <w:pPr>
        <w:pStyle w:val="ListBullet"/>
        <w:spacing w:after="40"/>
        <w:ind w:left="360" w:hanging="216"/>
      </w:pPr>
      <w:r>
        <w:t>Distinguish chronological age from developmental capacity.</w:t>
      </w:r>
    </w:p>
    <w:p>
      <w:pPr>
        <w:pStyle w:val="ListBullet"/>
        <w:spacing w:after="40"/>
        <w:ind w:left="360" w:hanging="216"/>
      </w:pPr>
      <w:r>
        <w:t>Name structural stress as a clinical variable, not a character flaw.</w:t>
      </w:r>
    </w:p>
    <w:p>
      <w:pPr>
        <w:pStyle w:val="ListBullet"/>
        <w:spacing w:after="40"/>
        <w:ind w:left="360" w:hanging="216"/>
      </w:pPr>
      <w:r>
        <w:t>Connect strengths and resources to actual safety and treatment decisions.</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culturally humble, nonstereotyping language. Present development as multidimensional and context dependent rather than as a rigid age-based checklist.</w:t>
            </w:r>
          </w:p>
        </w:tc>
      </w:tr>
    </w:tbl>
    <w:p>
      <w:pPr>
        <w:spacing w:after="20"/>
      </w:pPr>
    </w:p>
    <w:p>
      <w:pPr>
        <w:pStyle w:val="Heading1"/>
      </w:pPr>
      <w:r>
        <w:t>Slide-by-Slide Script</w:t>
      </w:r>
    </w:p>
    <w:p>
      <w:pPr>
        <w:pStyle w:val="Heading2"/>
        <w:keepNext/>
      </w:pPr>
      <w:r>
        <w:t>Slide 1: Development Changes Clinical Meaning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The same behavior is viewed across different ages, family stages, and contexts.</w:t>
            </w:r>
          </w:p>
        </w:tc>
        <w:tc>
          <w:tcPr>
            <w:tcW w:type="dxa" w:w="5112"/>
            <w:shd w:fill="DCEFF6"/>
            <w:tcMar>
              <w:top w:w="90" w:type="dxa"/>
              <w:start w:w="110" w:type="dxa"/>
              <w:bottom w:w="90" w:type="dxa"/>
              <w:end w:w="110" w:type="dxa"/>
            </w:tcMar>
            <w:vAlign w:val="top"/>
          </w:tcPr>
          <w:p>
            <w:pPr>
              <w:keepNext/>
              <w:keepLines/>
            </w:pPr>
            <w:r>
              <w:rPr>
                <w:color w:val="243B53"/>
                <w:sz w:val="17"/>
              </w:rPr>
              <w:t>Age Alone Is Not Development</w:t>
            </w:r>
          </w:p>
        </w:tc>
      </w:tr>
    </w:tbl>
    <w:p>
      <w:pPr>
        <w:pStyle w:val="CTALabel"/>
        <w:keepNext/>
      </w:pPr>
      <w:r>
        <w:t>Narration</w:t>
      </w:r>
    </w:p>
    <w:p>
      <w:pPr>
        <w:pStyle w:val="CTANarration"/>
        <w:keepLines/>
        <w:ind w:left="259" w:right="173"/>
      </w:pPr>
      <w:r>
        <w:t>A behavior cannot be interpreted accurately from age alone. Development includes physical health, cognition and learning, emotional regulation, relationships and attachment, identity and meaning, and the surrounding environment. A quiet adolescent, an overwhelmed new parent, or an isolated older adult may require very different assessment depending on baseline, developmental capacity, family transition, health, culture, support, and recent change. Workbook 3 teaches you to ask what is happening, at what developmental point, within which relationships and systems, and with what effect on functioning, safety, and well-being.</w:t>
      </w:r>
    </w:p>
    <w:p>
      <w:pPr>
        <w:pStyle w:val="Heading2"/>
        <w:keepNext/>
      </w:pPr>
      <w:r>
        <w:t>Slide 2: Locate the Client in Development and Family Life Cycle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Individual development and family life-cycle timelines run in parallel.</w:t>
            </w:r>
          </w:p>
        </w:tc>
        <w:tc>
          <w:tcPr>
            <w:tcW w:type="dxa" w:w="5112"/>
            <w:shd w:fill="DCEFF6"/>
            <w:tcMar>
              <w:top w:w="90" w:type="dxa"/>
              <w:start w:w="110" w:type="dxa"/>
              <w:bottom w:w="90" w:type="dxa"/>
              <w:end w:w="110" w:type="dxa"/>
            </w:tcMar>
            <w:vAlign w:val="top"/>
          </w:tcPr>
          <w:p>
            <w:pPr>
              <w:keepNext/>
              <w:keepLines/>
            </w:pPr>
            <w:r>
              <w:rPr>
                <w:color w:val="243B53"/>
                <w:sz w:val="17"/>
              </w:rPr>
              <w:t>Person Stage + Family Stage + Recent Transition</w:t>
            </w:r>
          </w:p>
        </w:tc>
      </w:tr>
    </w:tbl>
    <w:p>
      <w:pPr>
        <w:pStyle w:val="CTALabel"/>
        <w:keepNext/>
      </w:pPr>
      <w:r>
        <w:t>Narration</w:t>
      </w:r>
    </w:p>
    <w:p>
      <w:pPr>
        <w:pStyle w:val="CTANarration"/>
        <w:keepLines/>
        <w:ind w:left="259" w:right="173"/>
      </w:pPr>
      <w:r>
        <w:t>Clarify chronological age, demonstrated developmental abilities, and the current individual life task. Then identify the family life-cycle position and active transitions. School entry, adolescence, launching, couple formation, parenting, divorce, remarriage, caregiving, retirement, illness, migration, deployment, and loss can reorganize roles, boundaries, expectations, and support. Compare current functioning with baseline and ask what changed. A symptom emerging after a major transition may still require diagnosis, but the transition changes the questions you ask and the treatment system you consider.</w:t>
      </w:r>
    </w:p>
    <w:p>
      <w:pPr>
        <w:pStyle w:val="Heading2"/>
        <w:keepNext/>
      </w:pPr>
      <w:r>
        <w:t>Slide 3: Assess Context, Culture, Identity, and Meaning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Context layers include family, school, work, health care, culture, community, legal, and economic systems.</w:t>
            </w:r>
          </w:p>
        </w:tc>
        <w:tc>
          <w:tcPr>
            <w:tcW w:type="dxa" w:w="5112"/>
            <w:shd w:fill="DCEFF6"/>
            <w:tcMar>
              <w:top w:w="90" w:type="dxa"/>
              <w:start w:w="110" w:type="dxa"/>
              <w:bottom w:w="90" w:type="dxa"/>
              <w:end w:w="110" w:type="dxa"/>
            </w:tcMar>
            <w:vAlign w:val="top"/>
          </w:tcPr>
          <w:p>
            <w:pPr>
              <w:keepNext/>
              <w:keepLines/>
            </w:pPr>
            <w:r>
              <w:rPr>
                <w:color w:val="243B53"/>
                <w:sz w:val="17"/>
              </w:rPr>
              <w:t>Ask What the Experience Means to This Client</w:t>
            </w:r>
          </w:p>
        </w:tc>
      </w:tr>
    </w:tbl>
    <w:p>
      <w:pPr>
        <w:pStyle w:val="CTALabel"/>
        <w:keepNext/>
      </w:pPr>
      <w:r>
        <w:t>Narration</w:t>
      </w:r>
    </w:p>
    <w:p>
      <w:pPr>
        <w:pStyle w:val="CTANarration"/>
        <w:keepLines/>
        <w:ind w:left="259" w:right="173"/>
      </w:pPr>
      <w:r>
        <w:t>Culture and identity shape how clients define distress, family responsibility, autonomy, spirituality, help-seeking, privacy, and acceptable change. Assess the client’s own meanings rather than explaining behavior from demographic labels. Include race, ethnicity, gender, sexuality, disability, age, class, religion, immigration, and community only when they are relevant to the client’s experience and goals. Also assess school, work, health care, legal systems, military context, housing, technology, and community resources. Context should change the formulation and next action, not remain a decorative paragraph.</w:t>
      </w:r>
    </w:p>
    <w:p>
      <w:pPr>
        <w:pStyle w:val="Heading2"/>
        <w:keepNext/>
      </w:pPr>
      <w:r>
        <w:t>Slide 4: Include Power, Access, Trauma, and Resilience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balance scale holds barriers and protective resources without treating them as opposites.</w:t>
            </w:r>
          </w:p>
        </w:tc>
        <w:tc>
          <w:tcPr>
            <w:tcW w:type="dxa" w:w="5112"/>
            <w:shd w:fill="DCEFF6"/>
            <w:tcMar>
              <w:top w:w="90" w:type="dxa"/>
              <w:start w:w="110" w:type="dxa"/>
              <w:bottom w:w="90" w:type="dxa"/>
              <w:end w:w="110" w:type="dxa"/>
            </w:tcMar>
            <w:vAlign w:val="top"/>
          </w:tcPr>
          <w:p>
            <w:pPr>
              <w:keepNext/>
              <w:keepLines/>
            </w:pPr>
            <w:r>
              <w:rPr>
                <w:color w:val="243B53"/>
                <w:sz w:val="17"/>
              </w:rPr>
              <w:t>Barrier Assessment + Strength Assessment</w:t>
            </w:r>
          </w:p>
        </w:tc>
      </w:tr>
    </w:tbl>
    <w:p>
      <w:pPr>
        <w:pStyle w:val="CTALabel"/>
        <w:keepNext/>
      </w:pPr>
      <w:r>
        <w:t>Narration</w:t>
      </w:r>
    </w:p>
    <w:p>
      <w:pPr>
        <w:pStyle w:val="CTANarration"/>
        <w:keepLines/>
        <w:ind w:left="259" w:right="173"/>
      </w:pPr>
      <w:r>
        <w:t>Power and accessibility can determine whether treatment is safe and usable. Ask about discrimination, coercion, financial strain, housing instability, language access, transportation, disability accommodations, technology, caregiving demands, and institutional barriers. Do not label missed sessions or incomplete homework as resistance before assessing feasibility. Trauma may be individual, relational, institutional, community-based, or historical, but identity or migration alone does not prove trauma. Strengths such as supportive relationships, prior coping, community connection, cultural resources, persistence, and practical supports should be linked to protection, engagement, and planning.</w:t>
      </w:r>
    </w:p>
    <w:p>
      <w:pPr>
        <w:pStyle w:val="Heading2"/>
        <w:keepNext/>
      </w:pPr>
      <w:r>
        <w:t>Slide 5: Use the Contextual Reasoning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Seven steps move from developmental location to systems, change, meaning, strengths, systemic pattern, and next action.</w:t>
            </w:r>
          </w:p>
        </w:tc>
        <w:tc>
          <w:tcPr>
            <w:tcW w:type="dxa" w:w="5112"/>
            <w:shd w:fill="DCEFF6"/>
            <w:tcMar>
              <w:top w:w="90" w:type="dxa"/>
              <w:start w:w="110" w:type="dxa"/>
              <w:bottom w:w="90" w:type="dxa"/>
              <w:end w:w="110" w:type="dxa"/>
            </w:tcMar>
            <w:vAlign w:val="top"/>
          </w:tcPr>
          <w:p>
            <w:pPr>
              <w:keepNext/>
              <w:keepLines/>
            </w:pPr>
            <w:r>
              <w:rPr>
                <w:color w:val="243B53"/>
                <w:sz w:val="17"/>
              </w:rPr>
              <w:t>Locate → Systems → Change → Meaning → Strengths → Pattern → Action</w:t>
            </w:r>
          </w:p>
        </w:tc>
      </w:tr>
    </w:tbl>
    <w:p>
      <w:pPr>
        <w:pStyle w:val="CTALabel"/>
        <w:keepNext/>
      </w:pPr>
      <w:r>
        <w:t>Narration</w:t>
      </w:r>
    </w:p>
    <w:p>
      <w:pPr>
        <w:pStyle w:val="CTANarration"/>
        <w:keepLines/>
        <w:ind w:left="259" w:right="173"/>
      </w:pPr>
      <w:r>
        <w:t>Use this sequence. First, locate the client in age, developmental level, life stage, and family transition. Second, identify the relevant systems. Third, ask what changed. Fourth, assess meaning, symptoms, functioning, relationships, identity, and safety. Fifth, identify strengths, resources, barriers, access, and power. Sixth, apply the systemic lens to roles, boundaries, attachment, and reciprocal patterns. Seventh, choose the next action: gather missing information, protect safety, collaborate, adapt, refer, plan, or intervene. This sequence keeps development and diversity connected to the actual clinical decision.</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stage stereotyping, cultural overgeneralization, pathologizing difference, individualizing structural stress, and advice before assessment.</w:t>
            </w:r>
          </w:p>
        </w:tc>
        <w:tc>
          <w:tcPr>
            <w:tcW w:type="dxa" w:w="5112"/>
            <w:shd w:fill="DCEFF6"/>
            <w:tcMar>
              <w:top w:w="90" w:type="dxa"/>
              <w:start w:w="110" w:type="dxa"/>
              <w:bottom w:w="90" w:type="dxa"/>
              <w:end w:w="110" w:type="dxa"/>
            </w:tcMar>
            <w:vAlign w:val="top"/>
          </w:tcPr>
          <w:p>
            <w:pPr>
              <w:keepNext/>
              <w:keepLines/>
            </w:pPr>
            <w:r>
              <w:rPr>
                <w:color w:val="243B53"/>
                <w:sz w:val="17"/>
              </w:rPr>
              <w:t>Difference Is Not Diagnosis</w:t>
            </w:r>
          </w:p>
        </w:tc>
      </w:tr>
    </w:tbl>
    <w:p>
      <w:pPr>
        <w:pStyle w:val="CTALabel"/>
        <w:keepNext/>
      </w:pPr>
      <w:r>
        <w:t>Narration</w:t>
      </w:r>
    </w:p>
    <w:p>
      <w:pPr>
        <w:pStyle w:val="CTANarration"/>
        <w:keepLines/>
        <w:ind w:left="259" w:right="173"/>
      </w:pPr>
      <w:r>
        <w:t>Avoid assuming everyone at a certain age or family stage has the same capacity or response. Avoid using group membership as a complete explanation. Do not pathologize language, spirituality, disability, neurodiversity, gender diversity, family structure, or culturally shaped closeness without evidence of distress or impairment. Do not reduce poverty, inaccessible services, discrimination, or housing instability to poor motivation. And do not recommend a behavior plan before clarifying developmental fit, family meaning, safety, school or work conditions, and recent contextual change.</w:t>
      </w:r>
    </w:p>
    <w:p>
      <w:pPr>
        <w:pStyle w:val="Heading2"/>
        <w:keepNext/>
      </w:pPr>
      <w:r>
        <w:t>Slide 7: Mini Scenario: School Refusal After Family Change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family move, job loss, smaller housing, school absence, and conflict appear on a context map.</w:t>
            </w:r>
          </w:p>
        </w:tc>
        <w:tc>
          <w:tcPr>
            <w:tcW w:type="dxa" w:w="5112"/>
            <w:shd w:fill="DCEFF6"/>
            <w:tcMar>
              <w:top w:w="90" w:type="dxa"/>
              <w:start w:w="110" w:type="dxa"/>
              <w:bottom w:w="90" w:type="dxa"/>
              <w:end w:w="110" w:type="dxa"/>
            </w:tcMar>
            <w:vAlign w:val="top"/>
          </w:tcPr>
          <w:p>
            <w:pPr>
              <w:keepNext/>
              <w:keepLines/>
            </w:pPr>
            <w:r>
              <w:rPr>
                <w:color w:val="243B53"/>
                <w:sz w:val="17"/>
              </w:rPr>
              <w:t>Assess the Transition and the System Before Labeling Defiance</w:t>
            </w:r>
          </w:p>
        </w:tc>
      </w:tr>
    </w:tbl>
    <w:p>
      <w:pPr>
        <w:pStyle w:val="CTALabel"/>
        <w:keepNext/>
      </w:pPr>
      <w:r>
        <w:t>Narration</w:t>
      </w:r>
    </w:p>
    <w:p>
      <w:pPr>
        <w:pStyle w:val="CTANarration"/>
        <w:keepLines/>
        <w:ind w:left="259" w:right="173"/>
      </w:pPr>
      <w:r>
        <w:t>A 16-year-old begins missing school after the family moves to a smaller apartment following a parent’s job loss. The parents describe the adolescent as defiant and request an individual behavior plan. A stronger first response assesses the adolescent’s developmental need for autonomy and belonging, school safety and peer context, the meaning of the move, housing stress, family conflict, privacy, symptoms, and the sequence surrounding school mornings. The therapist also identifies strengths and available supports. This does not deny individual responsibility. It prevents a premature intervention that ignores the conditions shaping the behavior.</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developmental-systemic context map leads to Workbook 3 practice questions.</w:t>
            </w:r>
          </w:p>
        </w:tc>
        <w:tc>
          <w:tcPr>
            <w:tcW w:type="dxa" w:w="5112"/>
            <w:shd w:fill="DCEFF6"/>
            <w:tcMar>
              <w:top w:w="90" w:type="dxa"/>
              <w:start w:w="110" w:type="dxa"/>
              <w:bottom w:w="90" w:type="dxa"/>
              <w:end w:w="110" w:type="dxa"/>
            </w:tcMar>
            <w:vAlign w:val="top"/>
          </w:tcPr>
          <w:p>
            <w:pPr>
              <w:keepNext/>
              <w:keepLines/>
            </w:pPr>
            <w:r>
              <w:rPr>
                <w:color w:val="243B53"/>
                <w:sz w:val="17"/>
              </w:rPr>
              <w:t>Development + Family Stage + Context + Meaning + Pattern</w:t>
            </w:r>
          </w:p>
        </w:tc>
      </w:tr>
    </w:tbl>
    <w:p>
      <w:pPr>
        <w:pStyle w:val="CTALabel"/>
        <w:keepNext/>
      </w:pPr>
      <w:r>
        <w:t>Narration</w:t>
      </w:r>
    </w:p>
    <w:p>
      <w:pPr>
        <w:pStyle w:val="CTANarration"/>
        <w:keepLines/>
        <w:ind w:left="259" w:right="173"/>
      </w:pPr>
      <w:r>
        <w:t>For each Workbook 3 vignette, write one line for developmental capacity, one for family life-cycle position, one for recent contextual change, one for client meaning, and one for the relational pattern. Then identify the most important barrier and the most usable strength. In your error log, note whether you stereotyped a stage, assumed culture, ignored an environmental system, pathologized difference, or gave advice before assessment. Your best answers should become more specific, respectful, and context responsive.</w:t>
      </w:r>
    </w:p>
    <w:p>
      <w:pPr>
        <w:pStyle w:val="Heading1"/>
      </w:pPr>
      <w:r>
        <w:t>Audio-Only Adaptation Notes</w:t>
      </w:r>
    </w:p>
    <w:p>
      <w:pPr>
        <w:pStyle w:val="ListBullet"/>
        <w:spacing w:after="40"/>
        <w:ind w:left="360" w:hanging="216"/>
      </w:pPr>
      <w:r>
        <w:t>Describe the developmental domains in plain language.</w:t>
      </w:r>
    </w:p>
    <w:p>
      <w:pPr>
        <w:pStyle w:val="ListBullet"/>
        <w:spacing w:after="40"/>
        <w:ind w:left="360" w:hanging="216"/>
      </w:pPr>
      <w:r>
        <w:t>Pause after each step in the contextual reasoning sequence.</w:t>
      </w:r>
    </w:p>
    <w:p>
      <w:pPr>
        <w:pStyle w:val="ListBullet"/>
        <w:spacing w:after="40"/>
        <w:ind w:left="360" w:hanging="216"/>
      </w:pPr>
      <w:r>
        <w:t>Use “ask, do not assume” as a repeated verbal cue.</w:t>
      </w:r>
    </w:p>
    <w:p>
      <w:pPr>
        <w:pStyle w:val="ListBullet"/>
        <w:spacing w:after="40"/>
        <w:ind w:left="360" w:hanging="216"/>
      </w:pPr>
      <w:r>
        <w:t>End with the five-line context map.</w:t>
      </w:r>
    </w:p>
    <w:p>
      <w:pPr>
        <w:pStyle w:val="Heading1"/>
        <w:keepNext/>
        <w:keepLines/>
        <w:pageBreakBefore/>
      </w:pPr>
      <w:r>
        <w:t>Recording Completion Checklist</w:t>
      </w:r>
    </w:p>
    <w:p>
      <w:pPr>
        <w:pStyle w:val="ListBullet"/>
        <w:keepNext/>
        <w:keepLines/>
        <w:spacing w:after="40"/>
        <w:ind w:left="360" w:hanging="216"/>
      </w:pPr>
      <w:r>
        <w:t>Narration matches the final slide order.</w:t>
      </w:r>
    </w:p>
    <w:p>
      <w:pPr>
        <w:pStyle w:val="ListBullet"/>
        <w:keepNext/>
        <w:keepLines/>
        <w:spacing w:after="40"/>
        <w:ind w:left="360" w:hanging="216"/>
      </w:pPr>
      <w:r>
        <w:t>Captions are synchronized and reviewed for clinical terminology.</w:t>
      </w:r>
    </w:p>
    <w:p>
      <w:pPr>
        <w:pStyle w:val="ListBullet"/>
        <w:keepNext/>
        <w:keepLines/>
        <w:spacing w:after="40"/>
        <w:ind w:left="360" w:hanging="216"/>
      </w:pPr>
      <w:r>
        <w:t>Transcript reflects the final recorded wording.</w:t>
      </w:r>
    </w:p>
    <w:p>
      <w:pPr>
        <w:pStyle w:val="ListBullet"/>
        <w:keepNext/>
        <w:keepLines/>
        <w:spacing w:after="40"/>
        <w:ind w:left="360" w:hanging="216"/>
      </w:pPr>
      <w:r>
        <w:t>Any screen demonstrations are verbally described for audio-only listeners.</w:t>
      </w:r>
    </w:p>
    <w:p>
      <w:pPr>
        <w:pStyle w:val="ListBullet"/>
        <w:keepNext/>
        <w:keepLines/>
        <w:spacing w:after="40"/>
        <w:ind w:left="360" w:hanging="216"/>
      </w:pPr>
      <w:r>
        <w:t>Volume is consistent and background noise is removed.</w:t>
      </w:r>
    </w:p>
    <w:p>
      <w:pPr>
        <w:pStyle w:val="ListBullet"/>
        <w:keepNext/>
        <w:keepLines/>
        <w:spacing w:after="40"/>
        <w:ind w:left="360" w:hanging="216"/>
      </w:pPr>
      <w:r>
        <w:t>Final video, transcript, captions, and MP3 use the same version number.</w:t>
      </w:r>
    </w:p>
    <w:p>
      <w:pPr>
        <w:pStyle w:val="ListBullet"/>
        <w:keepLines/>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help candidates treat development, diversity, and context as decision-making variables that directly alter assessment, treatment fit, and access.</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Workbook 3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3 Companion: Developmental, Psychosocial, and Diversity Assessment</dc:title>
  <dc:subject>CTA LMFT Workbook 3 Companion Multimedia Script</dc:subject>
  <dc:creator>Clinical Training Academy</dc:creator>
  <cp:keywords>LMFT, California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