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4 Companion: Relational, Family-System, Trauma, and Strengths Assessment</w:t>
      </w:r>
    </w:p>
    <w:p>
      <w:pPr>
        <w:jc w:val="center"/>
      </w:pPr>
      <w:r>
        <w:rPr>
          <w:rFonts w:ascii="Aptos Display" w:hAnsi="Aptos Display"/>
          <w:b/>
          <w:color w:val="2AA7D6"/>
          <w:sz w:val="32"/>
        </w:rPr>
        <w:t>LMFT Workbook 4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relational assessment across connection, intimacy, family dynamics, trauma, aggression, strengths, testing, consultation, and referral while preserving safety and multiple perspectives.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4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4: Relational, Family-System, Trauma, and Strengths Assessment, including the RELATE assessment map.</w:t>
            </w:r>
          </w:p>
        </w:tc>
      </w:tr>
    </w:tbl>
    <w:p>
      <w:pPr>
        <w:spacing w:after="20"/>
      </w:pPr>
    </w:p>
    <w:p>
      <w:pPr>
        <w:pStyle w:val="Heading1"/>
      </w:pPr>
      <w:r>
        <w:t>Learning Outcomes</w:t>
      </w:r>
    </w:p>
    <w:p>
      <w:pPr>
        <w:pStyle w:val="ListBullet"/>
        <w:spacing w:after="40"/>
        <w:ind w:left="360" w:hanging="216"/>
      </w:pPr>
      <w:r>
        <w:t>Map relationships, support, roles, boundaries, and conflict sequences.</w:t>
      </w:r>
    </w:p>
    <w:p>
      <w:pPr>
        <w:pStyle w:val="ListBullet"/>
        <w:spacing w:after="40"/>
        <w:ind w:left="360" w:hanging="216"/>
      </w:pPr>
      <w:r>
        <w:t>Assess trauma, loss, aggression, intimacy, and safety appropriately.</w:t>
      </w:r>
    </w:p>
    <w:p>
      <w:pPr>
        <w:pStyle w:val="ListBullet"/>
        <w:spacing w:after="40"/>
        <w:ind w:left="360" w:hanging="216"/>
      </w:pPr>
      <w:r>
        <w:t>Use strengths, measures, consultation, and referral purposefully.</w:t>
      </w:r>
    </w:p>
    <w:p>
      <w:pPr>
        <w:pStyle w:val="ListBullet"/>
        <w:spacing w:after="40"/>
        <w:ind w:left="360" w:hanging="216"/>
      </w:pPr>
      <w:r>
        <w:t>Avoid taking sides or treating one report as the complete family truth.</w:t>
      </w:r>
    </w:p>
    <w:p>
      <w:pPr>
        <w:pStyle w:val="Heading1"/>
      </w:pPr>
      <w:r>
        <w:t>Voice and Presentation Direction</w:t>
      </w:r>
    </w:p>
    <w:p>
      <w:pPr>
        <w:pStyle w:val="ListBullet"/>
        <w:spacing w:after="40"/>
        <w:ind w:left="360" w:hanging="216"/>
      </w:pPr>
      <w:r>
        <w:t>Ask clinically relevant questions without pressing for unnecessary detail.</w:t>
      </w:r>
    </w:p>
    <w:p>
      <w:pPr>
        <w:pStyle w:val="ListBullet"/>
        <w:spacing w:after="40"/>
        <w:ind w:left="360" w:hanging="216"/>
      </w:pPr>
      <w:r>
        <w:t>Name coercion and power when they affect safety or treatment format.</w:t>
      </w:r>
    </w:p>
    <w:p>
      <w:pPr>
        <w:pStyle w:val="ListBullet"/>
        <w:spacing w:after="40"/>
        <w:ind w:left="360" w:hanging="216"/>
      </w:pPr>
      <w:r>
        <w:t>Describe screening tools as supplements to judgment.</w:t>
      </w:r>
    </w:p>
    <w:p>
      <w:pPr>
        <w:pStyle w:val="ListBullet"/>
        <w:spacing w:after="40"/>
        <w:ind w:left="360" w:hanging="216"/>
      </w:pPr>
      <w:r>
        <w:t>Connect every strength to a protective or treatment function.</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trauma-informed pacing and inclusive relational language. Emphasize safety before conjoint disclosure and strengths as usable clinical data.</w:t>
            </w:r>
          </w:p>
        </w:tc>
      </w:tr>
    </w:tbl>
    <w:p>
      <w:pPr>
        <w:spacing w:after="20"/>
      </w:pPr>
    </w:p>
    <w:p>
      <w:pPr>
        <w:pStyle w:val="Heading1"/>
      </w:pPr>
      <w:r>
        <w:t>Slide-by-Slide Script</w:t>
      </w:r>
    </w:p>
    <w:p>
      <w:pPr>
        <w:pStyle w:val="Heading2"/>
        <w:keepNext/>
      </w:pPr>
      <w:r>
        <w:t>Slide 1: Relational Assessment Is More Than Conflict History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relationship map includes support, boundaries, roles, intimacy, trauma, safety, and strengths.</w:t>
            </w:r>
          </w:p>
        </w:tc>
        <w:tc>
          <w:tcPr>
            <w:tcW w:type="dxa" w:w="5112"/>
            <w:shd w:fill="DCEFF6"/>
            <w:tcMar>
              <w:top w:w="90" w:type="dxa"/>
              <w:start w:w="110" w:type="dxa"/>
              <w:bottom w:w="90" w:type="dxa"/>
              <w:end w:w="110" w:type="dxa"/>
            </w:tcMar>
            <w:vAlign w:val="top"/>
          </w:tcPr>
          <w:p>
            <w:pPr>
              <w:keepNext/>
              <w:keepLines/>
            </w:pPr>
            <w:r>
              <w:rPr>
                <w:color w:val="243B53"/>
                <w:sz w:val="17"/>
              </w:rPr>
              <w:t>Assess the Pattern and the Protection</w:t>
            </w:r>
          </w:p>
        </w:tc>
      </w:tr>
    </w:tbl>
    <w:p>
      <w:pPr>
        <w:pStyle w:val="CTALabel"/>
        <w:keepNext/>
      </w:pPr>
      <w:r>
        <w:t>Narration</w:t>
      </w:r>
    </w:p>
    <w:p>
      <w:pPr>
        <w:pStyle w:val="CTANarration"/>
        <w:keepLines/>
        <w:ind w:left="259" w:right="173"/>
      </w:pPr>
      <w:r>
        <w:t>Relational assessment asks how people connect, support, influence, protect, and sometimes endanger one another. It includes social connection, intimacy and sexuality, family roles, hierarchy, boundaries, alliances, trauma, loss, aggression, regulation, coping, resilience, and available supports. The therapist gathers multiple perspectives without assuming that every perspective is equally accurate or every participant has equal power. Workbook 4 helps you identify what is known, what is missing, and which assessment step or consultation will resolve the most important unanswered question.</w:t>
      </w:r>
    </w:p>
    <w:p>
      <w:pPr>
        <w:pStyle w:val="Heading2"/>
        <w:keepNext/>
      </w:pPr>
      <w:r>
        <w:t>Slide 2: Use the RELATE Assessment Map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The six RELATE domains form a circular assessment map.</w:t>
            </w:r>
          </w:p>
        </w:tc>
        <w:tc>
          <w:tcPr>
            <w:tcW w:type="dxa" w:w="5112"/>
            <w:shd w:fill="DCEFF6"/>
            <w:tcMar>
              <w:top w:w="90" w:type="dxa"/>
              <w:start w:w="110" w:type="dxa"/>
              <w:bottom w:w="90" w:type="dxa"/>
              <w:end w:w="110" w:type="dxa"/>
            </w:tcMar>
            <w:vAlign w:val="top"/>
          </w:tcPr>
          <w:p>
            <w:pPr>
              <w:keepNext/>
              <w:keepLines/>
            </w:pPr>
            <w:r>
              <w:rPr>
                <w:color w:val="243B53"/>
                <w:sz w:val="17"/>
              </w:rPr>
              <w:t>Relationships • Emotional Injury • Life System • Aggression • Tools • Existing Strengths</w:t>
            </w:r>
          </w:p>
        </w:tc>
      </w:tr>
    </w:tbl>
    <w:p>
      <w:pPr>
        <w:pStyle w:val="CTALabel"/>
        <w:keepNext/>
      </w:pPr>
      <w:r>
        <w:t>Narration</w:t>
      </w:r>
    </w:p>
    <w:p>
      <w:pPr>
        <w:pStyle w:val="CTANarration"/>
        <w:keepLines/>
        <w:ind w:left="259" w:right="173"/>
      </w:pPr>
      <w:r>
        <w:t>RELATE organizes the major domains. R is relationships and social connection. E is emotional injuries, trauma, and loss. L is the life-support system and family dynamics. A is aggression, impulsivity, and regulation. T is tools, testing, consultation, and referral. The final E is existing strengths, coping, resilience, and protective factors. The map does not require equal depth in every domain. Follow the facts that affect safety, formulation, treatment fit, and level of care. Use it to prevent a narrow focus on only symptoms or only family conflict.</w:t>
      </w:r>
    </w:p>
    <w:p>
      <w:pPr>
        <w:pStyle w:val="Heading2"/>
        <w:keepNext/>
      </w:pPr>
      <w:r>
        <w:t>Slide 3: Assess Trauma, Loss, Intimacy, and Aggression With Pacing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safety gate appears before deeper trauma, sexuality, or violence inquiry.</w:t>
            </w:r>
          </w:p>
        </w:tc>
        <w:tc>
          <w:tcPr>
            <w:tcW w:type="dxa" w:w="5112"/>
            <w:shd w:fill="DCEFF6"/>
            <w:tcMar>
              <w:top w:w="90" w:type="dxa"/>
              <w:start w:w="110" w:type="dxa"/>
              <w:bottom w:w="90" w:type="dxa"/>
              <w:end w:w="110" w:type="dxa"/>
            </w:tcMar>
            <w:vAlign w:val="top"/>
          </w:tcPr>
          <w:p>
            <w:pPr>
              <w:keepNext/>
              <w:keepLines/>
            </w:pPr>
            <w:r>
              <w:rPr>
                <w:color w:val="243B53"/>
                <w:sz w:val="17"/>
              </w:rPr>
              <w:t>Safety and Consent Before Detail</w:t>
            </w:r>
          </w:p>
        </w:tc>
      </w:tr>
    </w:tbl>
    <w:p>
      <w:pPr>
        <w:pStyle w:val="CTALabel"/>
        <w:keepNext/>
      </w:pPr>
      <w:r>
        <w:t>Narration</w:t>
      </w:r>
    </w:p>
    <w:p>
      <w:pPr>
        <w:pStyle w:val="CTANarration"/>
        <w:keepLines/>
        <w:ind w:left="259" w:right="173"/>
      </w:pPr>
      <w:r>
        <w:t>Sensitive topics require relevance, consent, developmentally and culturally appropriate language, and careful attention to safety. Determine whether abuse, coercion, violence, stalking, or exploitation is current before encouraging conjoint disclosure. A calm presentation does not rule out danger, and a history of aggression does not automatically prove current intent. For trauma and loss, assess timing, current safety, functional impact, coping, support, and meaning before seeking a detailed narrative. For intimacy and sexuality, avoid assumptions about orientation, relationship structure, ability, or cultural norms.</w:t>
      </w:r>
    </w:p>
    <w:p>
      <w:pPr>
        <w:pStyle w:val="Heading2"/>
        <w:keepNext/>
      </w:pPr>
      <w:r>
        <w:t>Slide 4: Strengths and Measures Must Change the Decision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Protective resources and standardized tools feed into specific clinical decisions.</w:t>
            </w:r>
          </w:p>
        </w:tc>
        <w:tc>
          <w:tcPr>
            <w:tcW w:type="dxa" w:w="5112"/>
            <w:shd w:fill="DCEFF6"/>
            <w:tcMar>
              <w:top w:w="90" w:type="dxa"/>
              <w:start w:w="110" w:type="dxa"/>
              <w:bottom w:w="90" w:type="dxa"/>
              <w:end w:w="110" w:type="dxa"/>
            </w:tcMar>
            <w:vAlign w:val="top"/>
          </w:tcPr>
          <w:p>
            <w:pPr>
              <w:keepNext/>
              <w:keepLines/>
            </w:pPr>
            <w:r>
              <w:rPr>
                <w:color w:val="243B53"/>
                <w:sz w:val="17"/>
              </w:rPr>
              <w:t>Strengths Are Usable Resources</w:t>
            </w:r>
          </w:p>
        </w:tc>
      </w:tr>
    </w:tbl>
    <w:p>
      <w:pPr>
        <w:pStyle w:val="CTALabel"/>
        <w:keepNext/>
      </w:pPr>
      <w:r>
        <w:t>Narration</w:t>
      </w:r>
    </w:p>
    <w:p>
      <w:pPr>
        <w:pStyle w:val="CTANarration"/>
        <w:keepLines/>
        <w:ind w:left="259" w:right="173"/>
      </w:pPr>
      <w:r>
        <w:t>Strengths are not a reassuring list added after risk assessment. They include internal capacities, safe relationships, prior successful coping, community resources, housing, transportation, health care, school support, and other assets that can reduce risk or increase follow-through. Standardized measures can support assessment when they answer a defined question and are appropriate for age, language, literacy, disability, culture, and setting. A score is not a diagnosis. Ask how the result changes safety planning, consultation, referral, monitoring, or treatment.</w:t>
      </w:r>
    </w:p>
    <w:p>
      <w:pPr>
        <w:pStyle w:val="Heading2"/>
        <w:keepNext/>
      </w:pPr>
      <w:r>
        <w:t>Slide 5: Use Consultation and Referral for the Unresolved Question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clinical question points to psychiatry, medicine, psychology, school services, or a multidisciplinary team.</w:t>
            </w:r>
          </w:p>
        </w:tc>
        <w:tc>
          <w:tcPr>
            <w:tcW w:type="dxa" w:w="5112"/>
            <w:shd w:fill="DCEFF6"/>
            <w:tcMar>
              <w:top w:w="90" w:type="dxa"/>
              <w:start w:w="110" w:type="dxa"/>
              <w:bottom w:w="90" w:type="dxa"/>
              <w:end w:w="110" w:type="dxa"/>
            </w:tcMar>
            <w:vAlign w:val="top"/>
          </w:tcPr>
          <w:p>
            <w:pPr>
              <w:keepNext/>
              <w:keepLines/>
            </w:pPr>
            <w:r>
              <w:rPr>
                <w:color w:val="243B53"/>
                <w:sz w:val="17"/>
              </w:rPr>
              <w:t>Refer for a Purpose, Preserve Continuity</w:t>
            </w:r>
          </w:p>
        </w:tc>
      </w:tr>
    </w:tbl>
    <w:p>
      <w:pPr>
        <w:pStyle w:val="CTALabel"/>
        <w:keepNext/>
      </w:pPr>
      <w:r>
        <w:t>Narration</w:t>
      </w:r>
    </w:p>
    <w:p>
      <w:pPr>
        <w:pStyle w:val="CTANarration"/>
        <w:keepLines/>
        <w:ind w:left="259" w:right="173"/>
      </w:pPr>
      <w:r>
        <w:t>Consultation or referral should answer a specific question that exceeds the therapist’s role or competence. Severe mood symptoms or medication questions may require psychiatric evaluation. Fainting, neurological change, sleep, pain, or endocrine symptoms may require medical assessment. Cognitive or diagnostic clarification may require psychological testing. School functioning may require educational services. Complex needs may require multidisciplinary coordination. Referral is not an automatic exit from relational treatment. Clarify roles, obtain appropriate authorization, share only relevant information, and remain responsible for continuity within the LMFT role.</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taking one report as truth, pressing for detail, pathologizing closeness, using a score as diagnosis, and empty strengths language.</w:t>
            </w:r>
          </w:p>
        </w:tc>
        <w:tc>
          <w:tcPr>
            <w:tcW w:type="dxa" w:w="5112"/>
            <w:shd w:fill="DCEFF6"/>
            <w:tcMar>
              <w:top w:w="90" w:type="dxa"/>
              <w:start w:w="110" w:type="dxa"/>
              <w:bottom w:w="90" w:type="dxa"/>
              <w:end w:w="110" w:type="dxa"/>
            </w:tcMar>
            <w:vAlign w:val="top"/>
          </w:tcPr>
          <w:p>
            <w:pPr>
              <w:keepNext/>
              <w:keepLines/>
            </w:pPr>
            <w:r>
              <w:rPr>
                <w:color w:val="243B53"/>
                <w:sz w:val="17"/>
              </w:rPr>
              <w:t>Assess Before You Interpret</w:t>
            </w:r>
          </w:p>
        </w:tc>
      </w:tr>
    </w:tbl>
    <w:p>
      <w:pPr>
        <w:pStyle w:val="CTALabel"/>
        <w:keepNext/>
      </w:pPr>
      <w:r>
        <w:t>Narration</w:t>
      </w:r>
    </w:p>
    <w:p>
      <w:pPr>
        <w:pStyle w:val="CTANarration"/>
        <w:keepLines/>
        <w:ind w:left="259" w:right="173"/>
      </w:pPr>
      <w:r>
        <w:t>Common traps include treating one participant’s report as the complete family truth, interpreting motive before mapping the sequence, pressing for trauma or sexual detail before explaining relevance, pathologizing cultural closeness or a nontraditional relationship, using a screening score as a diagnosis, referring before basic assessment, failing to refer when specialty evaluation is clearly needed, and naming strengths without explaining how they protect or guide care. The strongest answer protects safety, preserves alliance, and targets the unanswered question.</w:t>
      </w:r>
    </w:p>
    <w:p>
      <w:pPr>
        <w:pStyle w:val="Heading2"/>
        <w:keepNext/>
      </w:pPr>
      <w:r>
        <w:t>Slide 7: Mini Scenario: Adolescent, School Fear, and Family Temper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An adolescent, two parents, school concerns, and a private report of fear are shown on a RELATE map.</w:t>
            </w:r>
          </w:p>
        </w:tc>
        <w:tc>
          <w:tcPr>
            <w:tcW w:type="dxa" w:w="5112"/>
            <w:shd w:fill="DCEFF6"/>
            <w:tcMar>
              <w:top w:w="90" w:type="dxa"/>
              <w:start w:w="110" w:type="dxa"/>
              <w:bottom w:w="90" w:type="dxa"/>
              <w:end w:w="110" w:type="dxa"/>
            </w:tcMar>
            <w:vAlign w:val="top"/>
          </w:tcPr>
          <w:p>
            <w:pPr>
              <w:keepNext/>
              <w:keepLines/>
            </w:pPr>
            <w:r>
              <w:rPr>
                <w:color w:val="243B53"/>
                <w:sz w:val="17"/>
              </w:rPr>
              <w:t>Private Safety Assessment Before Joint Disclosure</w:t>
            </w:r>
          </w:p>
        </w:tc>
      </w:tr>
    </w:tbl>
    <w:p>
      <w:pPr>
        <w:pStyle w:val="CTALabel"/>
        <w:keepNext/>
      </w:pPr>
      <w:r>
        <w:t>Narration</w:t>
      </w:r>
    </w:p>
    <w:p>
      <w:pPr>
        <w:pStyle w:val="CTANarration"/>
        <w:keepLines/>
        <w:ind w:left="259" w:right="173"/>
      </w:pPr>
      <w:r>
        <w:t>A 16-year-old is brought for school refusal and escalating arguments. One parent calls the adolescent manipulative. The other privately reports fear of the first parent’s temper. The adolescent says school feels unsafe but will not explain in the joint session. The therapist should not force disclosure or accept the manipulation label. First assess immediate safety and whether joint discussion is appropriate. Then gather each perspective within the treatment frame, clarify coercion, aggression, school context, trauma, loss, coping, and protective relationships. Consultation may follow if the facts point to school, medical, psychiatric, or multidisciplinary needs.</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blank RELATE map is completed before the Workbook 4 practice bank.</w:t>
            </w:r>
          </w:p>
        </w:tc>
        <w:tc>
          <w:tcPr>
            <w:tcW w:type="dxa" w:w="5112"/>
            <w:shd w:fill="DCEFF6"/>
            <w:tcMar>
              <w:top w:w="90" w:type="dxa"/>
              <w:start w:w="110" w:type="dxa"/>
              <w:bottom w:w="90" w:type="dxa"/>
              <w:end w:w="110" w:type="dxa"/>
            </w:tcMar>
            <w:vAlign w:val="top"/>
          </w:tcPr>
          <w:p>
            <w:pPr>
              <w:keepNext/>
              <w:keepLines/>
            </w:pPr>
            <w:r>
              <w:rPr>
                <w:color w:val="243B53"/>
                <w:sz w:val="17"/>
              </w:rPr>
              <w:t>Known • Missing • Source • Next Step</w:t>
            </w:r>
          </w:p>
        </w:tc>
      </w:tr>
    </w:tbl>
    <w:p>
      <w:pPr>
        <w:pStyle w:val="CTALabel"/>
        <w:keepNext/>
      </w:pPr>
      <w:r>
        <w:t>Narration</w:t>
      </w:r>
    </w:p>
    <w:p>
      <w:pPr>
        <w:pStyle w:val="CTANarration"/>
        <w:keepLines/>
        <w:ind w:left="259" w:right="173"/>
      </w:pPr>
      <w:r>
        <w:t>Use RELATE on every Workbook 4 scenario. For each domain, record what is known, what is missing, who can answer the question, and whether the information changes safety, treatment format, referral, or planning. In the question bank, track errors involving alliance, current danger, trauma pacing, source reliability, instrument limits, consultation, or protective factors. Your aim is not to collect every possible fact. It is to obtain the fact that most improves the next clinical decision.</w:t>
      </w:r>
    </w:p>
    <w:p>
      <w:pPr>
        <w:pStyle w:val="Heading1"/>
      </w:pPr>
      <w:r>
        <w:t>Audio-Only Adaptation Notes</w:t>
      </w:r>
    </w:p>
    <w:p>
      <w:pPr>
        <w:pStyle w:val="ListBullet"/>
        <w:spacing w:after="40"/>
        <w:ind w:left="360" w:hanging="216"/>
      </w:pPr>
      <w:r>
        <w:t>Spell out RELATE once, then use the acronym naturally.</w:t>
      </w:r>
    </w:p>
    <w:p>
      <w:pPr>
        <w:pStyle w:val="ListBullet"/>
        <w:spacing w:after="40"/>
        <w:ind w:left="360" w:hanging="216"/>
      </w:pPr>
      <w:r>
        <w:t>Pause after “safety and consent before detail.”</w:t>
      </w:r>
    </w:p>
    <w:p>
      <w:pPr>
        <w:pStyle w:val="ListBullet"/>
        <w:spacing w:after="40"/>
        <w:ind w:left="360" w:hanging="216"/>
      </w:pPr>
      <w:r>
        <w:t>Describe referral as answering a specific unresolved question.</w:t>
      </w:r>
    </w:p>
    <w:p>
      <w:pPr>
        <w:pStyle w:val="ListBullet"/>
        <w:spacing w:after="40"/>
        <w:ind w:left="360" w:hanging="216"/>
      </w:pPr>
      <w:r>
        <w:t>End with known, missing, source, and next step.</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companion should position Workbook 4 as the bridge from general assessment to systemic formulation, trauma-sensitive inquiry, risk recognition, and purposeful consultation.</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4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4 Companion: Relational, Family-System, Trauma, and Strengths Assessment</dc:title>
  <dc:subject>CTA LMFT Workbook 4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