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5 Companion: Diagnosis and Differential Diagnosis</w:t>
      </w:r>
    </w:p>
    <w:p>
      <w:pPr>
        <w:jc w:val="center"/>
      </w:pPr>
      <w:r>
        <w:rPr>
          <w:rFonts w:ascii="Aptos Display" w:hAnsi="Aptos Display"/>
          <w:b/>
          <w:color w:val="2AA7D6"/>
          <w:sz w:val="32"/>
        </w:rPr>
        <w:t>LMFT Workbook 5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diagnosis as a structured, revisable reasoning process based on pattern, chronology, threshold, impairment, exclusions, context, and competing explanations.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5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5: Diagnosis and Differential Diagnosis, including diagnostic status terms, high-yield differentials, the systemic diagnostic lens, and SAFER DIAGNOSIS memory aid.</w:t>
            </w:r>
          </w:p>
        </w:tc>
      </w:tr>
    </w:tbl>
    <w:p>
      <w:pPr>
        <w:spacing w:after="20"/>
      </w:pPr>
    </w:p>
    <w:p>
      <w:pPr>
        <w:pStyle w:val="Heading1"/>
      </w:pPr>
      <w:r>
        <w:t>Learning Outcomes</w:t>
      </w:r>
    </w:p>
    <w:p>
      <w:pPr>
        <w:pStyle w:val="ListBullet"/>
        <w:spacing w:after="40"/>
        <w:ind w:left="360" w:hanging="216"/>
      </w:pPr>
      <w:r>
        <w:t>Use pattern, chronology, threshold, and impairment in diagnostic reasoning.</w:t>
      </w:r>
    </w:p>
    <w:p>
      <w:pPr>
        <w:pStyle w:val="ListBullet"/>
        <w:spacing w:after="40"/>
        <w:ind w:left="360" w:hanging="216"/>
      </w:pPr>
      <w:r>
        <w:t>Assess medical, medication, substance, sleep, and contextual exclusions.</w:t>
      </w:r>
    </w:p>
    <w:p>
      <w:pPr>
        <w:pStyle w:val="ListBullet"/>
        <w:spacing w:after="40"/>
        <w:ind w:left="360" w:hanging="216"/>
      </w:pPr>
      <w:r>
        <w:t>Differentiate working, provisional, differential, and contextual formulations.</w:t>
      </w:r>
    </w:p>
    <w:p>
      <w:pPr>
        <w:pStyle w:val="ListBullet"/>
        <w:spacing w:after="40"/>
        <w:ind w:left="360" w:hanging="216"/>
      </w:pPr>
      <w:r>
        <w:t>Recognize when more assessment or referral comes before diagnosis.</w:t>
      </w:r>
    </w:p>
    <w:p>
      <w:pPr>
        <w:pStyle w:val="Heading1"/>
      </w:pPr>
      <w:r>
        <w:t>Voice and Presentation Direction</w:t>
      </w:r>
    </w:p>
    <w:p>
      <w:pPr>
        <w:pStyle w:val="ListBullet"/>
        <w:spacing w:after="40"/>
        <w:ind w:left="360" w:hanging="216"/>
      </w:pPr>
      <w:r>
        <w:t>Use “consider,” “clarify,” and “differentiate” when evidence is incomplete.</w:t>
      </w:r>
    </w:p>
    <w:p>
      <w:pPr>
        <w:pStyle w:val="ListBullet"/>
        <w:spacing w:after="40"/>
        <w:ind w:left="360" w:hanging="216"/>
      </w:pPr>
      <w:r>
        <w:t>Avoid presenting diagnosis as the client’s identity.</w:t>
      </w:r>
    </w:p>
    <w:p>
      <w:pPr>
        <w:pStyle w:val="ListBullet"/>
        <w:spacing w:after="40"/>
        <w:ind w:left="360" w:hanging="216"/>
      </w:pPr>
      <w:r>
        <w:t>Preserve the LMFT systemic lens without explaining serious symptoms only through relationships.</w:t>
      </w:r>
    </w:p>
    <w:p>
      <w:pPr>
        <w:pStyle w:val="ListBullet"/>
        <w:spacing w:after="40"/>
        <w:ind w:left="360" w:hanging="216"/>
      </w:pPr>
      <w:r>
        <w:t>State urgent medical and safety priorities clearly.</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careful, nonabsolute language. Do not reproduce diagnostic-manual criteria verbatim. Emphasize evidence, exclusions, and what information would change the conclusion.</w:t>
            </w:r>
          </w:p>
        </w:tc>
      </w:tr>
    </w:tbl>
    <w:p>
      <w:pPr>
        <w:spacing w:after="20"/>
      </w:pPr>
    </w:p>
    <w:p>
      <w:pPr>
        <w:pStyle w:val="Heading1"/>
      </w:pPr>
      <w:r>
        <w:t>Slide-by-Slide Script</w:t>
      </w:r>
    </w:p>
    <w:p>
      <w:pPr>
        <w:pStyle w:val="Heading2"/>
        <w:keepNext/>
      </w:pPr>
      <w:r>
        <w:t>Slide 1: Diagnosis Is a Working Clinical Conclusion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Evidence is organized into a working formulation that remains open to revision.</w:t>
            </w:r>
          </w:p>
        </w:tc>
        <w:tc>
          <w:tcPr>
            <w:tcW w:type="dxa" w:w="5112"/>
            <w:shd w:fill="DCEFF6"/>
            <w:tcMar>
              <w:top w:w="90" w:type="dxa"/>
              <w:start w:w="110" w:type="dxa"/>
              <w:bottom w:w="90" w:type="dxa"/>
              <w:end w:w="110" w:type="dxa"/>
            </w:tcMar>
            <w:vAlign w:val="top"/>
          </w:tcPr>
          <w:p>
            <w:pPr>
              <w:keepNext/>
              <w:keepLines/>
            </w:pPr>
            <w:r>
              <w:rPr>
                <w:color w:val="243B53"/>
                <w:sz w:val="17"/>
              </w:rPr>
              <w:t>Pattern + Course + Impact + Exclusions</w:t>
            </w:r>
          </w:p>
        </w:tc>
      </w:tr>
    </w:tbl>
    <w:p>
      <w:pPr>
        <w:pStyle w:val="CTALabel"/>
        <w:keepNext/>
      </w:pPr>
      <w:r>
        <w:t>Narration</w:t>
      </w:r>
    </w:p>
    <w:p>
      <w:pPr>
        <w:pStyle w:val="CTANarration"/>
        <w:keepLines/>
        <w:ind w:left="259" w:right="173"/>
      </w:pPr>
      <w:r>
        <w:t>Diagnosis is useful when it organizes evidence, guides care, and remains open to revision. It is not a label selected from one dramatic symptom. Strong diagnostic reasoning identifies the symptom pattern, establishes onset and course, evaluates distress and impairment, checks exclusions, compares plausible alternatives, and integrates developmental, cultural, medical, substance, and relational context. Workbook 5 focuses on the decision process rather than memorizing complete manual criteria. On the exam, the best response may be a supported diagnosis, a provisional formulation, an active differential, a contextual condition, or a request for more information.</w:t>
      </w:r>
    </w:p>
    <w:p>
      <w:pPr>
        <w:pStyle w:val="Heading2"/>
        <w:keepNext/>
      </w:pPr>
      <w:r>
        <w:t>Slide 2: Define the Pattern, Threshold, and Chronology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diagnostic timeline displays symptoms, episodes, duration, severity, baseline, and functional change.</w:t>
            </w:r>
          </w:p>
        </w:tc>
        <w:tc>
          <w:tcPr>
            <w:tcW w:type="dxa" w:w="5112"/>
            <w:shd w:fill="DCEFF6"/>
            <w:tcMar>
              <w:top w:w="90" w:type="dxa"/>
              <w:start w:w="110" w:type="dxa"/>
              <w:bottom w:w="90" w:type="dxa"/>
              <w:end w:w="110" w:type="dxa"/>
            </w:tcMar>
            <w:vAlign w:val="top"/>
          </w:tcPr>
          <w:p>
            <w:pPr>
              <w:keepNext/>
              <w:keepLines/>
            </w:pPr>
            <w:r>
              <w:rPr>
                <w:color w:val="243B53"/>
                <w:sz w:val="17"/>
              </w:rPr>
              <w:t>What? How Long? How Severe? What Changed?</w:t>
            </w:r>
          </w:p>
        </w:tc>
      </w:tr>
    </w:tbl>
    <w:p>
      <w:pPr>
        <w:pStyle w:val="CTALabel"/>
        <w:keepNext/>
      </w:pPr>
      <w:r>
        <w:t>Narration</w:t>
      </w:r>
    </w:p>
    <w:p>
      <w:pPr>
        <w:pStyle w:val="CTANarration"/>
        <w:keepLines/>
        <w:ind w:left="259" w:right="173"/>
      </w:pPr>
      <w:r>
        <w:t>Begin by defining which symptoms and behaviors belong together and how they affect relationships, parenting, work, school, self-care, health, finances, or safety. Clarify onset, duration, frequency, progression, triggers, episodic pattern, and baseline. Chronology often separates diagnoses that share similar symptoms. Reduced sleep caused by anxiety is different from a decreased need for sleep with increased energy and risky behavior. Grief, adjustment, trauma activation, and a persistent mood syndrome may all include sadness, but course, context, associated features, and impairment differ.</w:t>
      </w:r>
    </w:p>
    <w:p>
      <w:pPr>
        <w:pStyle w:val="Heading2"/>
        <w:keepNext/>
      </w:pPr>
      <w:r>
        <w:t>Slide 3: Check Medical, Medication, Substance, and Sleep Exclusions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Four rule-out pathways lead to medical, prescriber, substance, and sleep assessment.</w:t>
            </w:r>
          </w:p>
        </w:tc>
        <w:tc>
          <w:tcPr>
            <w:tcW w:type="dxa" w:w="5112"/>
            <w:shd w:fill="DCEFF6"/>
            <w:tcMar>
              <w:top w:w="90" w:type="dxa"/>
              <w:start w:w="110" w:type="dxa"/>
              <w:bottom w:w="90" w:type="dxa"/>
              <w:end w:w="110" w:type="dxa"/>
            </w:tcMar>
            <w:vAlign w:val="top"/>
          </w:tcPr>
          <w:p>
            <w:pPr>
              <w:keepNext/>
              <w:keepLines/>
            </w:pPr>
            <w:r>
              <w:rPr>
                <w:color w:val="243B53"/>
                <w:sz w:val="17"/>
              </w:rPr>
              <w:t>Rule Out Before You Lock In</w:t>
            </w:r>
          </w:p>
        </w:tc>
      </w:tr>
    </w:tbl>
    <w:p>
      <w:pPr>
        <w:pStyle w:val="CTALabel"/>
        <w:keepNext/>
      </w:pPr>
      <w:r>
        <w:t>Narration</w:t>
      </w:r>
    </w:p>
    <w:p>
      <w:pPr>
        <w:pStyle w:val="CTANarration"/>
        <w:keepLines/>
        <w:ind w:left="259" w:right="173"/>
      </w:pPr>
      <w:r>
        <w:t>Sudden change, altered consciousness, neurological signs, pregnancy or postpartum change, infection, pain, or metabolic symptoms may require medical evaluation. Symptoms that follow a medication start, stop, dose change, interaction, or inconsistent use require prescriber coordination. Intoxication, withdrawal, escalating use, and symptoms during abstinence help differentiate substance-induced and primary presentations. Severe sleep disruption can be a cause, a symptom, or a maintaining factor. The LMFT assesses chronology, current risk, and functional impact, stays within scope, and coordinates appropriate care before finalizing a psychiatric explanation.</w:t>
      </w:r>
    </w:p>
    <w:p>
      <w:pPr>
        <w:pStyle w:val="Heading2"/>
        <w:keepNext/>
      </w:pPr>
      <w:r>
        <w:t>Slide 4: Integrate Context, Comorbidity, and the Systemic Lens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Individual diagnosis and relational or contextual conditions appear as connected but separate layers.</w:t>
            </w:r>
          </w:p>
        </w:tc>
        <w:tc>
          <w:tcPr>
            <w:tcW w:type="dxa" w:w="5112"/>
            <w:shd w:fill="DCEFF6"/>
            <w:tcMar>
              <w:top w:w="90" w:type="dxa"/>
              <w:start w:w="110" w:type="dxa"/>
              <w:bottom w:w="90" w:type="dxa"/>
              <w:end w:w="110" w:type="dxa"/>
            </w:tcMar>
            <w:vAlign w:val="top"/>
          </w:tcPr>
          <w:p>
            <w:pPr>
              <w:keepNext/>
              <w:keepLines/>
            </w:pPr>
            <w:r>
              <w:rPr>
                <w:color w:val="243B53"/>
                <w:sz w:val="17"/>
              </w:rPr>
              <w:t>Do Not Make One Diagnosis Explain Everything</w:t>
            </w:r>
          </w:p>
        </w:tc>
      </w:tr>
    </w:tbl>
    <w:p>
      <w:pPr>
        <w:pStyle w:val="CTALabel"/>
        <w:keepNext/>
      </w:pPr>
      <w:r>
        <w:t>Narration</w:t>
      </w:r>
    </w:p>
    <w:p>
      <w:pPr>
        <w:pStyle w:val="CTANarration"/>
        <w:keepLines/>
        <w:ind w:left="259" w:right="173"/>
      </w:pPr>
      <w:r>
        <w:t>A client may have more than one clinically meaningful condition, but more diagnoses are not automatically more accurate. Use parsimony without forcing unrelated symptoms into one label. Assess whether mood, anxiety, trauma, substance, personality, developmental, or psychotic features are independent, overlapping, or secondary to another condition. Diagnose the individual presentation while also assessing couple conflict, parenting strain, caregiving burden, housing, work, discrimination, or family patterns. Relational distress may be a separate focus of care and should not be used either to dismiss a disorder or to blame one person for the system.</w:t>
      </w:r>
    </w:p>
    <w:p>
      <w:pPr>
        <w:pStyle w:val="Heading2"/>
        <w:keepNext/>
      </w:pPr>
      <w:r>
        <w:t>Slide 5: Decide: Diagnose, Gather More, or Refer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Five diagnostic status cards: working, provisional, differential, rule-out, contextual focus.</w:t>
            </w:r>
          </w:p>
        </w:tc>
        <w:tc>
          <w:tcPr>
            <w:tcW w:type="dxa" w:w="5112"/>
            <w:shd w:fill="DCEFF6"/>
            <w:tcMar>
              <w:top w:w="90" w:type="dxa"/>
              <w:start w:w="110" w:type="dxa"/>
              <w:bottom w:w="90" w:type="dxa"/>
              <w:end w:w="110" w:type="dxa"/>
            </w:tcMar>
            <w:vAlign w:val="top"/>
          </w:tcPr>
          <w:p>
            <w:pPr>
              <w:keepNext/>
              <w:keepLines/>
            </w:pPr>
            <w:r>
              <w:rPr>
                <w:color w:val="243B53"/>
                <w:sz w:val="17"/>
              </w:rPr>
              <w:t>State Only What the Evidence Supports</w:t>
            </w:r>
          </w:p>
        </w:tc>
      </w:tr>
    </w:tbl>
    <w:p>
      <w:pPr>
        <w:pStyle w:val="CTALabel"/>
        <w:keepNext/>
      </w:pPr>
      <w:r>
        <w:t>Narration</w:t>
      </w:r>
    </w:p>
    <w:p>
      <w:pPr>
        <w:pStyle w:val="CTANarration"/>
        <w:keepLines/>
        <w:ind w:left="259" w:right="173"/>
      </w:pPr>
      <w:r>
        <w:t>Use a working diagnosis when pattern, course, impairment, and exclusions are adequately supported. Use provisional language when the presentation strongly suggests a diagnosis but important confirmation is pending. Keep a differential active when two or more explanations remain plausible and a high-value fact can separate them. Consider a contextual or relational focus when treatment is warranted but a mental disorder is not supported. Refer or coordinate evaluation when medical, neurological, substance, developmental, or specialty questions require additional expertise. The status should match the evidence available now.</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single-symptom diagnosis, severe label bias, ignored timeline, chart acceptance, and intervention before diagnosis.</w:t>
            </w:r>
          </w:p>
        </w:tc>
        <w:tc>
          <w:tcPr>
            <w:tcW w:type="dxa" w:w="5112"/>
            <w:shd w:fill="DCEFF6"/>
            <w:tcMar>
              <w:top w:w="90" w:type="dxa"/>
              <w:start w:w="110" w:type="dxa"/>
              <w:bottom w:w="90" w:type="dxa"/>
              <w:end w:w="110" w:type="dxa"/>
            </w:tcMar>
            <w:vAlign w:val="top"/>
          </w:tcPr>
          <w:p>
            <w:pPr>
              <w:keepNext/>
              <w:keepLines/>
            </w:pPr>
            <w:r>
              <w:rPr>
                <w:color w:val="243B53"/>
                <w:sz w:val="17"/>
              </w:rPr>
              <w:t>Severity Sounding Is Not Accuracy</w:t>
            </w:r>
          </w:p>
        </w:tc>
      </w:tr>
    </w:tbl>
    <w:p>
      <w:pPr>
        <w:pStyle w:val="CTALabel"/>
        <w:keepNext/>
      </w:pPr>
      <w:r>
        <w:t>Narration</w:t>
      </w:r>
    </w:p>
    <w:p>
      <w:pPr>
        <w:pStyle w:val="CTANarration"/>
        <w:keepLines/>
        <w:ind w:left="259" w:right="173"/>
      </w:pPr>
      <w:r>
        <w:t>Avoid choosing the most severe-sounding diagnosis, diagnosing from one symptom, ignoring baseline or chronology, accepting a chart label or partner report as conclusive, explaining psychiatric instability only as a family problem, diagnosing an unassessed participant, pathologizing culture, grief, identity, spirituality, or hardship, and selecting a theory-specific intervention when the task asks for assessment or diagnosis. When two options remain, ask which one addresses the missing information that will most change the differential.</w:t>
      </w:r>
    </w:p>
    <w:p>
      <w:pPr>
        <w:pStyle w:val="Heading2"/>
        <w:keepNext/>
      </w:pPr>
      <w:r>
        <w:t>Slide 7: Mini Scenario: Activation and Stimulant Use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timeline shows reduced sleep, rapid speech, spending, increased activity, and intermittent stimulant use.</w:t>
            </w:r>
          </w:p>
        </w:tc>
        <w:tc>
          <w:tcPr>
            <w:tcW w:type="dxa" w:w="5112"/>
            <w:shd w:fill="DCEFF6"/>
            <w:tcMar>
              <w:top w:w="90" w:type="dxa"/>
              <w:start w:w="110" w:type="dxa"/>
              <w:bottom w:w="90" w:type="dxa"/>
              <w:end w:w="110" w:type="dxa"/>
            </w:tcMar>
            <w:vAlign w:val="top"/>
          </w:tcPr>
          <w:p>
            <w:pPr>
              <w:keepNext/>
              <w:keepLines/>
            </w:pPr>
            <w:r>
              <w:rPr>
                <w:color w:val="243B53"/>
                <w:sz w:val="17"/>
              </w:rPr>
              <w:t>Clarify Symptoms During Use and Abstinence</w:t>
            </w:r>
          </w:p>
        </w:tc>
      </w:tr>
    </w:tbl>
    <w:p>
      <w:pPr>
        <w:pStyle w:val="CTALabel"/>
        <w:keepNext/>
      </w:pPr>
      <w:r>
        <w:t>Narration</w:t>
      </w:r>
    </w:p>
    <w:p>
      <w:pPr>
        <w:pStyle w:val="CTANarration"/>
        <w:keepLines/>
        <w:ind w:left="259" w:right="173"/>
      </w:pPr>
      <w:r>
        <w:t>A client reports reduced sleep, irritability, rapid speech, impulsive spending, and increased activity. Stimulant use is intermittent, and the timeline is unclear. Diagnosing bipolar disorder immediately or assuming the symptoms are entirely substance induced would both be premature. The stronger next step is to clarify episode duration, prior episodes, functioning, safety, medication and medical factors, the relationship between symptoms and stimulant use, and whether the pattern persists during abstinence. Coordination for medical or psychiatric evaluation may be indicated. The answer preserves an active differential until the chronology supports a more specific conclusion.</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diagnostic review grid connects pattern, timeline, impairment, exclusions, alternatives, and status.</w:t>
            </w:r>
          </w:p>
        </w:tc>
        <w:tc>
          <w:tcPr>
            <w:tcW w:type="dxa" w:w="5112"/>
            <w:shd w:fill="DCEFF6"/>
            <w:tcMar>
              <w:top w:w="90" w:type="dxa"/>
              <w:start w:w="110" w:type="dxa"/>
              <w:bottom w:w="90" w:type="dxa"/>
              <w:end w:w="110" w:type="dxa"/>
            </w:tcMar>
            <w:vAlign w:val="top"/>
          </w:tcPr>
          <w:p>
            <w:pPr>
              <w:keepNext/>
              <w:keepLines/>
            </w:pPr>
            <w:r>
              <w:rPr>
                <w:color w:val="243B53"/>
                <w:sz w:val="17"/>
              </w:rPr>
              <w:t>Pattern • Timeline • Impact • Exclusions • Alternatives • Status</w:t>
            </w:r>
          </w:p>
        </w:tc>
      </w:tr>
    </w:tbl>
    <w:p>
      <w:pPr>
        <w:pStyle w:val="CTALabel"/>
        <w:keepNext/>
      </w:pPr>
      <w:r>
        <w:t>Narration</w:t>
      </w:r>
    </w:p>
    <w:p>
      <w:pPr>
        <w:pStyle w:val="CTANarration"/>
        <w:keepLines/>
        <w:ind w:left="259" w:right="173"/>
      </w:pPr>
      <w:r>
        <w:t>For every Workbook 5 vignette, write six lines: the supported pattern, the timeline, the functional impact, the major exclusions, the leading alternatives, and the current diagnostic status. In the question bank, mark whether you overvalued one symptom, ignored a medical or substance clue, missed a duration or baseline fact, or selected an intervention instead of answering the diagnostic task. Review rationales by naming the single fact that would strengthen or weaken your original conclusion.</w:t>
      </w:r>
    </w:p>
    <w:p>
      <w:pPr>
        <w:pStyle w:val="Heading1"/>
      </w:pPr>
      <w:r>
        <w:t>Audio-Only Adaptation Notes</w:t>
      </w:r>
    </w:p>
    <w:p>
      <w:pPr>
        <w:pStyle w:val="ListBullet"/>
        <w:spacing w:after="40"/>
        <w:ind w:left="360" w:hanging="216"/>
      </w:pPr>
      <w:r>
        <w:t>Use cautious diagnostic language throughout.</w:t>
      </w:r>
    </w:p>
    <w:p>
      <w:pPr>
        <w:pStyle w:val="ListBullet"/>
        <w:spacing w:after="40"/>
        <w:ind w:left="360" w:hanging="216"/>
      </w:pPr>
      <w:r>
        <w:t>Pause after the six-line diagnostic review grid.</w:t>
      </w:r>
    </w:p>
    <w:p>
      <w:pPr>
        <w:pStyle w:val="ListBullet"/>
        <w:spacing w:after="40"/>
        <w:ind w:left="360" w:hanging="216"/>
      </w:pPr>
      <w:r>
        <w:t>Clearly separate relational context from diagnostic evidence.</w:t>
      </w:r>
    </w:p>
    <w:p>
      <w:pPr>
        <w:pStyle w:val="ListBullet"/>
        <w:spacing w:after="40"/>
        <w:ind w:left="360" w:hanging="216"/>
      </w:pPr>
      <w:r>
        <w:t>Do not read diagnostic criteria as a checklist.</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teach students to use diagnosis as disciplined evidence organization and to remain comfortable with provisional or differential conclusions when the facts require them.</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5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5 Companion: Diagnosis and Differential Diagnosis</dc:title>
  <dc:subject>CTA LMFT Workbook 5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