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6 Companion: Crisis, Abuse, and Safety</w:t>
      </w:r>
    </w:p>
    <w:p>
      <w:pPr>
        <w:jc w:val="center"/>
      </w:pPr>
      <w:r>
        <w:rPr>
          <w:rFonts w:ascii="Aptos Display" w:hAnsi="Aptos Display"/>
          <w:b/>
          <w:color w:val="2AA7D6"/>
          <w:sz w:val="32"/>
        </w:rPr>
        <w:t>LMFT Workbook 6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rapid, structured reasoning for suicide, violence, abuse, medical and substance emergencies, psychiatric crisis, intimate partner violence, stabilization, documentation, and follow-up.</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6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6: Crisis, Abuse, and Safety, including the SAFER crisis sequence and assess-versus-act distinctions.</w:t>
            </w:r>
          </w:p>
        </w:tc>
      </w:tr>
    </w:tbl>
    <w:p>
      <w:pPr>
        <w:spacing w:after="20"/>
      </w:pPr>
    </w:p>
    <w:p>
      <w:pPr>
        <w:pStyle w:val="Heading1"/>
      </w:pPr>
      <w:r>
        <w:t>Learning Outcomes</w:t>
      </w:r>
    </w:p>
    <w:p>
      <w:pPr>
        <w:pStyle w:val="ListBullet"/>
        <w:spacing w:after="40"/>
        <w:ind w:left="360" w:hanging="216"/>
      </w:pPr>
      <w:r>
        <w:t>Use the SAFER crisis sequence.</w:t>
      </w:r>
    </w:p>
    <w:p>
      <w:pPr>
        <w:pStyle w:val="ListBullet"/>
        <w:spacing w:after="40"/>
        <w:ind w:left="360" w:hanging="216"/>
      </w:pPr>
      <w:r>
        <w:t>Differentiate incomplete risk assessment from facts requiring immediate action.</w:t>
      </w:r>
    </w:p>
    <w:p>
      <w:pPr>
        <w:pStyle w:val="ListBullet"/>
        <w:spacing w:after="40"/>
        <w:ind w:left="360" w:hanging="216"/>
      </w:pPr>
      <w:r>
        <w:t>Recognize abuse, violence, medical, substance, and psychiatric priorities.</w:t>
      </w:r>
    </w:p>
    <w:p>
      <w:pPr>
        <w:pStyle w:val="ListBullet"/>
        <w:spacing w:after="40"/>
        <w:ind w:left="360" w:hanging="216"/>
      </w:pPr>
      <w:r>
        <w:t>Document and follow through on crisis responses.</w:t>
      </w:r>
    </w:p>
    <w:p>
      <w:pPr>
        <w:pStyle w:val="Heading1"/>
      </w:pPr>
      <w:r>
        <w:t>Voice and Presentation Direction</w:t>
      </w:r>
    </w:p>
    <w:p>
      <w:pPr>
        <w:pStyle w:val="ListBullet"/>
        <w:spacing w:after="40"/>
        <w:ind w:left="360" w:hanging="216"/>
      </w:pPr>
      <w:r>
        <w:t>Ask direct safety questions without euphemism.</w:t>
      </w:r>
    </w:p>
    <w:p>
      <w:pPr>
        <w:pStyle w:val="ListBullet"/>
        <w:spacing w:after="40"/>
        <w:ind w:left="360" w:hanging="216"/>
      </w:pPr>
      <w:r>
        <w:t>Do not imply that a promise replaces assessment.</w:t>
      </w:r>
    </w:p>
    <w:p>
      <w:pPr>
        <w:pStyle w:val="ListBullet"/>
        <w:spacing w:after="40"/>
        <w:ind w:left="360" w:hanging="216"/>
      </w:pPr>
      <w:r>
        <w:t>State when conjoint work or deeper processing is unsafe.</w:t>
      </w:r>
    </w:p>
    <w:p>
      <w:pPr>
        <w:pStyle w:val="ListBullet"/>
        <w:spacing w:after="40"/>
        <w:ind w:left="360" w:hanging="216"/>
      </w:pPr>
      <w:r>
        <w:t>Use least restrictive safe and lawful response language.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steady, direct tone. Avoid dramatic delivery. Emphasize specific facts, least restrictive safe action, legal scope, documentation, and continuity.</w:t>
            </w:r>
          </w:p>
        </w:tc>
      </w:tr>
    </w:tbl>
    <w:p>
      <w:pPr>
        <w:spacing w:after="20"/>
      </w:pPr>
    </w:p>
    <w:p>
      <w:pPr>
        <w:pStyle w:val="Heading1"/>
      </w:pPr>
      <w:r>
        <w:t>Slide-by-Slide Script</w:t>
      </w:r>
    </w:p>
    <w:p>
      <w:pPr>
        <w:pStyle w:val="Heading2"/>
        <w:keepNext/>
      </w:pPr>
      <w:r>
        <w:t>Slide 1: Crisis Questions Test Sequence Under Pressure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calm decision pathway replaces a chaotic crisis scene.</w:t>
            </w:r>
          </w:p>
        </w:tc>
        <w:tc>
          <w:tcPr>
            <w:tcW w:type="dxa" w:w="5112"/>
            <w:shd w:fill="DCEFF6"/>
            <w:tcMar>
              <w:top w:w="90" w:type="dxa"/>
              <w:start w:w="110" w:type="dxa"/>
              <w:bottom w:w="90" w:type="dxa"/>
              <w:end w:w="110" w:type="dxa"/>
            </w:tcMar>
            <w:vAlign w:val="top"/>
          </w:tcPr>
          <w:p>
            <w:pPr>
              <w:keepNext/>
              <w:keepLines/>
            </w:pPr>
            <w:r>
              <w:rPr>
                <w:color w:val="243B53"/>
                <w:sz w:val="17"/>
              </w:rPr>
              <w:t>Assess When Incomplete • Act When Established</w:t>
            </w:r>
          </w:p>
        </w:tc>
      </w:tr>
    </w:tbl>
    <w:p>
      <w:pPr>
        <w:pStyle w:val="CTALabel"/>
        <w:keepNext/>
      </w:pPr>
      <w:r>
        <w:t>Narration</w:t>
      </w:r>
    </w:p>
    <w:p>
      <w:pPr>
        <w:pStyle w:val="CTANarration"/>
        <w:keepLines/>
        <w:ind w:left="259" w:right="173"/>
      </w:pPr>
      <w:r>
        <w:t>Crisis items are difficult because several actions may be clinically important at the same time. The task is to determine what must happen first. Assess directly when the facts are incomplete. Act when immediate danger, medical instability, abuse, exploitation, or another controlling duty is already established. Stabilize before deeper processing. The strongest answer is not automatically hospitalization, reporting, or a safety plan. It is the least restrictive safe and lawful response supported by the current facts, followed by documentation, handoff, and continuity.</w:t>
      </w:r>
    </w:p>
    <w:p>
      <w:pPr>
        <w:pStyle w:val="Heading2"/>
        <w:keepNext/>
      </w:pPr>
      <w:r>
        <w:t>Slide 2: Use the SAFER Crisis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Five SAFER steps form a clear emergency response pathway.</w:t>
            </w:r>
          </w:p>
        </w:tc>
        <w:tc>
          <w:tcPr>
            <w:tcW w:type="dxa" w:w="5112"/>
            <w:shd w:fill="DCEFF6"/>
            <w:tcMar>
              <w:top w:w="90" w:type="dxa"/>
              <w:start w:w="110" w:type="dxa"/>
              <w:bottom w:w="90" w:type="dxa"/>
              <w:end w:w="110" w:type="dxa"/>
            </w:tcMar>
            <w:vAlign w:val="top"/>
          </w:tcPr>
          <w:p>
            <w:pPr>
              <w:keepNext/>
              <w:keepLines/>
            </w:pPr>
            <w:r>
              <w:rPr>
                <w:color w:val="243B53"/>
                <w:sz w:val="17"/>
              </w:rPr>
              <w:t>Stabilize • Assess • Formulate • Execute • Record/Reconnect</w:t>
            </w:r>
          </w:p>
        </w:tc>
      </w:tr>
    </w:tbl>
    <w:p>
      <w:pPr>
        <w:pStyle w:val="CTALabel"/>
        <w:keepNext/>
      </w:pPr>
      <w:r>
        <w:t>Narration</w:t>
      </w:r>
    </w:p>
    <w:p>
      <w:pPr>
        <w:pStyle w:val="CTANarration"/>
        <w:keepLines/>
        <w:ind w:left="259" w:right="173"/>
      </w:pPr>
      <w:r>
        <w:t>S means stabilize: determine whether anyone is in immediate danger or medically unstable and maintain contact while reducing immediate risk. A means assess directly: clarify thoughts, intent, plan, means, preparation, behavior, target, timing, location, and protective factors. F means formulate acuity by integrating historical, dynamic, protective, and current facts. E means execute the least restrictive safe and lawful response, such as a realistic safety plan, protective contact, required report, crisis team, medical care, emergency evaluation, or higher level of care. R means record and reconnect by documenting the facts and rationale and confirming handoff, support, transportation, access, and follow-up.</w:t>
      </w:r>
    </w:p>
    <w:p>
      <w:pPr>
        <w:pStyle w:val="Heading2"/>
        <w:keepNext/>
      </w:pPr>
      <w:r>
        <w:t>Slide 3: Move From Labels to Specific Risk Facts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Risk labels are replaced by historical, dynamic, protective, and acute-warning facts.</w:t>
            </w:r>
          </w:p>
        </w:tc>
        <w:tc>
          <w:tcPr>
            <w:tcW w:type="dxa" w:w="5112"/>
            <w:shd w:fill="DCEFF6"/>
            <w:tcMar>
              <w:top w:w="90" w:type="dxa"/>
              <w:start w:w="110" w:type="dxa"/>
              <w:bottom w:w="90" w:type="dxa"/>
              <w:end w:w="110" w:type="dxa"/>
            </w:tcMar>
            <w:vAlign w:val="top"/>
          </w:tcPr>
          <w:p>
            <w:pPr>
              <w:keepNext/>
              <w:keepLines/>
            </w:pPr>
            <w:r>
              <w:rPr>
                <w:color w:val="243B53"/>
                <w:sz w:val="17"/>
              </w:rPr>
              <w:t>Facts Create the Formulation</w:t>
            </w:r>
          </w:p>
        </w:tc>
      </w:tr>
    </w:tbl>
    <w:p>
      <w:pPr>
        <w:pStyle w:val="CTALabel"/>
        <w:keepNext/>
      </w:pPr>
      <w:r>
        <w:t>Narration</w:t>
      </w:r>
    </w:p>
    <w:p>
      <w:pPr>
        <w:pStyle w:val="CTANarration"/>
        <w:keepLines/>
        <w:ind w:left="259" w:right="173"/>
      </w:pPr>
      <w:r>
        <w:t>Terms such as low, moderate, or high risk summarize judgment; they do not replace the evidence. Historical factors establish vulnerability. Dynamic factors such as current intent, agitation, intoxication, severe sleep loss, psychosis, loss, access to means, or escalating conflict often determine what must happen now. Protective factors matter only when they are credible, available, and usable. Acute warning signs such as a recent attempt, preparation, loaded weapon, farewell messages, targeted threat, severe withdrawal, or inability to meet basic needs may require immediate action even if the client later minimizes danger.</w:t>
      </w:r>
    </w:p>
    <w:p>
      <w:pPr>
        <w:pStyle w:val="Heading2"/>
        <w:keepNext/>
      </w:pPr>
      <w:r>
        <w:t>Slide 4: Recognize When the Crisis Is Legal, Medical, or Relational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Four gates show abuse/reporting, violence, medical/substance emergency, and psychiatric emergency.</w:t>
            </w:r>
          </w:p>
        </w:tc>
        <w:tc>
          <w:tcPr>
            <w:tcW w:type="dxa" w:w="5112"/>
            <w:shd w:fill="DCEFF6"/>
            <w:tcMar>
              <w:top w:w="90" w:type="dxa"/>
              <w:start w:w="110" w:type="dxa"/>
              <w:bottom w:w="90" w:type="dxa"/>
              <w:end w:w="110" w:type="dxa"/>
            </w:tcMar>
            <w:vAlign w:val="top"/>
          </w:tcPr>
          <w:p>
            <w:pPr>
              <w:keepNext/>
              <w:keepLines/>
            </w:pPr>
            <w:r>
              <w:rPr>
                <w:color w:val="243B53"/>
                <w:sz w:val="17"/>
              </w:rPr>
              <w:t>The Controlling Duty Changes the Sequence</w:t>
            </w:r>
          </w:p>
        </w:tc>
      </w:tr>
    </w:tbl>
    <w:p>
      <w:pPr>
        <w:pStyle w:val="CTALabel"/>
        <w:keepNext/>
      </w:pPr>
      <w:r>
        <w:t>Narration</w:t>
      </w:r>
    </w:p>
    <w:p>
      <w:pPr>
        <w:pStyle w:val="CTANarration"/>
        <w:keepLines/>
        <w:ind w:left="259" w:right="173"/>
      </w:pPr>
      <w:r>
        <w:t>Some crisis questions are not solved by suicide assessment alone. Child, elder, or dependent-adult abuse may trigger reporting duties when the statutory facts are supported. Serious communicated threats toward an identifiable victim require a duty-to-protect analysis. Strangulation, coercive control, stalking, or retaliation fears may make conjoint treatment unsafe. Confusion, head injury, severe withdrawal, overdose, delirium, postpartum psychosis, mania, or grave disability may require urgent medical or psychiatric evaluation. Identify the controlling issue rather than defaulting to the most familiar crisis response.</w:t>
      </w:r>
    </w:p>
    <w:p>
      <w:pPr>
        <w:pStyle w:val="Heading2"/>
        <w:keepNext/>
      </w:pPr>
      <w:r>
        <w:t>Slide 5: Stabilize, Plan Realistically, Document, and Follow Up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safety plan connects triggers, coping, people, professional resources, means safety, and follow-up.</w:t>
            </w:r>
          </w:p>
        </w:tc>
        <w:tc>
          <w:tcPr>
            <w:tcW w:type="dxa" w:w="5112"/>
            <w:shd w:fill="DCEFF6"/>
            <w:tcMar>
              <w:top w:w="90" w:type="dxa"/>
              <w:start w:w="110" w:type="dxa"/>
              <w:bottom w:w="90" w:type="dxa"/>
              <w:end w:w="110" w:type="dxa"/>
            </w:tcMar>
            <w:vAlign w:val="top"/>
          </w:tcPr>
          <w:p>
            <w:pPr>
              <w:keepNext/>
              <w:keepLines/>
            </w:pPr>
            <w:r>
              <w:rPr>
                <w:color w:val="243B53"/>
                <w:sz w:val="17"/>
              </w:rPr>
              <w:t>A Plan Must Be Usable</w:t>
            </w:r>
          </w:p>
        </w:tc>
      </w:tr>
    </w:tbl>
    <w:p>
      <w:pPr>
        <w:pStyle w:val="CTALabel"/>
        <w:keepNext/>
      </w:pPr>
      <w:r>
        <w:t>Narration</w:t>
      </w:r>
    </w:p>
    <w:p>
      <w:pPr>
        <w:pStyle w:val="CTANarration"/>
        <w:keepLines/>
        <w:ind w:left="259" w:right="173"/>
      </w:pPr>
      <w:r>
        <w:t>A safety plan is collaborative and concrete. It identifies warning signs, internal coping steps, safe people and places, professional and crisis resources, means-safety actions, transportation, caregiving needs, and follow-up. It is not a promise and may be insufficient when the person cannot use the plan or the environment is unsafe. Document the client’s statements, direct questions, observed behavior, collateral information, consultation, legal basis, actions, rationale, response, handoff, and follow-up. Good crisis care continues until responsibility is clearly transferred or the next step is confirmed.</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no-harm contracts, guilt, processing before safety, vague reporting, and automatic hospitalization.</w:t>
            </w:r>
          </w:p>
        </w:tc>
        <w:tc>
          <w:tcPr>
            <w:tcW w:type="dxa" w:w="5112"/>
            <w:shd w:fill="DCEFF6"/>
            <w:tcMar>
              <w:top w:w="90" w:type="dxa"/>
              <w:start w:w="110" w:type="dxa"/>
              <w:bottom w:w="90" w:type="dxa"/>
              <w:end w:w="110" w:type="dxa"/>
            </w:tcMar>
            <w:vAlign w:val="top"/>
          </w:tcPr>
          <w:p>
            <w:pPr>
              <w:keepNext/>
              <w:keepLines/>
            </w:pPr>
            <w:r>
              <w:rPr>
                <w:color w:val="243B53"/>
                <w:sz w:val="17"/>
              </w:rPr>
              <w:t>Do Not Substitute Reassurance for Assessment</w:t>
            </w:r>
          </w:p>
        </w:tc>
      </w:tr>
    </w:tbl>
    <w:p>
      <w:pPr>
        <w:pStyle w:val="CTALabel"/>
        <w:keepNext/>
      </w:pPr>
      <w:r>
        <w:t>Narration</w:t>
      </w:r>
    </w:p>
    <w:p>
      <w:pPr>
        <w:pStyle w:val="CTANarration"/>
        <w:keepLines/>
        <w:ind w:left="259" w:right="173"/>
      </w:pPr>
      <w:r>
        <w:t>Avoid asking only for a promise, using guilt about loved ones, processing triggers before addressing danger, assuming a calm appearance rules out risk, treating historical risk as proof of current intent, using mutual-responsibility language in coercive violence, delaying a supported report to preserve rapport, or choosing hospitalization without assessing whether a less restrictive safe response is feasible. Another trap is creating a safety plan without checking whether the client has the capacity, privacy, transportation, and support to use it.</w:t>
      </w:r>
    </w:p>
    <w:p>
      <w:pPr>
        <w:pStyle w:val="Heading2"/>
        <w:keepNext/>
      </w:pPr>
      <w:r>
        <w:t>Slide 7: Mini Scenario: Telehealth Suicide Statement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telehealth screen shows an uncertain location and a client who becomes silent after a suicide statement.</w:t>
            </w:r>
          </w:p>
        </w:tc>
        <w:tc>
          <w:tcPr>
            <w:tcW w:type="dxa" w:w="5112"/>
            <w:shd w:fill="DCEFF6"/>
            <w:tcMar>
              <w:top w:w="90" w:type="dxa"/>
              <w:start w:w="110" w:type="dxa"/>
              <w:bottom w:w="90" w:type="dxa"/>
              <w:end w:w="110" w:type="dxa"/>
            </w:tcMar>
            <w:vAlign w:val="top"/>
          </w:tcPr>
          <w:p>
            <w:pPr>
              <w:keepNext/>
              <w:keepLines/>
            </w:pPr>
            <w:r>
              <w:rPr>
                <w:color w:val="243B53"/>
                <w:sz w:val="17"/>
              </w:rPr>
              <w:t>Location and Direct Assessment Come First</w:t>
            </w:r>
          </w:p>
        </w:tc>
      </w:tr>
    </w:tbl>
    <w:p>
      <w:pPr>
        <w:pStyle w:val="CTALabel"/>
        <w:keepNext/>
      </w:pPr>
      <w:r>
        <w:t>Narration</w:t>
      </w:r>
    </w:p>
    <w:p>
      <w:pPr>
        <w:pStyle w:val="CTANarration"/>
        <w:keepLines/>
        <w:ind w:left="259" w:right="173"/>
      </w:pPr>
      <w:r>
        <w:t>During telehealth, a client says, “Everyone would be better off without me,” and becomes silent. The therapist knows the client is at home but has not confirmed the exact location, intent, plan, means, recent behavior, or whether another safe person is present. The therapist should maintain contact, verify location and emergency contact information, and ask direct risk questions. The response then depends on the findings. A realistic collaborative plan may be sufficient in one case; emergency activation may be required in another. The therapist should not shift topics to preserve rapport or rely on a promise.</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crisis worksheet moves from evidence to acuity, action, documentation, and follow-up.</w:t>
            </w:r>
          </w:p>
        </w:tc>
        <w:tc>
          <w:tcPr>
            <w:tcW w:type="dxa" w:w="5112"/>
            <w:shd w:fill="DCEFF6"/>
            <w:tcMar>
              <w:top w:w="90" w:type="dxa"/>
              <w:start w:w="110" w:type="dxa"/>
              <w:bottom w:w="90" w:type="dxa"/>
              <w:end w:w="110" w:type="dxa"/>
            </w:tcMar>
            <w:vAlign w:val="top"/>
          </w:tcPr>
          <w:p>
            <w:pPr>
              <w:keepNext/>
              <w:keepLines/>
            </w:pPr>
            <w:r>
              <w:rPr>
                <w:color w:val="243B53"/>
                <w:sz w:val="17"/>
              </w:rPr>
              <w:t>Signal • Facts • Acuity • Action • Handoff</w:t>
            </w:r>
          </w:p>
        </w:tc>
      </w:tr>
    </w:tbl>
    <w:p>
      <w:pPr>
        <w:pStyle w:val="CTALabel"/>
        <w:keepNext/>
      </w:pPr>
      <w:r>
        <w:t>Narration</w:t>
      </w:r>
    </w:p>
    <w:p>
      <w:pPr>
        <w:pStyle w:val="CTANarration"/>
        <w:keepLines/>
        <w:ind w:left="259" w:right="173"/>
      </w:pPr>
      <w:r>
        <w:t>For each Workbook 6 question, identify the crisis signal, the missing or established facts, the current acuity, the least restrictive safe response, and the required handoff or follow-up. In your error log, note whether you underreacted, overreacted, confused assessment with action, missed a medical or legal priority, or selected an unrealistic safety plan. Practice saying the SAFER steps aloud until they become automatic under timed conditions.</w:t>
      </w:r>
    </w:p>
    <w:p>
      <w:pPr>
        <w:pStyle w:val="Heading1"/>
      </w:pPr>
      <w:r>
        <w:t>Audio-Only Adaptation Notes</w:t>
      </w:r>
    </w:p>
    <w:p>
      <w:pPr>
        <w:pStyle w:val="ListBullet"/>
        <w:spacing w:after="40"/>
        <w:ind w:left="360" w:hanging="216"/>
      </w:pPr>
      <w:r>
        <w:t>Read the SAFER steps slowly and in order.</w:t>
      </w:r>
    </w:p>
    <w:p>
      <w:pPr>
        <w:pStyle w:val="ListBullet"/>
        <w:spacing w:after="40"/>
        <w:ind w:left="360" w:hanging="216"/>
      </w:pPr>
      <w:r>
        <w:t>Use direct language for suicide, violence, and abuse.</w:t>
      </w:r>
    </w:p>
    <w:p>
      <w:pPr>
        <w:pStyle w:val="ListBullet"/>
        <w:spacing w:after="40"/>
        <w:ind w:left="360" w:hanging="216"/>
      </w:pPr>
      <w:r>
        <w:t>Pause after the list of acute warning signs.</w:t>
      </w:r>
    </w:p>
    <w:p>
      <w:pPr>
        <w:pStyle w:val="ListBullet"/>
        <w:spacing w:after="40"/>
        <w:ind w:left="360" w:hanging="216"/>
      </w:pPr>
      <w:r>
        <w:t>End with signal, facts, acuity, action, and handoff.</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final recording should reduce panic around crisis questions by giving students a calm, evidence-based sequence that protects safety, scope, documentation, and continuity.</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6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6 Companion: Crisis, Abuse, and Safety</dc:title>
  <dc:subject>CTA LMFT Workbook 6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