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7 Companion: Planning, Progress, and Termination</w:t>
      </w:r>
    </w:p>
    <w:p>
      <w:pPr>
        <w:jc w:val="center"/>
      </w:pPr>
      <w:r>
        <w:rPr>
          <w:rFonts w:ascii="Aptos Display" w:hAnsi="Aptos Display"/>
          <w:b/>
          <w:color w:val="2AA7D6"/>
          <w:sz w:val="32"/>
        </w:rPr>
        <w:t>LMFT Workbook 7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the chain from assessment and systemic formulation to priorities, measurable goals, intervention, outcome monitoring, revision, and clinically sound termination.</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7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7: Planning, Progress, and Termination, including the PLAN-ER sequence and CLOSE termination check.</w:t>
            </w:r>
          </w:p>
        </w:tc>
      </w:tr>
    </w:tbl>
    <w:p>
      <w:pPr>
        <w:spacing w:after="20"/>
      </w:pPr>
    </w:p>
    <w:p>
      <w:pPr>
        <w:pStyle w:val="Heading1"/>
      </w:pPr>
      <w:r>
        <w:t>Learning Outcomes</w:t>
      </w:r>
    </w:p>
    <w:p>
      <w:pPr>
        <w:pStyle w:val="ListBullet"/>
        <w:spacing w:after="40"/>
        <w:ind w:left="360" w:hanging="216"/>
      </w:pPr>
      <w:r>
        <w:t>Use the PLAN-ER treatment-planning sequence.</w:t>
      </w:r>
    </w:p>
    <w:p>
      <w:pPr>
        <w:pStyle w:val="ListBullet"/>
        <w:spacing w:after="40"/>
        <w:ind w:left="360" w:hanging="216"/>
      </w:pPr>
      <w:r>
        <w:t>Write collaborative and measurable systemic goals.</w:t>
      </w:r>
    </w:p>
    <w:p>
      <w:pPr>
        <w:pStyle w:val="ListBullet"/>
        <w:spacing w:after="40"/>
        <w:ind w:left="360" w:hanging="216"/>
      </w:pPr>
      <w:r>
        <w:t>Monitor progress and respond to nonresponse.</w:t>
      </w:r>
    </w:p>
    <w:p>
      <w:pPr>
        <w:pStyle w:val="ListBullet"/>
        <w:spacing w:after="40"/>
        <w:ind w:left="360" w:hanging="216"/>
      </w:pPr>
      <w:r>
        <w:t>Use the CLOSE termination framework.</w:t>
      </w:r>
    </w:p>
    <w:p>
      <w:pPr>
        <w:pStyle w:val="Heading1"/>
      </w:pPr>
      <w:r>
        <w:t>Voice and Presentation Direction</w:t>
      </w:r>
    </w:p>
    <w:p>
      <w:pPr>
        <w:pStyle w:val="ListBullet"/>
        <w:spacing w:after="40"/>
        <w:ind w:left="360" w:hanging="216"/>
      </w:pPr>
      <w:r>
        <w:t>Translate vague goals into observable behavior.</w:t>
      </w:r>
    </w:p>
    <w:p>
      <w:pPr>
        <w:pStyle w:val="ListBullet"/>
        <w:spacing w:after="40"/>
        <w:ind w:left="360" w:hanging="216"/>
      </w:pPr>
      <w:r>
        <w:t>Connect every intervention to a supported formulation.</w:t>
      </w:r>
    </w:p>
    <w:p>
      <w:pPr>
        <w:pStyle w:val="ListBullet"/>
        <w:spacing w:after="40"/>
        <w:ind w:left="360" w:hanging="216"/>
      </w:pPr>
      <w:r>
        <w:t>Normalize plan revision and alliance repair.</w:t>
      </w:r>
    </w:p>
    <w:p>
      <w:pPr>
        <w:pStyle w:val="ListBullet"/>
        <w:spacing w:after="40"/>
        <w:ind w:left="360" w:hanging="216"/>
      </w:pPr>
      <w:r>
        <w:t>Present termination as a clinical process rather than an administrative ending.</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practical treatment-planning language. Emphasize observable change, collaborative goals, review points, and revision before blaming clients or repeating ineffective care.</w:t>
            </w:r>
          </w:p>
        </w:tc>
      </w:tr>
    </w:tbl>
    <w:p>
      <w:pPr>
        <w:spacing w:after="20"/>
      </w:pPr>
    </w:p>
    <w:p>
      <w:pPr>
        <w:pStyle w:val="Heading1"/>
      </w:pPr>
      <w:r>
        <w:t>Slide-by-Slide Script</w:t>
      </w:r>
    </w:p>
    <w:p>
      <w:pPr>
        <w:pStyle w:val="Heading2"/>
        <w:keepNext/>
      </w:pPr>
      <w:r>
        <w:t>Slide 1: A Plan Is a Defensible Chain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Assessment findings connect to formulation, priority, goal, intervention, measure, review, and ending.</w:t>
            </w:r>
          </w:p>
        </w:tc>
        <w:tc>
          <w:tcPr>
            <w:tcW w:type="dxa" w:w="5112"/>
            <w:shd w:fill="DCEFF6"/>
            <w:tcMar>
              <w:top w:w="90" w:type="dxa"/>
              <w:start w:w="110" w:type="dxa"/>
              <w:bottom w:w="90" w:type="dxa"/>
              <w:end w:w="110" w:type="dxa"/>
            </w:tcMar>
            <w:vAlign w:val="top"/>
          </w:tcPr>
          <w:p>
            <w:pPr>
              <w:keepNext/>
              <w:keepLines/>
            </w:pPr>
            <w:r>
              <w:rPr>
                <w:color w:val="243B53"/>
                <w:sz w:val="17"/>
              </w:rPr>
              <w:t>Assessment → Formulation → Goal → Action → Review</w:t>
            </w:r>
          </w:p>
        </w:tc>
      </w:tr>
    </w:tbl>
    <w:p>
      <w:pPr>
        <w:pStyle w:val="CTALabel"/>
        <w:keepNext/>
      </w:pPr>
      <w:r>
        <w:t>Narration</w:t>
      </w:r>
    </w:p>
    <w:p>
      <w:pPr>
        <w:pStyle w:val="CTANarration"/>
        <w:keepLines/>
        <w:ind w:left="259" w:right="173"/>
      </w:pPr>
      <w:r>
        <w:t>A treatment plan is not a list of techniques. It is a defensible chain from assessment and systemic formulation to priority, goal, intervention, outcome measure, review, revision, and termination. The plan should identify what needs to change, why the selected action is expected to help, who will participate, how progress will be observed, and when the plan will be reviewed. Workbook 7 helps you avoid two common exam errors: choosing an intervention before defining the target and continuing an ineffective plan without reassessment.</w:t>
      </w:r>
    </w:p>
    <w:p>
      <w:pPr>
        <w:pStyle w:val="Heading2"/>
        <w:keepNext/>
      </w:pPr>
      <w:r>
        <w:t>Slide 2: Use the PLAN-ER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Six PLAN-ER steps form a treatment-planning cycle.</w:t>
            </w:r>
          </w:p>
        </w:tc>
        <w:tc>
          <w:tcPr>
            <w:tcW w:type="dxa" w:w="5112"/>
            <w:shd w:fill="DCEFF6"/>
            <w:tcMar>
              <w:top w:w="90" w:type="dxa"/>
              <w:start w:w="110" w:type="dxa"/>
              <w:bottom w:w="90" w:type="dxa"/>
              <w:end w:w="110" w:type="dxa"/>
            </w:tcMar>
            <w:vAlign w:val="top"/>
          </w:tcPr>
          <w:p>
            <w:pPr>
              <w:keepNext/>
              <w:keepLines/>
            </w:pPr>
            <w:r>
              <w:rPr>
                <w:color w:val="243B53"/>
                <w:sz w:val="17"/>
              </w:rPr>
              <w:t>Prioritize • Link • Agree • Name • Evaluate • Revise</w:t>
            </w:r>
          </w:p>
        </w:tc>
      </w:tr>
    </w:tbl>
    <w:p>
      <w:pPr>
        <w:pStyle w:val="CTALabel"/>
        <w:keepNext/>
      </w:pPr>
      <w:r>
        <w:t>Narration</w:t>
      </w:r>
    </w:p>
    <w:p>
      <w:pPr>
        <w:pStyle w:val="CTANarration"/>
        <w:keepLines/>
        <w:ind w:left="259" w:right="173"/>
      </w:pPr>
      <w:r>
        <w:t>P means prioritize what requires attention first, including safety, impairment, relational disruption, and client priorities. L means link the target to a systemic or clinical formulation. A means agree on the client or client system, roles, readiness, and collaborative goals. N means name a specific action, responsible participant, time frame, and observable outcome. E means evaluate symptoms, functioning, interaction, alliance, implementation, and barriers. R means revise by reassessing, repairing, modifying, consulting, referring, changing intensity, or preparing for closure. The sequence keeps the plan connected to evidence and response.</w:t>
      </w:r>
    </w:p>
    <w:p>
      <w:pPr>
        <w:pStyle w:val="Heading2"/>
        <w:keepNext/>
      </w:pPr>
      <w:r>
        <w:t>Slide 3: Make Goals Collaborative and Measurable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Vague goals are rewritten as observable relational and functional changes.</w:t>
            </w:r>
          </w:p>
        </w:tc>
        <w:tc>
          <w:tcPr>
            <w:tcW w:type="dxa" w:w="5112"/>
            <w:shd w:fill="DCEFF6"/>
            <w:tcMar>
              <w:top w:w="90" w:type="dxa"/>
              <w:start w:w="110" w:type="dxa"/>
              <w:bottom w:w="90" w:type="dxa"/>
              <w:end w:w="110" w:type="dxa"/>
            </w:tcMar>
            <w:vAlign w:val="top"/>
          </w:tcPr>
          <w:p>
            <w:pPr>
              <w:keepNext/>
              <w:keepLines/>
            </w:pPr>
            <w:r>
              <w:rPr>
                <w:color w:val="243B53"/>
                <w:sz w:val="17"/>
              </w:rPr>
              <w:t>Specific Enough to Recognize Progress</w:t>
            </w:r>
          </w:p>
        </w:tc>
      </w:tr>
    </w:tbl>
    <w:p>
      <w:pPr>
        <w:pStyle w:val="CTALabel"/>
        <w:keepNext/>
      </w:pPr>
      <w:r>
        <w:t>Narration</w:t>
      </w:r>
    </w:p>
    <w:p>
      <w:pPr>
        <w:pStyle w:val="CTANarration"/>
        <w:keepLines/>
        <w:ind w:left="259" w:right="173"/>
      </w:pPr>
      <w:r>
        <w:t>“Communicate more,” “stop fighting,” or “feel less anxious” are too vague for strong exam reasoning. A useful goal names the behavior, context, frequency, time frame, and functional or relational outcome. A couple may use a structured ten-minute check-in twice weekly without criticism or withdrawal. Parents may maintain a coordinated response to limit-setting in four of five identified situations. The plan should reflect the client system’s priorities and developmental, cultural, access, and readiness factors. Measurable does not mean rigid; it means the therapist and client can recognize whether change is occurring.</w:t>
      </w:r>
    </w:p>
    <w:p>
      <w:pPr>
        <w:pStyle w:val="Heading2"/>
        <w:keepNext/>
      </w:pPr>
      <w:r>
        <w:t>Slide 4: Match the Unit, Theory, Modality, and Level of Care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formulation points to individual, couple, family, group, coordinated, or higher-level care.</w:t>
            </w:r>
          </w:p>
        </w:tc>
        <w:tc>
          <w:tcPr>
            <w:tcW w:type="dxa" w:w="5112"/>
            <w:shd w:fill="DCEFF6"/>
            <w:tcMar>
              <w:top w:w="90" w:type="dxa"/>
              <w:start w:w="110" w:type="dxa"/>
              <w:bottom w:w="90" w:type="dxa"/>
              <w:end w:w="110" w:type="dxa"/>
            </w:tcMar>
            <w:vAlign w:val="top"/>
          </w:tcPr>
          <w:p>
            <w:pPr>
              <w:keepNext/>
              <w:keepLines/>
            </w:pPr>
            <w:r>
              <w:rPr>
                <w:color w:val="243B53"/>
                <w:sz w:val="17"/>
              </w:rPr>
              <w:t>The Plan Must Fit the Maintaining Pattern</w:t>
            </w:r>
          </w:p>
        </w:tc>
      </w:tr>
    </w:tbl>
    <w:p>
      <w:pPr>
        <w:pStyle w:val="CTALabel"/>
        <w:keepNext/>
      </w:pPr>
      <w:r>
        <w:t>Narration</w:t>
      </w:r>
    </w:p>
    <w:p>
      <w:pPr>
        <w:pStyle w:val="CTANarration"/>
        <w:keepLines/>
        <w:ind w:left="259" w:right="173"/>
      </w:pPr>
      <w:r>
        <w:t>Choose the unit of treatment and modality deliberately. An individual symptom may be maintained by a couple cycle, family hierarchy, caregiving burden, or environmental barrier. A relational problem may still require individual safety assessment or specialty care. Match the intervention to the theory’s mechanism of change: boundaries and hierarchy for structural work, avoidance and reinforcement for cognitive-behavioral work, attachment responses for emotionally focused work, or meaning and exceptions for postmodern approaches. Safety, medical need, competence, and level of care always limit the available options.</w:t>
      </w:r>
    </w:p>
    <w:p>
      <w:pPr>
        <w:pStyle w:val="Heading2"/>
        <w:keepNext/>
      </w:pPr>
      <w:r>
        <w:t>Slide 5: Monitor Progress, Repair, and Terminate With CLOSE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Outcome monitoring leads to revision and then the five CLOSE termination tasks.</w:t>
            </w:r>
          </w:p>
        </w:tc>
        <w:tc>
          <w:tcPr>
            <w:tcW w:type="dxa" w:w="5112"/>
            <w:shd w:fill="DCEFF6"/>
            <w:tcMar>
              <w:top w:w="90" w:type="dxa"/>
              <w:start w:w="110" w:type="dxa"/>
              <w:bottom w:w="90" w:type="dxa"/>
              <w:end w:w="110" w:type="dxa"/>
            </w:tcMar>
            <w:vAlign w:val="top"/>
          </w:tcPr>
          <w:p>
            <w:pPr>
              <w:keepNext/>
              <w:keepLines/>
            </w:pPr>
            <w:r>
              <w:rPr>
                <w:color w:val="243B53"/>
                <w:sz w:val="17"/>
              </w:rPr>
              <w:t>Confirm • Look • Organize • Summarize • End</w:t>
            </w:r>
          </w:p>
        </w:tc>
      </w:tr>
    </w:tbl>
    <w:p>
      <w:pPr>
        <w:pStyle w:val="CTALabel"/>
        <w:keepNext/>
      </w:pPr>
      <w:r>
        <w:t>Narration</w:t>
      </w:r>
    </w:p>
    <w:p>
      <w:pPr>
        <w:pStyle w:val="CTANarration"/>
        <w:keepLines/>
        <w:ind w:left="259" w:right="173"/>
      </w:pPr>
      <w:r>
        <w:t>Monitoring begins when the plan is written. Review symptoms, functioning, target interactions, alliance, attendance, between-session practice, access barriers, and client feedback. Lack of progress calls for reassessing formulation, diagnosis, safety, treatment unit, readiness, implementation, and fit—not automatic continuation or blame. When ending is appropriate, use CLOSE. Confirm progress, risks, and remaining needs. Look at the alliance and meaning of ending. Organize aftercare, referrals, transfer, and support. Summarize gains, strategies, warning signs, and relapse plans. End transparently with appropriate documentation.</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vague goals, technique lists, fixed referral unit, no outcome measure, blaming nonresponse, and abrupt termination.</w:t>
            </w:r>
          </w:p>
        </w:tc>
        <w:tc>
          <w:tcPr>
            <w:tcW w:type="dxa" w:w="5112"/>
            <w:shd w:fill="DCEFF6"/>
            <w:tcMar>
              <w:top w:w="90" w:type="dxa"/>
              <w:start w:w="110" w:type="dxa"/>
              <w:bottom w:w="90" w:type="dxa"/>
              <w:end w:w="110" w:type="dxa"/>
            </w:tcMar>
            <w:vAlign w:val="top"/>
          </w:tcPr>
          <w:p>
            <w:pPr>
              <w:keepNext/>
              <w:keepLines/>
            </w:pPr>
            <w:r>
              <w:rPr>
                <w:color w:val="243B53"/>
                <w:sz w:val="17"/>
              </w:rPr>
              <w:t>A Plan Must Be Testable and Revisable</w:t>
            </w:r>
          </w:p>
        </w:tc>
      </w:tr>
    </w:tbl>
    <w:p>
      <w:pPr>
        <w:pStyle w:val="CTALabel"/>
        <w:keepNext/>
      </w:pPr>
      <w:r>
        <w:t>Narration</w:t>
      </w:r>
    </w:p>
    <w:p>
      <w:pPr>
        <w:pStyle w:val="CTANarration"/>
        <w:keepLines/>
        <w:ind w:left="259" w:right="173"/>
      </w:pPr>
      <w:r>
        <w:t>Common traps include treating every problem as equal, using the referral label to define the treatment unit permanently, imposing one person’s goal on the system, naming a theory without linking it to the maintaining pattern, creating a list of interventions without an outcome measure, repeating the same plan because the client attends, escalating homework without assessing barriers, labeling the family resistant, or terminating abruptly to avoid dependence. Strong answers keep the plan collaborative, coherent, measurable, and open to revision.</w:t>
      </w:r>
    </w:p>
    <w:p>
      <w:pPr>
        <w:pStyle w:val="Heading2"/>
        <w:keepNext/>
      </w:pPr>
      <w:r>
        <w:t>Slide 7: Mini Scenario: Child Referral and Parent Conflict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child’s school refusal appears inside an escalating parental discipline conflict.</w:t>
            </w:r>
          </w:p>
        </w:tc>
        <w:tc>
          <w:tcPr>
            <w:tcW w:type="dxa" w:w="5112"/>
            <w:shd w:fill="DCEFF6"/>
            <w:tcMar>
              <w:top w:w="90" w:type="dxa"/>
              <w:start w:w="110" w:type="dxa"/>
              <w:bottom w:w="90" w:type="dxa"/>
              <w:end w:w="110" w:type="dxa"/>
            </w:tcMar>
            <w:vAlign w:val="top"/>
          </w:tcPr>
          <w:p>
            <w:pPr>
              <w:keepNext/>
              <w:keepLines/>
            </w:pPr>
            <w:r>
              <w:rPr>
                <w:color w:val="243B53"/>
                <w:sz w:val="17"/>
              </w:rPr>
              <w:t>Revisit the Unit of Treatment</w:t>
            </w:r>
          </w:p>
        </w:tc>
      </w:tr>
    </w:tbl>
    <w:p>
      <w:pPr>
        <w:pStyle w:val="CTALabel"/>
        <w:keepNext/>
      </w:pPr>
      <w:r>
        <w:t>Narration</w:t>
      </w:r>
    </w:p>
    <w:p>
      <w:pPr>
        <w:pStyle w:val="CTANarration"/>
        <w:keepLines/>
        <w:ind w:left="259" w:right="173"/>
      </w:pPr>
      <w:r>
        <w:t>Parents bring a child for school refusal. Assessment shows that parental conflict about discipline escalates before the child’s symptoms, and the child becomes involved in the dispute. A weak plan treats only the child’s anxiety because the child was the referral target. A stronger plan revisits the treatment unit, clarifies each parent’s goals, formulates the conflict and boundary pattern, and develops observable parent and child goals. The therapist may still support the child individually, but the systemic plan addresses the pattern maintaining the symptom and defines how progress will be reviewed.</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PLAN-ER worksheet and CLOSE checklist lead into the Workbook 7 question bank.</w:t>
            </w:r>
          </w:p>
        </w:tc>
        <w:tc>
          <w:tcPr>
            <w:tcW w:type="dxa" w:w="5112"/>
            <w:shd w:fill="DCEFF6"/>
            <w:tcMar>
              <w:top w:w="90" w:type="dxa"/>
              <w:start w:w="110" w:type="dxa"/>
              <w:bottom w:w="90" w:type="dxa"/>
              <w:end w:w="110" w:type="dxa"/>
            </w:tcMar>
            <w:vAlign w:val="top"/>
          </w:tcPr>
          <w:p>
            <w:pPr>
              <w:keepNext/>
              <w:keepLines/>
            </w:pPr>
            <w:r>
              <w:rPr>
                <w:color w:val="243B53"/>
                <w:sz w:val="17"/>
              </w:rPr>
              <w:t>Priority • Formulation • Goal • Action • Measure • Review</w:t>
            </w:r>
          </w:p>
        </w:tc>
      </w:tr>
    </w:tbl>
    <w:p>
      <w:pPr>
        <w:pStyle w:val="CTALabel"/>
        <w:keepNext/>
      </w:pPr>
      <w:r>
        <w:t>Narration</w:t>
      </w:r>
    </w:p>
    <w:p>
      <w:pPr>
        <w:pStyle w:val="CTANarration"/>
        <w:keepLines/>
        <w:ind w:left="259" w:right="173"/>
      </w:pPr>
      <w:r>
        <w:t>For each Workbook 7 question, write the priority, the formulation, the client system, the goal, the intervention, the outcome measure, and the review point. For missed items, identify whether you chose a technique without a target, accepted the referral unit without reassessment, ignored alliance or access, or failed to revise after nonresponse. Practice the CLOSE steps before the termination questions so you remember that endings require planning, continuity, and clinical review.</w:t>
      </w:r>
    </w:p>
    <w:p>
      <w:pPr>
        <w:pStyle w:val="Heading1"/>
      </w:pPr>
      <w:r>
        <w:t>Audio-Only Adaptation Notes</w:t>
      </w:r>
    </w:p>
    <w:p>
      <w:pPr>
        <w:pStyle w:val="ListBullet"/>
        <w:spacing w:after="40"/>
        <w:ind w:left="360" w:hanging="216"/>
      </w:pPr>
      <w:r>
        <w:t>Spell out PLAN-ER and CLOSE once.</w:t>
      </w:r>
    </w:p>
    <w:p>
      <w:pPr>
        <w:pStyle w:val="ListBullet"/>
        <w:spacing w:after="40"/>
        <w:ind w:left="360" w:hanging="216"/>
      </w:pPr>
      <w:r>
        <w:t>Read the measurable-goal examples at a natural pace.</w:t>
      </w:r>
    </w:p>
    <w:p>
      <w:pPr>
        <w:pStyle w:val="ListBullet"/>
        <w:spacing w:after="40"/>
        <w:ind w:left="360" w:hanging="216"/>
      </w:pPr>
      <w:r>
        <w:t>Pause before the revision options.</w:t>
      </w:r>
    </w:p>
    <w:p>
      <w:pPr>
        <w:pStyle w:val="ListBullet"/>
        <w:spacing w:after="40"/>
        <w:ind w:left="360" w:hanging="216"/>
      </w:pPr>
      <w:r>
        <w:t>End with the seven planning fields.</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make treatment planning feel like a continuous reasoning cycle rather than a static form completed at the beginning of care.</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7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7 Companion: Planning, Progress, and Termination</dc:title>
  <dc:subject>CTA LMFT Workbook 7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