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9 Companion: Trauma, Psychological, Behavioral, and Recovery Interventions</w:t>
      </w:r>
    </w:p>
    <w:p>
      <w:pPr>
        <w:jc w:val="center"/>
      </w:pPr>
      <w:r>
        <w:rPr>
          <w:rFonts w:ascii="Aptos Display" w:hAnsi="Aptos Display"/>
          <w:b/>
          <w:color w:val="2AA7D6"/>
          <w:sz w:val="32"/>
        </w:rPr>
        <w:t>LMFT Workbook 9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selection, sequencing, adaptation, and evaluation of trauma-informed, cognitive-behavioral, emotion-regulation, motivational, grief, recovery, developmental, caregiver, and addiction interventions.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9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9: Trauma, Psychological, Behavioral, and Recovery Interventions, including the FITS intervention sequence.</w:t>
            </w:r>
          </w:p>
        </w:tc>
      </w:tr>
    </w:tbl>
    <w:p>
      <w:pPr>
        <w:spacing w:after="20"/>
      </w:pPr>
    </w:p>
    <w:p>
      <w:pPr>
        <w:pStyle w:val="Heading1"/>
      </w:pPr>
      <w:r>
        <w:t>Learning Outcomes</w:t>
      </w:r>
    </w:p>
    <w:p>
      <w:pPr>
        <w:pStyle w:val="ListBullet"/>
        <w:spacing w:after="40"/>
        <w:ind w:left="360" w:hanging="216"/>
      </w:pPr>
      <w:r>
        <w:t>Use FITS before choosing a named intervention.</w:t>
      </w:r>
    </w:p>
    <w:p>
      <w:pPr>
        <w:pStyle w:val="ListBullet"/>
        <w:spacing w:after="40"/>
        <w:ind w:left="360" w:hanging="216"/>
      </w:pPr>
      <w:r>
        <w:t>Match methods to the maintaining mechanism and stage.</w:t>
      </w:r>
    </w:p>
    <w:p>
      <w:pPr>
        <w:pStyle w:val="ListBullet"/>
        <w:spacing w:after="40"/>
        <w:ind w:left="360" w:hanging="216"/>
      </w:pPr>
      <w:r>
        <w:t>Adapt interventions to development, relationships, access, and readiness.</w:t>
      </w:r>
    </w:p>
    <w:p>
      <w:pPr>
        <w:pStyle w:val="ListBullet"/>
        <w:spacing w:after="40"/>
        <w:ind w:left="360" w:hanging="216"/>
      </w:pPr>
      <w:r>
        <w:t>Reassess nonresponse before adding unrelated techniques.</w:t>
      </w:r>
    </w:p>
    <w:p>
      <w:pPr>
        <w:pStyle w:val="Heading1"/>
      </w:pPr>
      <w:r>
        <w:t>Voice and Presentation Direction</w:t>
      </w:r>
    </w:p>
    <w:p>
      <w:pPr>
        <w:pStyle w:val="ListBullet"/>
        <w:spacing w:after="40"/>
        <w:ind w:left="360" w:hanging="216"/>
      </w:pPr>
      <w:r>
        <w:t>Avoid presenting any intervention as universally indicated.</w:t>
      </w:r>
    </w:p>
    <w:p>
      <w:pPr>
        <w:pStyle w:val="ListBullet"/>
        <w:spacing w:after="40"/>
        <w:ind w:left="360" w:hanging="216"/>
      </w:pPr>
      <w:r>
        <w:t>Use trauma-informed language that preserves choice and pacing.</w:t>
      </w:r>
    </w:p>
    <w:p>
      <w:pPr>
        <w:pStyle w:val="ListBullet"/>
        <w:spacing w:after="40"/>
        <w:ind w:left="360" w:hanging="216"/>
      </w:pPr>
      <w:r>
        <w:t>Treat ambivalence as information rather than defiance.</w:t>
      </w:r>
    </w:p>
    <w:p>
      <w:pPr>
        <w:pStyle w:val="ListBullet"/>
        <w:spacing w:after="40"/>
        <w:ind w:left="360" w:hanging="216"/>
      </w:pPr>
      <w:r>
        <w:t>Name medical and specialty risks that override routine psychotherapy.</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practical, nonpromotional language about interventions. Emphasize mechanism, safety, readiness, developmental fit, competence, and response measurement.</w:t>
            </w:r>
          </w:p>
        </w:tc>
      </w:tr>
    </w:tbl>
    <w:p>
      <w:pPr>
        <w:spacing w:after="20"/>
      </w:pPr>
    </w:p>
    <w:p>
      <w:pPr>
        <w:pStyle w:val="Heading1"/>
      </w:pPr>
      <w:r>
        <w:t>Slide-by-Slide Script</w:t>
      </w:r>
    </w:p>
    <w:p>
      <w:pPr>
        <w:pStyle w:val="Heading2"/>
        <w:keepNext/>
      </w:pPr>
      <w:r>
        <w:t>Slide 1: Intervention Questions Are Fit Questions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method is selected only after formulation, urgency, target, suitability, and response check.</w:t>
            </w:r>
          </w:p>
        </w:tc>
        <w:tc>
          <w:tcPr>
            <w:tcW w:type="dxa" w:w="5112"/>
            <w:shd w:fill="DCEFF6"/>
            <w:tcMar>
              <w:top w:w="90" w:type="dxa"/>
              <w:start w:w="110" w:type="dxa"/>
              <w:bottom w:w="90" w:type="dxa"/>
              <w:end w:w="110" w:type="dxa"/>
            </w:tcMar>
            <w:vAlign w:val="top"/>
          </w:tcPr>
          <w:p>
            <w:pPr>
              <w:keepNext/>
              <w:keepLines/>
            </w:pPr>
            <w:r>
              <w:rPr>
                <w:color w:val="243B53"/>
                <w:sz w:val="17"/>
              </w:rPr>
              <w:t>What Should Change, for Whom, at This Stage?</w:t>
            </w:r>
          </w:p>
        </w:tc>
      </w:tr>
    </w:tbl>
    <w:p>
      <w:pPr>
        <w:pStyle w:val="CTALabel"/>
        <w:keepNext/>
      </w:pPr>
      <w:r>
        <w:t>Narration</w:t>
      </w:r>
    </w:p>
    <w:p>
      <w:pPr>
        <w:pStyle w:val="CTANarration"/>
        <w:keepLines/>
        <w:ind w:left="259" w:right="173"/>
      </w:pPr>
      <w:r>
        <w:t>Workbook 9 is not a catalog of techniques. It teaches how to select an intervention for this target, this client or client system, at this stage, under these safety and scope conditions. Many exam distractors name a treatment that could be effective in general but is mistimed, mismatched, inaccessible, or outside competence. Before choosing a named method, identify the maintaining mechanism, determine whether safety or medical needs come first, define the target, check suitability, and decide how improvement will be recognized.</w:t>
      </w:r>
    </w:p>
    <w:p>
      <w:pPr>
        <w:pStyle w:val="Heading2"/>
        <w:keepNext/>
      </w:pPr>
      <w:r>
        <w:t>Slide 2: Use the FITS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FITS steps appear in a treatment-selection pathway.</w:t>
            </w:r>
          </w:p>
        </w:tc>
        <w:tc>
          <w:tcPr>
            <w:tcW w:type="dxa" w:w="5112"/>
            <w:shd w:fill="DCEFF6"/>
            <w:tcMar>
              <w:top w:w="90" w:type="dxa"/>
              <w:start w:w="110" w:type="dxa"/>
              <w:bottom w:w="90" w:type="dxa"/>
              <w:end w:w="110" w:type="dxa"/>
            </w:tcMar>
            <w:vAlign w:val="top"/>
          </w:tcPr>
          <w:p>
            <w:pPr>
              <w:keepNext/>
              <w:keepLines/>
            </w:pPr>
            <w:r>
              <w:rPr>
                <w:color w:val="243B53"/>
                <w:sz w:val="17"/>
              </w:rPr>
              <w:t>Formulation • Immediacy • Target • Suitability • Response Check</w:t>
            </w:r>
          </w:p>
        </w:tc>
      </w:tr>
    </w:tbl>
    <w:p>
      <w:pPr>
        <w:pStyle w:val="CTALabel"/>
        <w:keepNext/>
      </w:pPr>
      <w:r>
        <w:t>Narration</w:t>
      </w:r>
    </w:p>
    <w:p>
      <w:pPr>
        <w:pStyle w:val="CTANarration"/>
        <w:keepLines/>
        <w:ind w:left="259" w:right="173"/>
      </w:pPr>
      <w:r>
        <w:t>F is formulation: what pattern and maintaining mechanism are supported? I is immediacy: does danger, medical risk, intoxication, withdrawal, severe instability, or higher level of care come first? T is target: what must change now—avoidance, belief, reinforcement, dysregulation, grief process, relationship cycle, skill deficit, or environmental barrier? S is suitability: does the method fit development, culture, language, readiness, preference, access, treatment unit, and therapist competence? Then define the response check: what observable change will show the intervention is helping, and when will the plan be reviewed?</w:t>
      </w:r>
    </w:p>
    <w:p>
      <w:pPr>
        <w:pStyle w:val="Heading2"/>
        <w:keepNext/>
      </w:pPr>
      <w:r>
        <w:t>Slide 3: Match the Method to the Maintaining Mechanism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Mechanisms connect to trauma stabilization, CBT, emotion regulation, motivational interviewing, and grief work.</w:t>
            </w:r>
          </w:p>
        </w:tc>
        <w:tc>
          <w:tcPr>
            <w:tcW w:type="dxa" w:w="5112"/>
            <w:shd w:fill="DCEFF6"/>
            <w:tcMar>
              <w:top w:w="90" w:type="dxa"/>
              <w:start w:w="110" w:type="dxa"/>
              <w:bottom w:w="90" w:type="dxa"/>
              <w:end w:w="110" w:type="dxa"/>
            </w:tcMar>
            <w:vAlign w:val="top"/>
          </w:tcPr>
          <w:p>
            <w:pPr>
              <w:keepNext/>
              <w:keepLines/>
            </w:pPr>
            <w:r>
              <w:rPr>
                <w:color w:val="243B53"/>
                <w:sz w:val="17"/>
              </w:rPr>
              <w:t>Mechanism Before Technique Name</w:t>
            </w:r>
          </w:p>
        </w:tc>
      </w:tr>
    </w:tbl>
    <w:p>
      <w:pPr>
        <w:pStyle w:val="CTALabel"/>
        <w:keepNext/>
      </w:pPr>
      <w:r>
        <w:t>Narration</w:t>
      </w:r>
    </w:p>
    <w:p>
      <w:pPr>
        <w:pStyle w:val="CTANarration"/>
        <w:keepLines/>
        <w:ind w:left="259" w:right="173"/>
      </w:pPr>
      <w:r>
        <w:t>Acute disorientation during trauma disclosure calls for orientation, grounding, pacing, and restored choice before deeper processing. Avoidance after stabilization may support a competent exposure-based or behavioral plan. Catastrophic interpretation and reassurance seeking may call for cognitive and behavioral work. Intense emotion and impulsive behavior may call for chain analysis, distress tolerance, and interpersonal skills. Ambivalence may call for motivational interviewing. Grief may call for validation, meaning, routines, support, and monitoring rather than immediate pathologizing. The vignette should identify the target before the theory or method is selected.</w:t>
      </w:r>
    </w:p>
    <w:p>
      <w:pPr>
        <w:pStyle w:val="Heading2"/>
        <w:keepNext/>
      </w:pPr>
      <w:r>
        <w:t>Slide 4: Adapt for Development, Relationships, Recovery, and Medical Risk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Children, caregivers, couples, addiction recovery, and medical risk appear in an adaptation matrix.</w:t>
            </w:r>
          </w:p>
        </w:tc>
        <w:tc>
          <w:tcPr>
            <w:tcW w:type="dxa" w:w="5112"/>
            <w:shd w:fill="DCEFF6"/>
            <w:tcMar>
              <w:top w:w="90" w:type="dxa"/>
              <w:start w:w="110" w:type="dxa"/>
              <w:bottom w:w="90" w:type="dxa"/>
              <w:end w:w="110" w:type="dxa"/>
            </w:tcMar>
            <w:vAlign w:val="top"/>
          </w:tcPr>
          <w:p>
            <w:pPr>
              <w:keepNext/>
              <w:keepLines/>
            </w:pPr>
            <w:r>
              <w:rPr>
                <w:color w:val="243B53"/>
                <w:sz w:val="17"/>
              </w:rPr>
              <w:t>Fit the Person and the System</w:t>
            </w:r>
          </w:p>
        </w:tc>
      </w:tr>
    </w:tbl>
    <w:p>
      <w:pPr>
        <w:pStyle w:val="CTALabel"/>
        <w:keepNext/>
      </w:pPr>
      <w:r>
        <w:t>Narration</w:t>
      </w:r>
    </w:p>
    <w:p>
      <w:pPr>
        <w:pStyle w:val="CTANarration"/>
        <w:keepLines/>
        <w:ind w:left="259" w:right="173"/>
      </w:pPr>
      <w:r>
        <w:t>Children often need concrete language, play, modeling, caregiver coaching, routines, reinforcement, and school collaboration. Caregiver burnout may require respite, role negotiation, resource support, and couple or family work in addition to coping skills. Addiction care may include motivational interviewing, harm reduction, relapse prevention, recovery support, family psychoeducation, and level-of-care referral. Body image and eating concerns require attention to fainting, rapid weight change, restriction, purging, and medical instability. Relational involvement is useful only when safe, voluntary, clinically purposeful, and appropriately framed.</w:t>
      </w:r>
    </w:p>
    <w:p>
      <w:pPr>
        <w:pStyle w:val="Heading2"/>
        <w:keepNext/>
      </w:pPr>
      <w:r>
        <w:t>Slide 5: Respond to Nonresponse by Reassessing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review loop examines safety, diagnosis, alliance, implementation, access, intensity, and treatment unit.</w:t>
            </w:r>
          </w:p>
        </w:tc>
        <w:tc>
          <w:tcPr>
            <w:tcW w:type="dxa" w:w="5112"/>
            <w:shd w:fill="DCEFF6"/>
            <w:tcMar>
              <w:top w:w="90" w:type="dxa"/>
              <w:start w:w="110" w:type="dxa"/>
              <w:bottom w:w="90" w:type="dxa"/>
              <w:end w:w="110" w:type="dxa"/>
            </w:tcMar>
            <w:vAlign w:val="top"/>
          </w:tcPr>
          <w:p>
            <w:pPr>
              <w:keepNext/>
              <w:keepLines/>
            </w:pPr>
            <w:r>
              <w:rPr>
                <w:color w:val="243B53"/>
                <w:sz w:val="17"/>
              </w:rPr>
              <w:t>Do Not Technique-Shop</w:t>
            </w:r>
          </w:p>
        </w:tc>
      </w:tr>
    </w:tbl>
    <w:p>
      <w:pPr>
        <w:pStyle w:val="CTALabel"/>
        <w:keepNext/>
      </w:pPr>
      <w:r>
        <w:t>Narration</w:t>
      </w:r>
    </w:p>
    <w:p>
      <w:pPr>
        <w:pStyle w:val="CTANarration"/>
        <w:keepLines/>
        <w:ind w:left="259" w:right="173"/>
      </w:pPr>
      <w:r>
        <w:t>When treatment is not working, do not add several unrelated methods or blame motivation. Reassess safety, medical and substance factors, diagnosis, formulation, alliance with each participant, whether the intervention was understood and practiced, access and cultural fit, treatment unit, and level of care. Determine whether the method targeted the actual maintaining process and whether the expected response occurred. Revision may mean repairing the alliance, simplifying the task, changing modality, increasing support, consulting, referring, or selecting a different evidence-supported approach.</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trauma processing during dysregulation, confrontation of ambivalence, automatic conjoint work, ignored medical risk, and technique accumulation.</w:t>
            </w:r>
          </w:p>
        </w:tc>
        <w:tc>
          <w:tcPr>
            <w:tcW w:type="dxa" w:w="5112"/>
            <w:shd w:fill="DCEFF6"/>
            <w:tcMar>
              <w:top w:w="90" w:type="dxa"/>
              <w:start w:w="110" w:type="dxa"/>
              <w:bottom w:w="90" w:type="dxa"/>
              <w:end w:w="110" w:type="dxa"/>
            </w:tcMar>
            <w:vAlign w:val="top"/>
          </w:tcPr>
          <w:p>
            <w:pPr>
              <w:keepNext/>
              <w:keepLines/>
            </w:pPr>
            <w:r>
              <w:rPr>
                <w:color w:val="243B53"/>
                <w:sz w:val="17"/>
              </w:rPr>
              <w:t>A Good Technique Can Still Be the Wrong Answer</w:t>
            </w:r>
          </w:p>
        </w:tc>
      </w:tr>
    </w:tbl>
    <w:p>
      <w:pPr>
        <w:pStyle w:val="CTALabel"/>
        <w:keepNext/>
      </w:pPr>
      <w:r>
        <w:t>Narration</w:t>
      </w:r>
    </w:p>
    <w:p>
      <w:pPr>
        <w:pStyle w:val="CTANarration"/>
        <w:keepLines/>
        <w:ind w:left="259" w:right="173"/>
      </w:pPr>
      <w:r>
        <w:t>Avoid choosing a named technique before identifying the target, processing trauma during acute dysregulation, treating ambivalence as resistance, recruiting a partner to pressure change, using conjoint treatment simply because the problem affects a relationship, ignoring medical or specialty risk, using adult abstract methods with a young child, or continuing the same plan because the client is compliant. The strongest answer fits the stage, mechanism, client system, access, and response data.</w:t>
      </w:r>
    </w:p>
    <w:p>
      <w:pPr>
        <w:pStyle w:val="Heading2"/>
        <w:keepNext/>
      </w:pPr>
      <w:r>
        <w:t>Slide 7: Mini Scenario: Trauma and Reassurance Cycle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panic-reassurance cycle shows short-term relief and long-term dependence.</w:t>
            </w:r>
          </w:p>
        </w:tc>
        <w:tc>
          <w:tcPr>
            <w:tcW w:type="dxa" w:w="5112"/>
            <w:shd w:fill="DCEFF6"/>
            <w:tcMar>
              <w:top w:w="90" w:type="dxa"/>
              <w:start w:w="110" w:type="dxa"/>
              <w:bottom w:w="90" w:type="dxa"/>
              <w:end w:w="110" w:type="dxa"/>
            </w:tcMar>
            <w:vAlign w:val="top"/>
          </w:tcPr>
          <w:p>
            <w:pPr>
              <w:keepNext/>
              <w:keepLines/>
            </w:pPr>
            <w:r>
              <w:rPr>
                <w:color w:val="243B53"/>
                <w:sz w:val="17"/>
              </w:rPr>
              <w:t>Validate the Protection, Change the Maintaining Cycle</w:t>
            </w:r>
          </w:p>
        </w:tc>
      </w:tr>
    </w:tbl>
    <w:p>
      <w:pPr>
        <w:pStyle w:val="CTALabel"/>
        <w:keepNext/>
      </w:pPr>
      <w:r>
        <w:t>Narration</w:t>
      </w:r>
    </w:p>
    <w:p>
      <w:pPr>
        <w:pStyle w:val="CTANarration"/>
        <w:keepLines/>
        <w:ind w:left="259" w:right="173"/>
      </w:pPr>
      <w:r>
        <w:t>A client with trauma-related panic repeatedly calls a partner for reassurance. The partner cancels work and remains physically present, which reduces distress briefly but increases long-term dependence and avoidance. After confirming safety and stabilization, the therapist can collaboratively identify the reassurance cycle, teach regulation, and develop graded independent coping. The partner is not blamed; the pattern is reframed as understandable and protective in the short term but maintaining in the long term. The response combines individual skill building and relational change because both are supported by the formulation.</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FITS worksheet leads to the Workbook 9 question bank and response review.</w:t>
            </w:r>
          </w:p>
        </w:tc>
        <w:tc>
          <w:tcPr>
            <w:tcW w:type="dxa" w:w="5112"/>
            <w:shd w:fill="DCEFF6"/>
            <w:tcMar>
              <w:top w:w="90" w:type="dxa"/>
              <w:start w:w="110" w:type="dxa"/>
              <w:bottom w:w="90" w:type="dxa"/>
              <w:end w:w="110" w:type="dxa"/>
            </w:tcMar>
            <w:vAlign w:val="top"/>
          </w:tcPr>
          <w:p>
            <w:pPr>
              <w:keepNext/>
              <w:keepLines/>
            </w:pPr>
            <w:r>
              <w:rPr>
                <w:color w:val="243B53"/>
                <w:sz w:val="17"/>
              </w:rPr>
              <w:t>Formulation • Urgency • Target • Fit • Measure</w:t>
            </w:r>
          </w:p>
        </w:tc>
      </w:tr>
    </w:tbl>
    <w:p>
      <w:pPr>
        <w:pStyle w:val="CTALabel"/>
        <w:keepNext/>
      </w:pPr>
      <w:r>
        <w:t>Narration</w:t>
      </w:r>
    </w:p>
    <w:p>
      <w:pPr>
        <w:pStyle w:val="CTANarration"/>
        <w:keepLines/>
        <w:ind w:left="259" w:right="173"/>
      </w:pPr>
      <w:r>
        <w:t>Before answering each Workbook 9 question, write one phrase for formulation, immediacy, target, suitability, and response measure. In the error log, mark whether you chose a familiar technique too soon, ignored readiness or access, missed a medical or safety priority, used the wrong treatment unit, or added methods without revising the formulation. Your goal is not to memorize which therapy goes with which diagnosis. It is to match a change process to the supported maintaining mechanism.</w:t>
      </w:r>
    </w:p>
    <w:p>
      <w:pPr>
        <w:pStyle w:val="Heading1"/>
      </w:pPr>
      <w:r>
        <w:t>Audio-Only Adaptation Notes</w:t>
      </w:r>
    </w:p>
    <w:p>
      <w:pPr>
        <w:pStyle w:val="ListBullet"/>
        <w:spacing w:after="40"/>
        <w:ind w:left="360" w:hanging="216"/>
      </w:pPr>
      <w:r>
        <w:t>Spell out FITS once and repeat the five elements at the end.</w:t>
      </w:r>
    </w:p>
    <w:p>
      <w:pPr>
        <w:pStyle w:val="ListBullet"/>
        <w:spacing w:after="40"/>
        <w:ind w:left="360" w:hanging="216"/>
      </w:pPr>
      <w:r>
        <w:t>Use “mechanism before technique name” as a verbal anchor.</w:t>
      </w:r>
    </w:p>
    <w:p>
      <w:pPr>
        <w:pStyle w:val="ListBullet"/>
        <w:spacing w:after="40"/>
        <w:ind w:left="360" w:hanging="216"/>
      </w:pPr>
      <w:r>
        <w:t>Describe trauma pacing without detailed trauma examples.</w:t>
      </w:r>
    </w:p>
    <w:p>
      <w:pPr>
        <w:pStyle w:val="ListBullet"/>
        <w:spacing w:after="40"/>
        <w:ind w:left="360" w:hanging="216"/>
      </w:pPr>
      <w:r>
        <w:t>End with formulation, urgency, target, fit, and measure.</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help students move from technique recognition to disciplined intervention selection, adaptation, and evaluation.</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9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9 Companion: Trauma, Psychological, Behavioral, and Recovery Interventions</dc:title>
  <dc:subject>CTA LMFT Workbook 9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