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10 Companion: Developmental, Cultural, and Contextual Interventions</w:t>
      </w:r>
    </w:p>
    <w:p>
      <w:pPr>
        <w:jc w:val="center"/>
      </w:pPr>
      <w:r>
        <w:rPr>
          <w:rFonts w:ascii="Aptos Display" w:hAnsi="Aptos Display"/>
          <w:b/>
          <w:color w:val="2AA7D6"/>
          <w:sz w:val="32"/>
        </w:rPr>
        <w:t>LMFT Workbook 10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how development, culture, identity, power, accessibility, language, socioeconomic conditions, family transitions, and historical context should alter intervention delivery and evaluation.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10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10: Developmental, Cultural, and Contextual Interventions, including the CARE adaptation sequence.</w:t>
            </w:r>
          </w:p>
        </w:tc>
      </w:tr>
    </w:tbl>
    <w:p>
      <w:pPr>
        <w:spacing w:after="20"/>
      </w:pPr>
    </w:p>
    <w:p>
      <w:pPr>
        <w:pStyle w:val="Heading1"/>
      </w:pPr>
      <w:r>
        <w:t>Learning Outcomes</w:t>
      </w:r>
    </w:p>
    <w:p>
      <w:pPr>
        <w:pStyle w:val="ListBullet"/>
        <w:spacing w:after="40"/>
        <w:ind w:left="360" w:hanging="216"/>
      </w:pPr>
      <w:r>
        <w:t>Use CARE to translate context into clinical adaptation.</w:t>
      </w:r>
    </w:p>
    <w:p>
      <w:pPr>
        <w:pStyle w:val="ListBullet"/>
        <w:spacing w:after="40"/>
        <w:ind w:left="360" w:hanging="216"/>
      </w:pPr>
      <w:r>
        <w:t>Match methods to developmental capacity and life-cycle stage.</w:t>
      </w:r>
    </w:p>
    <w:p>
      <w:pPr>
        <w:pStyle w:val="ListBullet"/>
        <w:spacing w:after="40"/>
        <w:ind w:left="360" w:hanging="216"/>
      </w:pPr>
      <w:r>
        <w:t>Address culture, identity, power, access, and structural stress.</w:t>
      </w:r>
    </w:p>
    <w:p>
      <w:pPr>
        <w:pStyle w:val="ListBullet"/>
        <w:spacing w:after="40"/>
        <w:ind w:left="360" w:hanging="216"/>
      </w:pPr>
      <w:r>
        <w:t>Evaluate whether adaptations improve participation and outcomes.</w:t>
      </w:r>
    </w:p>
    <w:p>
      <w:pPr>
        <w:pStyle w:val="Heading1"/>
      </w:pPr>
      <w:r>
        <w:t>Voice and Presentation Direction</w:t>
      </w:r>
    </w:p>
    <w:p>
      <w:pPr>
        <w:pStyle w:val="ListBullet"/>
        <w:spacing w:after="40"/>
        <w:ind w:left="360" w:hanging="216"/>
      </w:pPr>
      <w:r>
        <w:t>Ask clients how they understand the problem and preferred changes.</w:t>
      </w:r>
    </w:p>
    <w:p>
      <w:pPr>
        <w:pStyle w:val="ListBullet"/>
        <w:spacing w:after="40"/>
        <w:ind w:left="360" w:hanging="216"/>
      </w:pPr>
      <w:r>
        <w:t>Avoid treating access barriers as resistance.</w:t>
      </w:r>
    </w:p>
    <w:p>
      <w:pPr>
        <w:pStyle w:val="ListBullet"/>
        <w:spacing w:after="40"/>
        <w:ind w:left="360" w:hanging="216"/>
      </w:pPr>
      <w:r>
        <w:t>Do not frame identity as pathology.</w:t>
      </w:r>
    </w:p>
    <w:p>
      <w:pPr>
        <w:pStyle w:val="ListBullet"/>
        <w:spacing w:after="40"/>
        <w:ind w:left="360" w:hanging="216"/>
      </w:pPr>
      <w:r>
        <w:t>Describe adaptation as a clinical effectiveness responsibility.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culturally humble, affirming, and accessibility-aware language. Emphasize collaborative adaptation and outcome evaluation rather than demographic assumptions.</w:t>
            </w:r>
          </w:p>
        </w:tc>
      </w:tr>
    </w:tbl>
    <w:p>
      <w:pPr>
        <w:spacing w:after="20"/>
      </w:pPr>
    </w:p>
    <w:p>
      <w:pPr>
        <w:pStyle w:val="Heading1"/>
      </w:pPr>
      <w:r>
        <w:t>Slide-by-Slide Script</w:t>
      </w:r>
    </w:p>
    <w:p>
      <w:pPr>
        <w:pStyle w:val="Heading2"/>
        <w:keepNext/>
      </w:pPr>
      <w:r>
        <w:t>Slide 1: Context Must Change the Intervention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Assessment context flows into concrete changes in modality, pacing, participants, and materials.</w:t>
            </w:r>
          </w:p>
        </w:tc>
        <w:tc>
          <w:tcPr>
            <w:tcW w:type="dxa" w:w="5112"/>
            <w:shd w:fill="DCEFF6"/>
            <w:tcMar>
              <w:top w:w="90" w:type="dxa"/>
              <w:start w:w="110" w:type="dxa"/>
              <w:bottom w:w="90" w:type="dxa"/>
              <w:end w:w="110" w:type="dxa"/>
            </w:tcMar>
            <w:vAlign w:val="top"/>
          </w:tcPr>
          <w:p>
            <w:pPr>
              <w:keepNext/>
              <w:keepLines/>
            </w:pPr>
            <w:r>
              <w:rPr>
                <w:color w:val="243B53"/>
                <w:sz w:val="17"/>
              </w:rPr>
              <w:t>Context Is Not Background Information</w:t>
            </w:r>
          </w:p>
        </w:tc>
      </w:tr>
    </w:tbl>
    <w:p>
      <w:pPr>
        <w:pStyle w:val="CTALabel"/>
        <w:keepNext/>
      </w:pPr>
      <w:r>
        <w:t>Narration</w:t>
      </w:r>
    </w:p>
    <w:p>
      <w:pPr>
        <w:pStyle w:val="CTANarration"/>
        <w:keepLines/>
        <w:ind w:left="259" w:right="173"/>
      </w:pPr>
      <w:r>
        <w:t>Many answer choices name interventions that could work in general. The best answer is the version that fits the client’s developmental capacity, cultural and identity meanings, access conditions, family system, stage of treatment, and informed preferences. Context should lead to a clinical adaptation. It may change the language, modality, participants, pace, homework, setting, coordination, or outcome measure. Workbook 10 helps you distinguish culturally responsive and accessible practice from simply mentioning diversity during assessment and then delivering the same plan to everyone.</w:t>
      </w:r>
    </w:p>
    <w:p>
      <w:pPr>
        <w:pStyle w:val="Heading2"/>
        <w:keepNext/>
      </w:pPr>
      <w:r>
        <w:t>Slide 2: Use the CARE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CARE steps form an adaptation and evaluation loop.</w:t>
            </w:r>
          </w:p>
        </w:tc>
        <w:tc>
          <w:tcPr>
            <w:tcW w:type="dxa" w:w="5112"/>
            <w:shd w:fill="DCEFF6"/>
            <w:tcMar>
              <w:top w:w="90" w:type="dxa"/>
              <w:start w:w="110" w:type="dxa"/>
              <w:bottom w:w="90" w:type="dxa"/>
              <w:end w:w="110" w:type="dxa"/>
            </w:tcMar>
            <w:vAlign w:val="top"/>
          </w:tcPr>
          <w:p>
            <w:pPr>
              <w:keepNext/>
              <w:keepLines/>
            </w:pPr>
            <w:r>
              <w:rPr>
                <w:color w:val="243B53"/>
                <w:sz w:val="17"/>
              </w:rPr>
              <w:t>Context • Access/Alliance • Relational Adaptation • Evaluate</w:t>
            </w:r>
          </w:p>
        </w:tc>
      </w:tr>
    </w:tbl>
    <w:p>
      <w:pPr>
        <w:pStyle w:val="CTALabel"/>
        <w:keepNext/>
      </w:pPr>
      <w:r>
        <w:t>Narration</w:t>
      </w:r>
    </w:p>
    <w:p>
      <w:pPr>
        <w:pStyle w:val="CTANarration"/>
        <w:keepLines/>
        <w:ind w:left="259" w:right="173"/>
      </w:pPr>
      <w:r>
        <w:t>C is context: identify developmental, cultural, identity, family, environmental, health, and historical factors that change the meaning of the problem. A is access and alliance: assess language, disability, neurodiversity, technology, transportation, cost, safety, trust, and participation barriers. R is relational adaptation: change roles, participants, pacing, communication, modality, materials, or homework within the client system. E is evaluate: determine whether the adaptation improved understanding, participation, safety, alliance, functioning, and progress. CARE prevents context from remaining a description without changing treatment.</w:t>
      </w:r>
    </w:p>
    <w:p>
      <w:pPr>
        <w:pStyle w:val="Heading2"/>
        <w:keepNext/>
      </w:pPr>
      <w:r>
        <w:t>Slide 3: Match Development and Family Life Cycle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Lifespan stages connect to concrete intervention adaptations.</w:t>
            </w:r>
          </w:p>
        </w:tc>
        <w:tc>
          <w:tcPr>
            <w:tcW w:type="dxa" w:w="5112"/>
            <w:shd w:fill="DCEFF6"/>
            <w:tcMar>
              <w:top w:w="90" w:type="dxa"/>
              <w:start w:w="110" w:type="dxa"/>
              <w:bottom w:w="90" w:type="dxa"/>
              <w:end w:w="110" w:type="dxa"/>
            </w:tcMar>
            <w:vAlign w:val="top"/>
          </w:tcPr>
          <w:p>
            <w:pPr>
              <w:keepNext/>
              <w:keepLines/>
            </w:pPr>
            <w:r>
              <w:rPr>
                <w:color w:val="243B53"/>
                <w:sz w:val="17"/>
              </w:rPr>
              <w:t>Capacity and Stage Determine Delivery</w:t>
            </w:r>
          </w:p>
        </w:tc>
      </w:tr>
    </w:tbl>
    <w:p>
      <w:pPr>
        <w:pStyle w:val="CTALabel"/>
        <w:keepNext/>
      </w:pPr>
      <w:r>
        <w:t>Narration</w:t>
      </w:r>
    </w:p>
    <w:p>
      <w:pPr>
        <w:pStyle w:val="CTANarration"/>
        <w:keepLines/>
        <w:ind w:left="259" w:right="173"/>
      </w:pPr>
      <w:r>
        <w:t>Children may need concrete language, play or visual methods, short tasks, caregiver coaching, predictable routines, and school coordination. Adolescents need meaningful choices, privacy clarification, identity exploration, collaborative goals, and a balanced approach to caregiver involvement and autonomy. Adults may need treatment integrated with work, intimacy, parenting, health, and caregiving. Older adults may require attention to sensory access, cognition, transportation, grief, technology, isolation, autonomy, and family role change. Developmental fit is based on demonstrated capacity, not age alone.</w:t>
      </w:r>
    </w:p>
    <w:p>
      <w:pPr>
        <w:pStyle w:val="Heading2"/>
        <w:keepNext/>
      </w:pPr>
      <w:r>
        <w:t>Slide 4: Address Culture, Identity, Power, and Meaning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Identity, spirituality, community, minority stress, and family meaning are explored through client-defined questions.</w:t>
            </w:r>
          </w:p>
        </w:tc>
        <w:tc>
          <w:tcPr>
            <w:tcW w:type="dxa" w:w="5112"/>
            <w:shd w:fill="DCEFF6"/>
            <w:tcMar>
              <w:top w:w="90" w:type="dxa"/>
              <w:start w:w="110" w:type="dxa"/>
              <w:bottom w:w="90" w:type="dxa"/>
              <w:end w:w="110" w:type="dxa"/>
            </w:tcMar>
            <w:vAlign w:val="top"/>
          </w:tcPr>
          <w:p>
            <w:pPr>
              <w:keepNext/>
              <w:keepLines/>
            </w:pPr>
            <w:r>
              <w:rPr>
                <w:color w:val="243B53"/>
                <w:sz w:val="17"/>
              </w:rPr>
              <w:t>Ask, Reflect, Adapt</w:t>
            </w:r>
          </w:p>
        </w:tc>
      </w:tr>
    </w:tbl>
    <w:p>
      <w:pPr>
        <w:pStyle w:val="CTALabel"/>
        <w:keepNext/>
      </w:pPr>
      <w:r>
        <w:t>Narration</w:t>
      </w:r>
    </w:p>
    <w:p>
      <w:pPr>
        <w:pStyle w:val="CTANarration"/>
        <w:keepLines/>
        <w:ind w:left="259" w:right="173"/>
      </w:pPr>
      <w:r>
        <w:t>Cultural humility requires self-reflection, openness to correction, attention to power, and collaborative adaptation. Ask how the client and family understand the concern and what would make treatment respectful and useful. Assess minority stress, discrimination, concealment pressure, rejection, community support, spirituality, religion, migration, military experience, gender, sexual orientation, disability, and historical trauma only as they are relevant to the client. Validate real contextual stress without treating identity as the disorder or asking the client to provide all of the therapist’s education.</w:t>
      </w:r>
    </w:p>
    <w:p>
      <w:pPr>
        <w:pStyle w:val="Heading2"/>
        <w:keepNext/>
      </w:pPr>
      <w:r>
        <w:t>Slide 5: Make Access and Structural Conditions Part of Treatment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Transportation, technology, housing, cost, work, language, and caregiving barriers alter the treatment plan.</w:t>
            </w:r>
          </w:p>
        </w:tc>
        <w:tc>
          <w:tcPr>
            <w:tcW w:type="dxa" w:w="5112"/>
            <w:shd w:fill="DCEFF6"/>
            <w:tcMar>
              <w:top w:w="90" w:type="dxa"/>
              <w:start w:w="110" w:type="dxa"/>
              <w:bottom w:w="90" w:type="dxa"/>
              <w:end w:w="110" w:type="dxa"/>
            </w:tcMar>
            <w:vAlign w:val="top"/>
          </w:tcPr>
          <w:p>
            <w:pPr>
              <w:keepNext/>
              <w:keepLines/>
            </w:pPr>
            <w:r>
              <w:rPr>
                <w:color w:val="243B53"/>
                <w:sz w:val="17"/>
              </w:rPr>
              <w:t>Access Is a Treatment Variable</w:t>
            </w:r>
          </w:p>
        </w:tc>
      </w:tr>
    </w:tbl>
    <w:p>
      <w:pPr>
        <w:pStyle w:val="CTALabel"/>
        <w:keepNext/>
      </w:pPr>
      <w:r>
        <w:t>Narration</w:t>
      </w:r>
    </w:p>
    <w:p>
      <w:pPr>
        <w:pStyle w:val="CTANarration"/>
        <w:keepLines/>
        <w:ind w:left="259" w:right="173"/>
      </w:pPr>
      <w:r>
        <w:t>Financial strain, housing instability, unsafe work, school barriers, food insecurity, transportation, childcare, language, disability, technology, and caregiving demands can maintain symptoms and relationship conflict. Do not label missed appointments or incomplete practice as lack of commitment before assessing feasibility. Adapt the format, schedule, materials, interpreter support, task size, participant involvement, and resource coordination. Then evaluate whether the change actually improves engagement and functioning. A well-intended accommodation that does not help should be revised, just like any other clinical intervention.</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demographic assumptions, age-based uniformity, family involvement by default, access-as-resistance, and one-time adaptation.</w:t>
            </w:r>
          </w:p>
        </w:tc>
        <w:tc>
          <w:tcPr>
            <w:tcW w:type="dxa" w:w="5112"/>
            <w:shd w:fill="DCEFF6"/>
            <w:tcMar>
              <w:top w:w="90" w:type="dxa"/>
              <w:start w:w="110" w:type="dxa"/>
              <w:bottom w:w="90" w:type="dxa"/>
              <w:end w:w="110" w:type="dxa"/>
            </w:tcMar>
            <w:vAlign w:val="top"/>
          </w:tcPr>
          <w:p>
            <w:pPr>
              <w:keepNext/>
              <w:keepLines/>
            </w:pPr>
            <w:r>
              <w:rPr>
                <w:color w:val="243B53"/>
                <w:sz w:val="17"/>
              </w:rPr>
              <w:t>Adapt From Evidence, Not Stereotype</w:t>
            </w:r>
          </w:p>
        </w:tc>
      </w:tr>
    </w:tbl>
    <w:p>
      <w:pPr>
        <w:pStyle w:val="CTALabel"/>
        <w:keepNext/>
      </w:pPr>
      <w:r>
        <w:t>Narration</w:t>
      </w:r>
    </w:p>
    <w:p>
      <w:pPr>
        <w:pStyle w:val="CTANarration"/>
        <w:keepLines/>
        <w:ind w:left="259" w:right="173"/>
      </w:pPr>
      <w:r>
        <w:t>Avoid assuming culture from demographic labels, using the same intervention for every age, treating structural stress as an individual coping failure, involving family automatically, using children or family members as interpreters for sensitive work, ignoring disability or neurodiversity, giving immigration or legal advice outside competence, or making one adaptation and assuming it works. The best answer asks about meaning and barriers, preserves autonomy and safety, changes the treatment delivery, and evaluates the result.</w:t>
      </w:r>
    </w:p>
    <w:p>
      <w:pPr>
        <w:pStyle w:val="Heading2"/>
        <w:keepNext/>
      </w:pPr>
      <w:r>
        <w:t>Slide 7: Mini Scenario: Caregiving, Aging, and Access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An older caregiver faces transportation problems, difficult video technology, health burden, and missed sessions.</w:t>
            </w:r>
          </w:p>
        </w:tc>
        <w:tc>
          <w:tcPr>
            <w:tcW w:type="dxa" w:w="5112"/>
            <w:shd w:fill="DCEFF6"/>
            <w:tcMar>
              <w:top w:w="90" w:type="dxa"/>
              <w:start w:w="110" w:type="dxa"/>
              <w:bottom w:w="90" w:type="dxa"/>
              <w:end w:w="110" w:type="dxa"/>
            </w:tcMar>
            <w:vAlign w:val="top"/>
          </w:tcPr>
          <w:p>
            <w:pPr>
              <w:keepNext/>
              <w:keepLines/>
            </w:pPr>
            <w:r>
              <w:rPr>
                <w:color w:val="243B53"/>
                <w:sz w:val="17"/>
              </w:rPr>
              <w:t>Adapt Access Before Labeling Noncommitment</w:t>
            </w:r>
          </w:p>
        </w:tc>
      </w:tr>
    </w:tbl>
    <w:p>
      <w:pPr>
        <w:pStyle w:val="CTALabel"/>
        <w:keepNext/>
      </w:pPr>
      <w:r>
        <w:t>Narration</w:t>
      </w:r>
    </w:p>
    <w:p>
      <w:pPr>
        <w:pStyle w:val="CTANarration"/>
        <w:keepLines/>
        <w:ind w:left="259" w:right="173"/>
      </w:pPr>
      <w:r>
        <w:t>An older adult caring for a spouse misses sessions because transportation is unreliable and video technology is difficult. Labeling the client uncommitted or terminating for nonattendance ignores the treatment context. The stronger response assesses caregiver burden, health, sensory and technology needs, privacy, transportation, family roles, and available supports. The therapist may adapt the service format, simplify technology, adjust scheduling, coordinate resources, and monitor whether participation and functioning improve. The adaptation remains collaborative and within legal and clinical requirements.</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CARE worksheet leads into the Workbook 10 question bank.</w:t>
            </w:r>
          </w:p>
        </w:tc>
        <w:tc>
          <w:tcPr>
            <w:tcW w:type="dxa" w:w="5112"/>
            <w:shd w:fill="DCEFF6"/>
            <w:tcMar>
              <w:top w:w="90" w:type="dxa"/>
              <w:start w:w="110" w:type="dxa"/>
              <w:bottom w:w="90" w:type="dxa"/>
              <w:end w:w="110" w:type="dxa"/>
            </w:tcMar>
            <w:vAlign w:val="top"/>
          </w:tcPr>
          <w:p>
            <w:pPr>
              <w:keepNext/>
              <w:keepLines/>
            </w:pPr>
            <w:r>
              <w:rPr>
                <w:color w:val="243B53"/>
                <w:sz w:val="17"/>
              </w:rPr>
              <w:t>Meaning • Barrier • Adaptation • Outcome</w:t>
            </w:r>
          </w:p>
        </w:tc>
      </w:tr>
    </w:tbl>
    <w:p>
      <w:pPr>
        <w:pStyle w:val="CTALabel"/>
        <w:keepNext/>
      </w:pPr>
      <w:r>
        <w:t>Narration</w:t>
      </w:r>
    </w:p>
    <w:p>
      <w:pPr>
        <w:pStyle w:val="CTANarration"/>
        <w:keepLines/>
        <w:ind w:left="259" w:right="173"/>
      </w:pPr>
      <w:r>
        <w:t>For every Workbook 10 vignette, identify the client-defined meaning, the developmental and family-stage context, the access or power barrier, the proposed adaptation, and the outcome that will show whether it helped. In your error log, mark stereotyping, age mismatch, ignored structural stress, automatic family involvement, inaccessible homework, or failure to evaluate an adaptation. Strong contextual reasoning changes what the therapist does, not only what the therapist notices.</w:t>
      </w:r>
    </w:p>
    <w:p>
      <w:pPr>
        <w:pStyle w:val="Heading1"/>
      </w:pPr>
      <w:r>
        <w:t>Audio-Only Adaptation Notes</w:t>
      </w:r>
    </w:p>
    <w:p>
      <w:pPr>
        <w:pStyle w:val="ListBullet"/>
        <w:spacing w:after="40"/>
        <w:ind w:left="360" w:hanging="216"/>
      </w:pPr>
      <w:r>
        <w:t>Spell out CARE and repeat it near the close.</w:t>
      </w:r>
    </w:p>
    <w:p>
      <w:pPr>
        <w:pStyle w:val="ListBullet"/>
        <w:spacing w:after="40"/>
        <w:ind w:left="360" w:hanging="216"/>
      </w:pPr>
      <w:r>
        <w:t>Use “access is a treatment variable” as a verbal anchor.</w:t>
      </w:r>
    </w:p>
    <w:p>
      <w:pPr>
        <w:pStyle w:val="ListBullet"/>
        <w:spacing w:after="40"/>
        <w:ind w:left="360" w:hanging="216"/>
      </w:pPr>
      <w:r>
        <w:t>Avoid rapid lists of identities; group them meaningfully.</w:t>
      </w:r>
    </w:p>
    <w:p>
      <w:pPr>
        <w:pStyle w:val="ListBullet"/>
        <w:spacing w:after="40"/>
        <w:ind w:left="360" w:hanging="216"/>
      </w:pPr>
      <w:r>
        <w:t>End with meaning, barrier, adaptation, and outcome.</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make contextual responsiveness concrete by linking assessment findings to observable changes in treatment delivery and evaluation.</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10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10 Companion: Developmental, Cultural, and Contextual Interventions</dc:title>
  <dc:subject>CTA LMFT Workbook 10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