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11 Companion: Theory, Groups, Referral, and Interdisciplinary Collaboration</w:t>
      </w:r>
    </w:p>
    <w:p>
      <w:pPr>
        <w:jc w:val="center"/>
      </w:pPr>
      <w:r>
        <w:rPr>
          <w:rFonts w:ascii="Aptos Display" w:hAnsi="Aptos Display"/>
          <w:b/>
          <w:color w:val="2AA7D6"/>
          <w:sz w:val="32"/>
        </w:rPr>
        <w:t>LMFT Workbook 11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how candidates should use theory as a decision map, select group treatment, manage group stages, consult and refer within competence, and collaborate while preserving role clarity and clinical responsibility.</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California LMFT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LMFT Workbook 11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LMFT Workbook 11: Theory, Groups, Referral, and Interdisciplinary Collaboration, including THEORY and GROUP memory aids.</w:t>
            </w:r>
          </w:p>
        </w:tc>
      </w:tr>
    </w:tbl>
    <w:p>
      <w:pPr>
        <w:spacing w:after="20"/>
      </w:pPr>
    </w:p>
    <w:p>
      <w:pPr>
        <w:pStyle w:val="Heading1"/>
      </w:pPr>
      <w:r>
        <w:t>Learning Outcomes</w:t>
      </w:r>
    </w:p>
    <w:p>
      <w:pPr>
        <w:pStyle w:val="ListBullet"/>
        <w:spacing w:after="40"/>
        <w:ind w:left="360" w:hanging="216"/>
      </w:pPr>
      <w:r>
        <w:t>Match theory to the dominant maintaining mechanism.</w:t>
      </w:r>
    </w:p>
    <w:p>
      <w:pPr>
        <w:pStyle w:val="ListBullet"/>
        <w:spacing w:after="40"/>
        <w:ind w:left="360" w:hanging="216"/>
      </w:pPr>
      <w:r>
        <w:t>Use coherent integration rather than technique shopping.</w:t>
      </w:r>
    </w:p>
    <w:p>
      <w:pPr>
        <w:pStyle w:val="ListBullet"/>
        <w:spacing w:after="40"/>
        <w:ind w:left="360" w:hanging="216"/>
      </w:pPr>
      <w:r>
        <w:t>Screen and facilitate groups according to purpose and stage.</w:t>
      </w:r>
    </w:p>
    <w:p>
      <w:pPr>
        <w:pStyle w:val="ListBullet"/>
        <w:spacing w:after="40"/>
        <w:ind w:left="360" w:hanging="216"/>
      </w:pPr>
      <w:r>
        <w:t>Consult, refer, and collaborate without abandoning responsibility.</w:t>
      </w:r>
    </w:p>
    <w:p>
      <w:pPr>
        <w:pStyle w:val="Heading1"/>
      </w:pPr>
      <w:r>
        <w:t>Voice and Presentation Direction</w:t>
      </w:r>
    </w:p>
    <w:p>
      <w:pPr>
        <w:pStyle w:val="ListBullet"/>
        <w:spacing w:after="40"/>
        <w:ind w:left="360" w:hanging="216"/>
      </w:pPr>
      <w:r>
        <w:t>Explain theories through what they target and change.</w:t>
      </w:r>
    </w:p>
    <w:p>
      <w:pPr>
        <w:pStyle w:val="ListBullet"/>
        <w:spacing w:after="40"/>
        <w:ind w:left="360" w:hanging="216"/>
      </w:pPr>
      <w:r>
        <w:t>Avoid presenting one approach as universally superior.</w:t>
      </w:r>
    </w:p>
    <w:p>
      <w:pPr>
        <w:pStyle w:val="ListBullet"/>
        <w:spacing w:after="40"/>
        <w:ind w:left="360" w:hanging="216"/>
      </w:pPr>
      <w:r>
        <w:t>Describe referral as an active continuity process.</w:t>
      </w:r>
    </w:p>
    <w:p>
      <w:pPr>
        <w:pStyle w:val="ListBullet"/>
        <w:spacing w:after="40"/>
        <w:ind w:left="360" w:hanging="216"/>
      </w:pPr>
      <w:r>
        <w:t>Keep consent, role, and information limits visible in team scenarios.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theory names only when connected to a supported maintaining mechanism. Emphasize coherent integration, group screening, minimum necessary information sharing, and continuity.</w:t>
            </w:r>
          </w:p>
        </w:tc>
      </w:tr>
    </w:tbl>
    <w:p>
      <w:pPr>
        <w:spacing w:after="20"/>
      </w:pPr>
    </w:p>
    <w:p>
      <w:pPr>
        <w:pStyle w:val="Heading1"/>
      </w:pPr>
      <w:r>
        <w:t>Slide-by-Slide Script</w:t>
      </w:r>
    </w:p>
    <w:p>
      <w:pPr>
        <w:pStyle w:val="Heading2"/>
        <w:keepNext/>
      </w:pPr>
      <w:r>
        <w:t>Slide 1: Theory Is a Clinical Decision Map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Observations lead to a maintaining hypothesis, target, intervention, and response check.</w:t>
            </w:r>
          </w:p>
        </w:tc>
        <w:tc>
          <w:tcPr>
            <w:tcW w:type="dxa" w:w="5112"/>
            <w:shd w:fill="DCEFF6"/>
            <w:tcMar>
              <w:top w:w="90" w:type="dxa"/>
              <w:start w:w="110" w:type="dxa"/>
              <w:bottom w:w="90" w:type="dxa"/>
              <w:end w:w="110" w:type="dxa"/>
            </w:tcMar>
            <w:vAlign w:val="top"/>
          </w:tcPr>
          <w:p>
            <w:pPr>
              <w:keepNext/>
              <w:keepLines/>
            </w:pPr>
            <w:r>
              <w:rPr>
                <w:color w:val="243B53"/>
                <w:sz w:val="17"/>
              </w:rPr>
              <w:t>Theory Organizes and Tests a Formulation</w:t>
            </w:r>
          </w:p>
        </w:tc>
      </w:tr>
    </w:tbl>
    <w:p>
      <w:pPr>
        <w:pStyle w:val="CTALabel"/>
        <w:keepNext/>
      </w:pPr>
      <w:r>
        <w:t>Narration</w:t>
      </w:r>
    </w:p>
    <w:p>
      <w:pPr>
        <w:pStyle w:val="CTANarration"/>
        <w:keepLines/>
        <w:ind w:left="259" w:right="173"/>
      </w:pPr>
      <w:r>
        <w:t>Theory earns points when it improves formulation, intervention fit, sequencing, and evaluation. A named technique without a matching clinical target is not theory-informed practice. Use theory to organize relevant observations, explain what maintains the problem, select a target, guide an intervention, and predict an observable change. The exam may include familiar theory vocabulary, but the strongest answer identifies the dominant maintaining process and chooses the orientation that best explains and changes it.</w:t>
      </w:r>
    </w:p>
    <w:p>
      <w:pPr>
        <w:pStyle w:val="Heading2"/>
        <w:keepNext/>
      </w:pPr>
      <w:r>
        <w:t>Slide 2: Use the THEORY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THEORY steps appear as a theory-selection pathway.</w:t>
            </w:r>
          </w:p>
        </w:tc>
        <w:tc>
          <w:tcPr>
            <w:tcW w:type="dxa" w:w="5112"/>
            <w:shd w:fill="DCEFF6"/>
            <w:tcMar>
              <w:top w:w="90" w:type="dxa"/>
              <w:start w:w="110" w:type="dxa"/>
              <w:bottom w:w="90" w:type="dxa"/>
              <w:end w:w="110" w:type="dxa"/>
            </w:tcMar>
            <w:vAlign w:val="top"/>
          </w:tcPr>
          <w:p>
            <w:pPr>
              <w:keepNext/>
              <w:keepLines/>
            </w:pPr>
            <w:r>
              <w:rPr>
                <w:color w:val="243B53"/>
                <w:sz w:val="17"/>
              </w:rPr>
              <w:t>Target • Hypothesis • Evidence • Orientation Fit • Readiness • Yield/Review</w:t>
            </w:r>
          </w:p>
        </w:tc>
      </w:tr>
    </w:tbl>
    <w:p>
      <w:pPr>
        <w:pStyle w:val="CTALabel"/>
        <w:keepNext/>
      </w:pPr>
      <w:r>
        <w:t>Narration</w:t>
      </w:r>
    </w:p>
    <w:p>
      <w:pPr>
        <w:pStyle w:val="CTANarration"/>
        <w:keepLines/>
        <w:ind w:left="259" w:right="173"/>
      </w:pPr>
      <w:r>
        <w:t>T is target: what problem or relationship pattern needs to change? H is hypothesis: what maintains it? E is evidence: which facts support or challenge that hypothesis? O is orientation fit: which theory directly addresses the supported mechanism? R is readiness: does the intervention fit safety, stage, development, culture, preference, and access? Y is yield and review: what observable response should occur, and when will the therapist reconsider the formulation? THEORY prevents candidates from matching one vocabulary word to one school of therapy without examining the full vignette.</w:t>
      </w:r>
    </w:p>
    <w:p>
      <w:pPr>
        <w:pStyle w:val="Heading2"/>
        <w:keepNext/>
      </w:pPr>
      <w:r>
        <w:t>Slide 3: Match the Dominant Mechanism and Integrate Coherently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Common patterns point to structural, strategic, Bowen, attachment, solution-focused, and CBT directions.</w:t>
            </w:r>
          </w:p>
        </w:tc>
        <w:tc>
          <w:tcPr>
            <w:tcW w:type="dxa" w:w="5112"/>
            <w:shd w:fill="DCEFF6"/>
            <w:tcMar>
              <w:top w:w="90" w:type="dxa"/>
              <w:start w:w="110" w:type="dxa"/>
              <w:bottom w:w="90" w:type="dxa"/>
              <w:end w:w="110" w:type="dxa"/>
            </w:tcMar>
            <w:vAlign w:val="top"/>
          </w:tcPr>
          <w:p>
            <w:pPr>
              <w:keepNext/>
              <w:keepLines/>
            </w:pPr>
            <w:r>
              <w:rPr>
                <w:color w:val="243B53"/>
                <w:sz w:val="17"/>
              </w:rPr>
              <w:t>Mechanism Determines Orientation</w:t>
            </w:r>
          </w:p>
        </w:tc>
      </w:tr>
    </w:tbl>
    <w:p>
      <w:pPr>
        <w:pStyle w:val="CTALabel"/>
        <w:keepNext/>
      </w:pPr>
      <w:r>
        <w:t>Narration</w:t>
      </w:r>
    </w:p>
    <w:p>
      <w:pPr>
        <w:pStyle w:val="CTANarration"/>
        <w:keepLines/>
        <w:ind w:left="259" w:right="173"/>
      </w:pPr>
      <w:r>
        <w:t>Hierarchy and subsystem-boundary problems may support structural work. Attempted solutions and reinforcement cycles may support strategic or behavioral-systemic work. Multigenerational triangles and cutoff may support Bowen concepts. Pursuit and withdrawal organized by attachment threat may support attachment-oriented work. Exceptions and preferred change may support solution-focused work. Avoidance and threat appraisal may support cognitive-behavioral work. Integration is appropriate when each method targets a relevant mechanism and follows a coherent sequence. Adding more techniques is not the same as improving treatment.</w:t>
      </w:r>
    </w:p>
    <w:p>
      <w:pPr>
        <w:pStyle w:val="Heading2"/>
        <w:keepNext/>
      </w:pPr>
      <w:r>
        <w:t>Slide 4: Use GROUP for Selection and Facilitation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GROUP and group stages appear in a purpose-to-termination pathway.</w:t>
            </w:r>
          </w:p>
        </w:tc>
        <w:tc>
          <w:tcPr>
            <w:tcW w:type="dxa" w:w="5112"/>
            <w:shd w:fill="DCEFF6"/>
            <w:tcMar>
              <w:top w:w="90" w:type="dxa"/>
              <w:start w:w="110" w:type="dxa"/>
              <w:bottom w:w="90" w:type="dxa"/>
              <w:end w:w="110" w:type="dxa"/>
            </w:tcMar>
            <w:vAlign w:val="top"/>
          </w:tcPr>
          <w:p>
            <w:pPr>
              <w:keepNext/>
              <w:keepLines/>
            </w:pPr>
            <w:r>
              <w:rPr>
                <w:color w:val="243B53"/>
                <w:sz w:val="17"/>
              </w:rPr>
              <w:t>Goal • Readiness • Organization • Understanding Limits • Process/Safety</w:t>
            </w:r>
          </w:p>
        </w:tc>
      </w:tr>
    </w:tbl>
    <w:p>
      <w:pPr>
        <w:pStyle w:val="CTALabel"/>
        <w:keepNext/>
      </w:pPr>
      <w:r>
        <w:t>Narration</w:t>
      </w:r>
    </w:p>
    <w:p>
      <w:pPr>
        <w:pStyle w:val="CTANarration"/>
        <w:keepLines/>
        <w:ind w:left="259" w:right="173"/>
      </w:pPr>
      <w:r>
        <w:t>Select group treatment because its purpose and change process fit the client, not merely because clients share a diagnosis. G is goal or group purpose. R is readiness, including stability, communication capacity, risk, and access. O is organization: composition, size, open or closed structure, frequency, leadership, and emergency procedures. U is understanding of confidentiality limits, norms, expectations, and participation. P is process and safety. During formation, clarify purpose and norms. During conflict, name process and protect safety. During the working stage, deepen mutual aid and feedback. During termination, consolidate gains and plan continuation.</w:t>
      </w:r>
    </w:p>
    <w:p>
      <w:pPr>
        <w:pStyle w:val="Heading2"/>
        <w:keepNext/>
      </w:pPr>
      <w:r>
        <w:t>Slide 5: Consult, Refer, and Collaborate With Continuity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LMFT, physician, psychiatrist, school, specialist, and community providers connect through consent and role clarity.</w:t>
            </w:r>
          </w:p>
        </w:tc>
        <w:tc>
          <w:tcPr>
            <w:tcW w:type="dxa" w:w="5112"/>
            <w:shd w:fill="DCEFF6"/>
            <w:tcMar>
              <w:top w:w="90" w:type="dxa"/>
              <w:start w:w="110" w:type="dxa"/>
              <w:bottom w:w="90" w:type="dxa"/>
              <w:end w:w="110" w:type="dxa"/>
            </w:tcMar>
            <w:vAlign w:val="top"/>
          </w:tcPr>
          <w:p>
            <w:pPr>
              <w:keepNext/>
              <w:keepLines/>
            </w:pPr>
            <w:r>
              <w:rPr>
                <w:color w:val="243B53"/>
                <w:sz w:val="17"/>
              </w:rPr>
              <w:t>Consultation Supports—It Does Not Transfer—Responsibility</w:t>
            </w:r>
          </w:p>
        </w:tc>
      </w:tr>
    </w:tbl>
    <w:p>
      <w:pPr>
        <w:pStyle w:val="CTALabel"/>
        <w:keepNext/>
      </w:pPr>
      <w:r>
        <w:t>Narration</w:t>
      </w:r>
    </w:p>
    <w:p>
      <w:pPr>
        <w:pStyle w:val="CTANarration"/>
        <w:keepLines/>
        <w:ind w:left="259" w:right="173"/>
      </w:pPr>
      <w:r>
        <w:t>Consult when additional expertise can improve care while the LMFT remains responsible for judgment. Refer or add adjunctive care when the client needs a specialty service, medical evaluation, medication management, higher level of care, or intervention outside competence. Transfer when another provider must assume the primary role, while protecting continuity and avoiding abandonment. In interdisciplinary work, clarify each role, obtain appropriate authorization, share only relevant information, and maintain independent clinical, ethical, and legal judgment. Team consensus does not override client rights, safety, or professional responsibility.</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vocabulary matching, technique shopping, diagnosis-only group selection, ignored group harm, referral avoidance, and broad record sharing.</w:t>
            </w:r>
          </w:p>
        </w:tc>
        <w:tc>
          <w:tcPr>
            <w:tcW w:type="dxa" w:w="5112"/>
            <w:shd w:fill="DCEFF6"/>
            <w:tcMar>
              <w:top w:w="90" w:type="dxa"/>
              <w:start w:w="110" w:type="dxa"/>
              <w:bottom w:w="90" w:type="dxa"/>
              <w:end w:w="110" w:type="dxa"/>
            </w:tcMar>
            <w:vAlign w:val="top"/>
          </w:tcPr>
          <w:p>
            <w:pPr>
              <w:keepNext/>
              <w:keepLines/>
            </w:pPr>
            <w:r>
              <w:rPr>
                <w:color w:val="243B53"/>
                <w:sz w:val="17"/>
              </w:rPr>
              <w:t>Name the Mechanism, Purpose, and Role</w:t>
            </w:r>
          </w:p>
        </w:tc>
      </w:tr>
    </w:tbl>
    <w:p>
      <w:pPr>
        <w:pStyle w:val="CTALabel"/>
        <w:keepNext/>
      </w:pPr>
      <w:r>
        <w:t>Narration</w:t>
      </w:r>
    </w:p>
    <w:p>
      <w:pPr>
        <w:pStyle w:val="CTANarration"/>
        <w:keepLines/>
        <w:ind w:left="259" w:right="173"/>
      </w:pPr>
      <w:r>
        <w:t>Avoid matching one word to one theory, combining unrelated techniques without a formulation, selecting group treatment from diagnosis alone, ignoring harmful group behavior in the name of process, referring to avoid ordinary clinical difficulty or difference, ending treatment automatically when adjunctive care is needed, sending broad records to a team, or following team consensus without independent judgment. Strong answers identify the target, treatment system, competence issue, consent basis, information boundary, and continuity plan.</w:t>
      </w:r>
    </w:p>
    <w:p>
      <w:pPr>
        <w:pStyle w:val="Heading2"/>
        <w:keepNext/>
      </w:pPr>
      <w:r>
        <w:t>Slide 7: Mini Scenario: Medication Effects and Team Coordination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client reports new medication effects while the LMFT coordinates with a prescriber.</w:t>
            </w:r>
          </w:p>
        </w:tc>
        <w:tc>
          <w:tcPr>
            <w:tcW w:type="dxa" w:w="5112"/>
            <w:shd w:fill="DCEFF6"/>
            <w:tcMar>
              <w:top w:w="90" w:type="dxa"/>
              <w:start w:w="110" w:type="dxa"/>
              <w:bottom w:w="90" w:type="dxa"/>
              <w:end w:w="110" w:type="dxa"/>
            </w:tcMar>
            <w:vAlign w:val="top"/>
          </w:tcPr>
          <w:p>
            <w:pPr>
              <w:keepNext/>
              <w:keepLines/>
            </w:pPr>
            <w:r>
              <w:rPr>
                <w:color w:val="243B53"/>
                <w:sz w:val="17"/>
              </w:rPr>
              <w:t>Assess Urgency, Stay in Scope, Preserve the Therapy Role</w:t>
            </w:r>
          </w:p>
        </w:tc>
      </w:tr>
    </w:tbl>
    <w:p>
      <w:pPr>
        <w:pStyle w:val="CTALabel"/>
        <w:keepNext/>
      </w:pPr>
      <w:r>
        <w:t>Narration</w:t>
      </w:r>
    </w:p>
    <w:p>
      <w:pPr>
        <w:pStyle w:val="CTANarration"/>
        <w:keepLines/>
        <w:ind w:left="259" w:right="173"/>
      </w:pPr>
      <w:r>
        <w:t>A client develops possible medication side effects and asks the LMFT whether to stop the medication. The therapist should assess current symptoms and urgency, remain within scope, and encourage prompt contact with the prescriber or medical service. With appropriate authorization, the therapist may coordinate relevant observations and continue psychotherapy for emotional and relational effects. The therapist should not direct dosing, abandon the client because medical care is needed, or send the complete record without a defined purpose. Collaboration is strongest when each professional role is clear and continuity is maintained.</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THEORY and GROUP worksheet leads into the Workbook 11 question bank.</w:t>
            </w:r>
          </w:p>
        </w:tc>
        <w:tc>
          <w:tcPr>
            <w:tcW w:type="dxa" w:w="5112"/>
            <w:shd w:fill="DCEFF6"/>
            <w:tcMar>
              <w:top w:w="90" w:type="dxa"/>
              <w:start w:w="110" w:type="dxa"/>
              <w:bottom w:w="90" w:type="dxa"/>
              <w:end w:w="110" w:type="dxa"/>
            </w:tcMar>
            <w:vAlign w:val="top"/>
          </w:tcPr>
          <w:p>
            <w:pPr>
              <w:keepNext/>
              <w:keepLines/>
            </w:pPr>
            <w:r>
              <w:rPr>
                <w:color w:val="243B53"/>
                <w:sz w:val="17"/>
              </w:rPr>
              <w:t>Mechanism • Orientation • Group Fit • Role • Continuity</w:t>
            </w:r>
          </w:p>
        </w:tc>
      </w:tr>
    </w:tbl>
    <w:p>
      <w:pPr>
        <w:pStyle w:val="CTALabel"/>
        <w:keepNext/>
      </w:pPr>
      <w:r>
        <w:t>Narration</w:t>
      </w:r>
    </w:p>
    <w:p>
      <w:pPr>
        <w:pStyle w:val="CTANarration"/>
        <w:keepLines/>
        <w:ind w:left="259" w:right="173"/>
      </w:pPr>
      <w:r>
        <w:t>For each Workbook 11 vignette, identify the maintaining mechanism, the orientation that directly targets it, the predicted change, and the review point. When group treatment appears, add purpose, readiness, structure, limits, stage, and safety. When consultation or referral appears, add competence, role, consent, minimum information, and continuity. In your error log, mark vocabulary matching, technique shopping, weak group screening, role confusion, or referral without follow-up.</w:t>
      </w:r>
    </w:p>
    <w:p>
      <w:pPr>
        <w:pStyle w:val="Heading1"/>
      </w:pPr>
      <w:r>
        <w:t>Audio-Only Adaptation Notes</w:t>
      </w:r>
    </w:p>
    <w:p>
      <w:pPr>
        <w:pStyle w:val="ListBullet"/>
        <w:spacing w:after="40"/>
        <w:ind w:left="360" w:hanging="216"/>
      </w:pPr>
      <w:r>
        <w:t>Spell out THEORY and GROUP once.</w:t>
      </w:r>
    </w:p>
    <w:p>
      <w:pPr>
        <w:pStyle w:val="ListBullet"/>
        <w:spacing w:after="40"/>
        <w:ind w:left="360" w:hanging="216"/>
      </w:pPr>
      <w:r>
        <w:t>Describe theory through mechanisms rather than long definitions.</w:t>
      </w:r>
    </w:p>
    <w:p>
      <w:pPr>
        <w:pStyle w:val="ListBullet"/>
        <w:spacing w:after="40"/>
        <w:ind w:left="360" w:hanging="216"/>
      </w:pPr>
      <w:r>
        <w:t>Pause after the group-stage sequence.</w:t>
      </w:r>
    </w:p>
    <w:p>
      <w:pPr>
        <w:pStyle w:val="ListBullet"/>
        <w:spacing w:after="40"/>
        <w:ind w:left="360" w:hanging="216"/>
      </w:pPr>
      <w:r>
        <w:t>End with mechanism, orientation, group fit, role, and continuity.</w:t>
      </w:r>
    </w:p>
    <w:p>
      <w:pPr>
        <w:pStyle w:val="Heading1"/>
        <w:keepNext/>
        <w:keepLines/>
        <w:pageBreakBefore/>
      </w:pPr>
      <w:r>
        <w:t>Recording Completion Checklist</w:t>
      </w:r>
    </w:p>
    <w:p>
      <w:pPr>
        <w:pStyle w:val="ListBullet"/>
        <w:keepNext/>
        <w:keepLines/>
        <w:spacing w:after="40"/>
        <w:ind w:left="360" w:hanging="216"/>
      </w:pPr>
      <w:r>
        <w:t>Narration matches the final slide order.</w:t>
      </w:r>
    </w:p>
    <w:p>
      <w:pPr>
        <w:pStyle w:val="ListBullet"/>
        <w:keepNext/>
        <w:keepLines/>
        <w:spacing w:after="40"/>
        <w:ind w:left="360" w:hanging="216"/>
      </w:pPr>
      <w:r>
        <w:t>Captions are synchronized and reviewed for clinical terminology.</w:t>
      </w:r>
    </w:p>
    <w:p>
      <w:pPr>
        <w:pStyle w:val="ListBullet"/>
        <w:keepNext/>
        <w:keepLines/>
        <w:spacing w:after="40"/>
        <w:ind w:left="360" w:hanging="216"/>
      </w:pPr>
      <w:r>
        <w:t>Transcript reflects the final recorded wording.</w:t>
      </w:r>
    </w:p>
    <w:p>
      <w:pPr>
        <w:pStyle w:val="ListBullet"/>
        <w:keepNext/>
        <w:keepLines/>
        <w:spacing w:after="40"/>
        <w:ind w:left="360" w:hanging="216"/>
      </w:pPr>
      <w:r>
        <w:t>Any screen demonstrations are verbally described for audio-only listeners.</w:t>
      </w:r>
    </w:p>
    <w:p>
      <w:pPr>
        <w:pStyle w:val="ListBullet"/>
        <w:keepNext/>
        <w:keepLines/>
        <w:spacing w:after="40"/>
        <w:ind w:left="360" w:hanging="216"/>
      </w:pPr>
      <w:r>
        <w:t>Volume is consistent and background noise is removed.</w:t>
      </w:r>
    </w:p>
    <w:p>
      <w:pPr>
        <w:pStyle w:val="ListBullet"/>
        <w:keepNext/>
        <w:keepLines/>
        <w:spacing w:after="40"/>
        <w:ind w:left="360" w:hanging="216"/>
      </w:pPr>
      <w:r>
        <w:t>Final video, transcript, captions, and MP3 use the same version number.</w:t>
      </w:r>
    </w:p>
    <w:p>
      <w:pPr>
        <w:pStyle w:val="ListBullet"/>
        <w:keepLines/>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companion should help students integrate theory, modality, competence, and collaboration into one coherent clinical decision process.</w:t>
            </w:r>
          </w:p>
        </w:tc>
      </w:tr>
    </w:tbl>
    <w:p>
      <w:pPr>
        <w:spacing w:after="20"/>
      </w:pPr>
    </w:p>
    <w:p>
      <w:pPr>
        <w:pStyle w:val="CTASmall"/>
        <w:jc w:val="center"/>
      </w:pPr>
      <w:r>
        <w:t>Educational exam-preparation content. CTA is not affiliated with or endorsed by the California Board of Behavioral Sciences or Pearson VUE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LMFT Workbook 11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11 Companion: Theory, Groups, Referral, and Interdisciplinary Collaboration</dc:title>
  <dc:subject>CTA LMFT Workbook 11 Companion Multimedia Script</dc:subject>
  <dc:creator>Clinical Training Academy</dc:creator>
  <cp:keywords>LMFT, California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