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12 Companion: California Legal, Ethical, and Professional Practice</w:t>
      </w:r>
    </w:p>
    <w:p>
      <w:pPr>
        <w:jc w:val="center"/>
      </w:pPr>
      <w:r>
        <w:rPr>
          <w:rFonts w:ascii="Aptos Display" w:hAnsi="Aptos Display"/>
          <w:b/>
          <w:color w:val="2AA7D6"/>
          <w:sz w:val="32"/>
        </w:rPr>
        <w:t>LMFT Workbook 12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a structured professional-practice analysis for consent, multi-client treatment, confidentiality, privilege, records, boundaries, competence, technology, third parties, termination, and continuity.</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LMFT Workbook 12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12: California Legal, Ethical, and Professional Practice, including the PROTECT decision sequence. Legal and regulatory details should remain synchronized with the final workbook and current official sources used by CTA.</w:t>
            </w:r>
          </w:p>
        </w:tc>
      </w:tr>
    </w:tbl>
    <w:p>
      <w:pPr>
        <w:spacing w:after="20"/>
      </w:pPr>
    </w:p>
    <w:p>
      <w:pPr>
        <w:pStyle w:val="Heading1"/>
      </w:pPr>
      <w:r>
        <w:t>Learning Outcomes</w:t>
      </w:r>
    </w:p>
    <w:p>
      <w:pPr>
        <w:pStyle w:val="ListBullet"/>
        <w:spacing w:after="40"/>
        <w:ind w:left="360" w:hanging="216"/>
      </w:pPr>
      <w:r>
        <w:t>Use PROTECT to analyze professional-practice scenarios.</w:t>
      </w:r>
    </w:p>
    <w:p>
      <w:pPr>
        <w:pStyle w:val="ListBullet"/>
        <w:spacing w:after="40"/>
        <w:ind w:left="360" w:hanging="216"/>
      </w:pPr>
      <w:r>
        <w:t>Clarify client, role, consent, authorization, confidentiality, and privilege.</w:t>
      </w:r>
    </w:p>
    <w:p>
      <w:pPr>
        <w:pStyle w:val="ListBullet"/>
        <w:spacing w:after="40"/>
        <w:ind w:left="360" w:hanging="216"/>
      </w:pPr>
      <w:r>
        <w:t>Evaluate records, boundaries, competence, technology, and third parties.</w:t>
      </w:r>
    </w:p>
    <w:p>
      <w:pPr>
        <w:pStyle w:val="ListBullet"/>
        <w:spacing w:after="40"/>
        <w:ind w:left="360" w:hanging="216"/>
      </w:pPr>
      <w:r>
        <w:t>Protect continuity while following controlling duties.</w:t>
      </w:r>
    </w:p>
    <w:p>
      <w:pPr>
        <w:pStyle w:val="Heading1"/>
      </w:pPr>
      <w:r>
        <w:t>Voice and Presentation Direction</w:t>
      </w:r>
    </w:p>
    <w:p>
      <w:pPr>
        <w:pStyle w:val="ListBullet"/>
        <w:spacing w:after="40"/>
        <w:ind w:left="360" w:hanging="216"/>
      </w:pPr>
      <w:r>
        <w:t>Distinguish law, ethics, policy, and clinical preference.</w:t>
      </w:r>
    </w:p>
    <w:p>
      <w:pPr>
        <w:pStyle w:val="ListBullet"/>
        <w:spacing w:after="40"/>
        <w:ind w:left="360" w:hanging="216"/>
      </w:pPr>
      <w:r>
        <w:t>Do not assume that the most restrictive option is best.</w:t>
      </w:r>
    </w:p>
    <w:p>
      <w:pPr>
        <w:pStyle w:val="ListBullet"/>
        <w:spacing w:after="40"/>
        <w:ind w:left="360" w:hanging="216"/>
      </w:pPr>
      <w:r>
        <w:t>State when consultation is appropriate without using it to delay urgent action.</w:t>
      </w:r>
    </w:p>
    <w:p>
      <w:pPr>
        <w:pStyle w:val="ListBullet"/>
        <w:spacing w:after="40"/>
        <w:ind w:left="360" w:hanging="216"/>
      </w:pPr>
      <w:r>
        <w:t>Repeat that client consent does not create clinician competence.</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careful professional language and avoid presenting the recording as legal advice. Emphasize role, controlling authority, exact facts, consultation, minimum necessary disclosure, documentation, and continuity.</w:t>
            </w:r>
          </w:p>
        </w:tc>
      </w:tr>
    </w:tbl>
    <w:p>
      <w:pPr>
        <w:spacing w:after="20"/>
      </w:pPr>
    </w:p>
    <w:p>
      <w:pPr>
        <w:pStyle w:val="Heading1"/>
      </w:pPr>
      <w:r>
        <w:t>Slide-by-Slide Script</w:t>
      </w:r>
    </w:p>
    <w:p>
      <w:pPr>
        <w:pStyle w:val="Heading2"/>
        <w:keepNext/>
      </w:pPr>
      <w:r>
        <w:t>Slide 1: Professional-Practice Questions Contain Competing Duties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Client welfare, privacy, safety, role, law, ethics, and continuity converge in one decision.</w:t>
            </w:r>
          </w:p>
        </w:tc>
        <w:tc>
          <w:tcPr>
            <w:tcW w:type="dxa" w:w="5112"/>
            <w:shd w:fill="DCEFF6"/>
            <w:tcMar>
              <w:top w:w="90" w:type="dxa"/>
              <w:start w:w="110" w:type="dxa"/>
              <w:bottom w:w="90" w:type="dxa"/>
              <w:end w:w="110" w:type="dxa"/>
            </w:tcMar>
            <w:vAlign w:val="top"/>
          </w:tcPr>
          <w:p>
            <w:pPr>
              <w:keepNext/>
              <w:keepLines/>
            </w:pPr>
            <w:r>
              <w:rPr>
                <w:color w:val="243B53"/>
                <w:sz w:val="17"/>
              </w:rPr>
              <w:t>Identify the Controlling Issue</w:t>
            </w:r>
          </w:p>
        </w:tc>
      </w:tr>
    </w:tbl>
    <w:p>
      <w:pPr>
        <w:pStyle w:val="CTALabel"/>
        <w:keepNext/>
      </w:pPr>
      <w:r>
        <w:t>Narration</w:t>
      </w:r>
    </w:p>
    <w:p>
      <w:pPr>
        <w:pStyle w:val="CTANarration"/>
        <w:keepLines/>
        <w:ind w:left="259" w:right="173"/>
      </w:pPr>
      <w:r>
        <w:t>Professional-practice vignettes often contain several plausible duties at once. One option sounds empathic, another legally cautious, and another administratively convenient. Strong reasoning identifies who the client is, what role the therapist is performing, which authority controls the immediate decision, what facts are known or missing, and how to preserve client welfare and continuity. The most restrictive or legally sounding response is not automatically correct. The best answer follows the controlling duty with the least unnecessary intrusion.</w:t>
      </w:r>
    </w:p>
    <w:p>
      <w:pPr>
        <w:pStyle w:val="Heading2"/>
        <w:keepNext/>
      </w:pPr>
      <w:r>
        <w:t>Slide 2: Use the PROTECT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80-90 seconds</w:t>
            </w:r>
          </w:p>
        </w:tc>
        <w:tc>
          <w:tcPr>
            <w:tcW w:type="dxa" w:w="3528"/>
            <w:shd w:fill="F3F8FA"/>
            <w:tcMar>
              <w:top w:w="90" w:type="dxa"/>
              <w:start w:w="110" w:type="dxa"/>
              <w:bottom w:w="90" w:type="dxa"/>
              <w:end w:w="110" w:type="dxa"/>
            </w:tcMar>
            <w:vAlign w:val="top"/>
          </w:tcPr>
          <w:p>
            <w:pPr>
              <w:keepNext/>
              <w:keepLines/>
            </w:pPr>
            <w:r>
              <w:rPr>
                <w:color w:val="243B53"/>
                <w:sz w:val="17"/>
              </w:rPr>
              <w:t>Seven PROTECT steps form a professional-practice decision pathway.</w:t>
            </w:r>
          </w:p>
        </w:tc>
        <w:tc>
          <w:tcPr>
            <w:tcW w:type="dxa" w:w="5112"/>
            <w:shd w:fill="DCEFF6"/>
            <w:tcMar>
              <w:top w:w="90" w:type="dxa"/>
              <w:start w:w="110" w:type="dxa"/>
              <w:bottom w:w="90" w:type="dxa"/>
              <w:end w:w="110" w:type="dxa"/>
            </w:tcMar>
            <w:vAlign w:val="top"/>
          </w:tcPr>
          <w:p>
            <w:pPr>
              <w:keepNext/>
              <w:keepLines/>
            </w:pPr>
            <w:r>
              <w:rPr>
                <w:color w:val="243B53"/>
                <w:sz w:val="17"/>
              </w:rPr>
              <w:t>Problem/People • Role/Rules • Obtain Facts • Threat • Ethical Options • Consult • Take/Track</w:t>
            </w:r>
          </w:p>
        </w:tc>
      </w:tr>
    </w:tbl>
    <w:p>
      <w:pPr>
        <w:pStyle w:val="CTALabel"/>
        <w:keepNext/>
      </w:pPr>
      <w:r>
        <w:t>Narration</w:t>
      </w:r>
    </w:p>
    <w:p>
      <w:pPr>
        <w:pStyle w:val="CTANarration"/>
        <w:keepLines/>
        <w:ind w:left="259" w:right="173"/>
      </w:pPr>
      <w:r>
        <w:t>P is problem and people: identify the exact issue and the client or client system. R is role and rules: determine whether the LMFT is therapist, evaluator, consultant, supervisor, or record custodian and which law, regulation, ethics rule, or policy applies. O is obtain facts about consent, authorization, privilege, risk, capacity, location, contract, record, or third-party involvement. T is threat and urgency: determine whether safety, reporting, medical need, or a time-sensitive legal process changes the sequence. E is ethical options that protect autonomy, privacy, fairness, culture, competence, and welfare. C is consult and contain. T is take action and track through explanation, documentation, and follow-up.</w:t>
      </w:r>
    </w:p>
    <w:p>
      <w:pPr>
        <w:pStyle w:val="Heading2"/>
        <w:keepNext/>
      </w:pPr>
      <w:r>
        <w:t>Slide 3: Clarify Consent, Client Status, and Information Authority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An individual, couple, family participant, payer, and referral source are separated by client-status and authorization lines.</w:t>
            </w:r>
          </w:p>
        </w:tc>
        <w:tc>
          <w:tcPr>
            <w:tcW w:type="dxa" w:w="5112"/>
            <w:shd w:fill="DCEFF6"/>
            <w:tcMar>
              <w:top w:w="90" w:type="dxa"/>
              <w:start w:w="110" w:type="dxa"/>
              <w:bottom w:w="90" w:type="dxa"/>
              <w:end w:w="110" w:type="dxa"/>
            </w:tcMar>
            <w:vAlign w:val="top"/>
          </w:tcPr>
          <w:p>
            <w:pPr>
              <w:keepNext/>
              <w:keepLines/>
            </w:pPr>
            <w:r>
              <w:rPr>
                <w:color w:val="243B53"/>
                <w:sz w:val="17"/>
              </w:rPr>
              <w:t>Participation or Payment Does Not Automatically Create Access</w:t>
            </w:r>
          </w:p>
        </w:tc>
      </w:tr>
    </w:tbl>
    <w:p>
      <w:pPr>
        <w:pStyle w:val="CTALabel"/>
        <w:keepNext/>
      </w:pPr>
      <w:r>
        <w:t>Narration</w:t>
      </w:r>
    </w:p>
    <w:p>
      <w:pPr>
        <w:pStyle w:val="CTANarration"/>
        <w:keepLines/>
        <w:ind w:left="259" w:right="173"/>
      </w:pPr>
      <w:r>
        <w:t>Informed consent is ongoing and should be revisited when the treatment unit, participants, individual contacts, telehealth, fees, reports, or therapist role changes. In multi-client treatment, clarify who is the client or client system, who may authorize disclosure, how records are organized, and how individual information will be handled. Confidentiality is the professional duty to protect information. Privacy is the client’s interest in controlling access. Privilege is an evidentiary protection in legal proceedings. Authorization is client-controlled permission with defined recipient, information, purpose, duration, and revocation terms.</w:t>
      </w:r>
    </w:p>
    <w:p>
      <w:pPr>
        <w:pStyle w:val="Heading2"/>
        <w:keepNext/>
      </w:pPr>
      <w:r>
        <w:t>Slide 4: Protect Record Integrity, Boundaries, and Competence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Three panels show accurate records, boundary analysis, and competence/impairment response.</w:t>
            </w:r>
          </w:p>
        </w:tc>
        <w:tc>
          <w:tcPr>
            <w:tcW w:type="dxa" w:w="5112"/>
            <w:shd w:fill="DCEFF6"/>
            <w:tcMar>
              <w:top w:w="90" w:type="dxa"/>
              <w:start w:w="110" w:type="dxa"/>
              <w:bottom w:w="90" w:type="dxa"/>
              <w:end w:w="110" w:type="dxa"/>
            </w:tcMar>
            <w:vAlign w:val="top"/>
          </w:tcPr>
          <w:p>
            <w:pPr>
              <w:keepNext/>
              <w:keepLines/>
            </w:pPr>
            <w:r>
              <w:rPr>
                <w:color w:val="243B53"/>
                <w:sz w:val="17"/>
              </w:rPr>
              <w:t>Accurate • Purposeful • Within Competence</w:t>
            </w:r>
          </w:p>
        </w:tc>
      </w:tr>
    </w:tbl>
    <w:p>
      <w:pPr>
        <w:pStyle w:val="CTALabel"/>
        <w:keepNext/>
      </w:pPr>
      <w:r>
        <w:t>Narration</w:t>
      </w:r>
    </w:p>
    <w:p>
      <w:pPr>
        <w:pStyle w:val="CTANarration"/>
        <w:keepLines/>
        <w:ind w:left="259" w:right="173"/>
      </w:pPr>
      <w:r>
        <w:t>Documentation should be accurate, timely, relevant, and corrected transparently without deleting or disguising the original record. Boundary decisions consider power, vulnerability, clinical purpose, culture, community context, value, exploitation risk, confidentiality, alternatives, and ongoing impact. Self-disclosure, gifts, electronic contact, and dual relationships are not judged by one rule alone, but sexual exploitation and other prohibited conduct are not contextual gray areas. Competence includes training, supervised experience, current knowledge, and recognition of limits. Consultation supports judgment but does not transfer responsibility. Impairment requires action to protect clients and continuity.</w:t>
      </w:r>
    </w:p>
    <w:p>
      <w:pPr>
        <w:pStyle w:val="Heading2"/>
        <w:keepNext/>
      </w:pPr>
      <w:r>
        <w:t>Slide 5: Apply the Same Reasoning to Technology, Third Parties, and Ending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Telehealth, messaging, court/payer requests, and transfer of care appear in a single role map.</w:t>
            </w:r>
          </w:p>
        </w:tc>
        <w:tc>
          <w:tcPr>
            <w:tcW w:type="dxa" w:w="5112"/>
            <w:shd w:fill="DCEFF6"/>
            <w:tcMar>
              <w:top w:w="90" w:type="dxa"/>
              <w:start w:w="110" w:type="dxa"/>
              <w:bottom w:w="90" w:type="dxa"/>
              <w:end w:w="110" w:type="dxa"/>
            </w:tcMar>
            <w:vAlign w:val="top"/>
          </w:tcPr>
          <w:p>
            <w:pPr>
              <w:keepNext/>
              <w:keepLines/>
            </w:pPr>
            <w:r>
              <w:rPr>
                <w:color w:val="243B53"/>
                <w:sz w:val="17"/>
              </w:rPr>
              <w:t>Role, Jurisdiction, Information, Continuity</w:t>
            </w:r>
          </w:p>
        </w:tc>
      </w:tr>
    </w:tbl>
    <w:p>
      <w:pPr>
        <w:pStyle w:val="CTALabel"/>
        <w:keepNext/>
      </w:pPr>
      <w:r>
        <w:t>Narration</w:t>
      </w:r>
    </w:p>
    <w:p>
      <w:pPr>
        <w:pStyle w:val="CTANarration"/>
        <w:keepLines/>
        <w:ind w:left="259" w:right="173"/>
      </w:pPr>
      <w:r>
        <w:t>Telehealth and messaging require attention to identity, location, privacy, emergency procedures, platform risks, documentation, and applicable jurisdiction. Third parties may pay, refer, investigate, request, or receive a limited report without becoming the clinical client. Clarify the contract, purpose, expected reports, confidentiality limits, conflicts, and whether the request shifts the therapist toward a forensic role. Termination, transfer, coverage, or referral should assess risk and need, provide reasonable notice when possible, offer appropriate resources, transfer information with authority, and document efforts to preserve continuity.</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payment-equals-access, subpoena-equals-release, consent-equals-competence, policy-equals-law, overdisclosure, and abrupt referral.</w:t>
            </w:r>
          </w:p>
        </w:tc>
        <w:tc>
          <w:tcPr>
            <w:tcW w:type="dxa" w:w="5112"/>
            <w:shd w:fill="DCEFF6"/>
            <w:tcMar>
              <w:top w:w="90" w:type="dxa"/>
              <w:start w:w="110" w:type="dxa"/>
              <w:bottom w:w="90" w:type="dxa"/>
              <w:end w:w="110" w:type="dxa"/>
            </w:tcMar>
            <w:vAlign w:val="top"/>
          </w:tcPr>
          <w:p>
            <w:pPr>
              <w:keepNext/>
              <w:keepLines/>
            </w:pPr>
            <w:r>
              <w:rPr>
                <w:color w:val="243B53"/>
                <w:sz w:val="17"/>
              </w:rPr>
              <w:t>Do Not Collapse Different Authorities</w:t>
            </w:r>
          </w:p>
        </w:tc>
      </w:tr>
    </w:tbl>
    <w:p>
      <w:pPr>
        <w:pStyle w:val="CTALabel"/>
        <w:keepNext/>
      </w:pPr>
      <w:r>
        <w:t>Narration</w:t>
      </w:r>
    </w:p>
    <w:p>
      <w:pPr>
        <w:pStyle w:val="CTANarration"/>
        <w:keepLines/>
        <w:ind w:left="259" w:right="173"/>
      </w:pPr>
      <w:r>
        <w:t>Avoid assuming a payer can access records, treating a subpoena as automatic permission to disclose, confusing confidentiality with privilege, sending an entire record when limited information is sufficient, letting agency policy replace law or ethics, interpreting client consent as clinician competence, using consultation to delay a supported urgent duty, taking a third party’s requested role without clarifying conflicts, or referring abruptly to escape ordinary discomfort. Strong answers identify the exact authority and use the least intrusive lawful option that protects care.</w:t>
      </w:r>
    </w:p>
    <w:p>
      <w:pPr>
        <w:pStyle w:val="Heading2"/>
        <w:keepNext/>
      </w:pPr>
      <w:r>
        <w:t>Slide 7: Mini Scenario: Parent Pays for Adult Child’s Therapy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An adult client, paying parent, therapist, and authorization document appear in a role diagram.</w:t>
            </w:r>
          </w:p>
        </w:tc>
        <w:tc>
          <w:tcPr>
            <w:tcW w:type="dxa" w:w="5112"/>
            <w:shd w:fill="DCEFF6"/>
            <w:tcMar>
              <w:top w:w="90" w:type="dxa"/>
              <w:start w:w="110" w:type="dxa"/>
              <w:bottom w:w="90" w:type="dxa"/>
              <w:end w:w="110" w:type="dxa"/>
            </w:tcMar>
            <w:vAlign w:val="top"/>
          </w:tcPr>
          <w:p>
            <w:pPr>
              <w:keepNext/>
              <w:keepLines/>
            </w:pPr>
            <w:r>
              <w:rPr>
                <w:color w:val="243B53"/>
                <w:sz w:val="17"/>
              </w:rPr>
              <w:t>Payment Alone Does Not Authorize Updates</w:t>
            </w:r>
          </w:p>
        </w:tc>
      </w:tr>
    </w:tbl>
    <w:p>
      <w:pPr>
        <w:pStyle w:val="CTALabel"/>
        <w:keepNext/>
      </w:pPr>
      <w:r>
        <w:t>Narration</w:t>
      </w:r>
    </w:p>
    <w:p>
      <w:pPr>
        <w:pStyle w:val="CTANarration"/>
        <w:keepLines/>
        <w:ind w:left="259" w:right="173"/>
      </w:pPr>
      <w:r>
        <w:t>A parent pays for an adult child’s therapy and requests weekly progress reports. The therapist should first identify the adult child as the client, review the informed-consent and authorization documents, clarify the parent’s financial role, and discuss with the client what—if anything—may be shared. The therapist should not provide updates simply because the parent pays, promise absolute secrecy without reviewing actual limits, or terminate the client to avoid conflict. The response protects privacy, role clarity, autonomy, and continuity while leaving room for a limited client-authorized communication if appropriate.</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PROTECT worksheet leads to Workbook 12 practice and official-source verification.</w:t>
            </w:r>
          </w:p>
        </w:tc>
        <w:tc>
          <w:tcPr>
            <w:tcW w:type="dxa" w:w="5112"/>
            <w:shd w:fill="DCEFF6"/>
            <w:tcMar>
              <w:top w:w="90" w:type="dxa"/>
              <w:start w:w="110" w:type="dxa"/>
              <w:bottom w:w="90" w:type="dxa"/>
              <w:end w:w="110" w:type="dxa"/>
            </w:tcMar>
            <w:vAlign w:val="top"/>
          </w:tcPr>
          <w:p>
            <w:pPr>
              <w:keepNext/>
              <w:keepLines/>
            </w:pPr>
            <w:r>
              <w:rPr>
                <w:color w:val="243B53"/>
                <w:sz w:val="17"/>
              </w:rPr>
              <w:t>Client • Role • Authority • Facts • Urgency • Action • Record</w:t>
            </w:r>
          </w:p>
        </w:tc>
      </w:tr>
    </w:tbl>
    <w:p>
      <w:pPr>
        <w:pStyle w:val="CTALabel"/>
        <w:keepNext/>
      </w:pPr>
      <w:r>
        <w:t>Narration</w:t>
      </w:r>
    </w:p>
    <w:p>
      <w:pPr>
        <w:pStyle w:val="CTANarration"/>
        <w:keepLines/>
        <w:ind w:left="259" w:right="173"/>
      </w:pPr>
      <w:r>
        <w:t>For each Workbook 12 vignette, identify the client or client system, therapist role, controlling authority, missing facts, urgency, least intrusive action, consultation need, and documentation or continuity step. In your error log, mark role confusion, authority confusion, overdisclosure, consent-versus-competence errors, policy treated as law, or abandonment risk. Use the final workbook and CTA’s cited official sources for current legal details; use this companion lesson for the reasoning sequence.</w:t>
      </w:r>
    </w:p>
    <w:p>
      <w:pPr>
        <w:pStyle w:val="Heading1"/>
      </w:pPr>
      <w:r>
        <w:t>Audio-Only Adaptation Notes</w:t>
      </w:r>
    </w:p>
    <w:p>
      <w:pPr>
        <w:pStyle w:val="ListBullet"/>
        <w:spacing w:after="40"/>
        <w:ind w:left="360" w:hanging="216"/>
      </w:pPr>
      <w:r>
        <w:t>Spell out PROTECT slowly.</w:t>
      </w:r>
    </w:p>
    <w:p>
      <w:pPr>
        <w:pStyle w:val="ListBullet"/>
        <w:spacing w:after="40"/>
        <w:ind w:left="360" w:hanging="216"/>
      </w:pPr>
      <w:r>
        <w:t>Clearly distinguish confidentiality, privacy, privilege, and authorization.</w:t>
      </w:r>
    </w:p>
    <w:p>
      <w:pPr>
        <w:pStyle w:val="ListBullet"/>
        <w:spacing w:after="40"/>
        <w:ind w:left="360" w:hanging="216"/>
      </w:pPr>
      <w:r>
        <w:t>Use “payment does not automatically create access” as a verbal anchor.</w:t>
      </w:r>
    </w:p>
    <w:p>
      <w:pPr>
        <w:pStyle w:val="ListBullet"/>
        <w:spacing w:after="40"/>
        <w:ind w:left="360" w:hanging="216"/>
      </w:pPr>
      <w:r>
        <w:t>End with client, role, authority, facts, urgency, action, and record.</w:t>
      </w:r>
    </w:p>
    <w:p>
      <w:pPr>
        <w:pStyle w:val="Heading1"/>
        <w:keepNext/>
        <w:keepLines/>
        <w:pageBreakBefore/>
      </w:pPr>
      <w:r>
        <w:t>Recording Completion Checklist</w:t>
      </w:r>
    </w:p>
    <w:p>
      <w:pPr>
        <w:pStyle w:val="ListBullet"/>
        <w:keepNext/>
        <w:keepLines/>
        <w:spacing w:after="40"/>
        <w:ind w:left="360" w:hanging="216"/>
      </w:pPr>
      <w:r>
        <w:t>Narration matches the final slide order.</w:t>
      </w:r>
    </w:p>
    <w:p>
      <w:pPr>
        <w:pStyle w:val="ListBullet"/>
        <w:keepNext/>
        <w:keepLines/>
        <w:spacing w:after="40"/>
        <w:ind w:left="360" w:hanging="216"/>
      </w:pPr>
      <w:r>
        <w:t>Captions are synchronized and reviewed for clinical terminology.</w:t>
      </w:r>
    </w:p>
    <w:p>
      <w:pPr>
        <w:pStyle w:val="ListBullet"/>
        <w:keepNext/>
        <w:keepLines/>
        <w:spacing w:after="40"/>
        <w:ind w:left="360" w:hanging="216"/>
      </w:pPr>
      <w:r>
        <w:t>Transcript reflects the final recorded wording.</w:t>
      </w:r>
    </w:p>
    <w:p>
      <w:pPr>
        <w:pStyle w:val="ListBullet"/>
        <w:keepNext/>
        <w:keepLines/>
        <w:spacing w:after="40"/>
        <w:ind w:left="360" w:hanging="216"/>
      </w:pPr>
      <w:r>
        <w:t>Any screen demonstrations are verbally described for audio-only listeners.</w:t>
      </w:r>
    </w:p>
    <w:p>
      <w:pPr>
        <w:pStyle w:val="ListBullet"/>
        <w:keepNext/>
        <w:keepLines/>
        <w:spacing w:after="40"/>
        <w:ind w:left="360" w:hanging="216"/>
      </w:pPr>
      <w:r>
        <w:t>Volume is consistent and background noise is removed.</w:t>
      </w:r>
    </w:p>
    <w:p>
      <w:pPr>
        <w:pStyle w:val="ListBullet"/>
        <w:keepNext/>
        <w:keepLines/>
        <w:spacing w:after="40"/>
        <w:ind w:left="360" w:hanging="216"/>
      </w:pPr>
      <w:r>
        <w:t>Final video, transcript, captions, and MP3 use the same version number.</w:t>
      </w:r>
    </w:p>
    <w:p>
      <w:pPr>
        <w:pStyle w:val="ListBullet"/>
        <w:keepLines/>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reinforce structured professional judgment without functioning as legal advice. All legal details must remain aligned with the current final workbook and CTA source-verification process.</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Workbook 12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12 Companion: California Legal, Ethical, and Professional Practice</dc:title>
  <dc:subject>CTA LMFT Workbook 12 Companion Multimedia Script</dc:subject>
  <dc:creator>Clinical Training Academy</dc:creator>
  <cp:keywords>LMFT, California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