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4937760" cy="1641472"/>
            <wp:docPr id="1" name="Picture 1" descr="Image: image1.jpg"/>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4937760" cy="1641472"/>
                    </a:xfrm>
                    <a:prstGeom prst="rect"/>
                  </pic:spPr>
                </pic:pic>
              </a:graphicData>
            </a:graphic>
          </wp:inline>
        </w:drawing>
      </w:r>
    </w:p>
    <w:p>
      <w:pPr>
        <w:spacing w:after="320"/>
        <w:jc w:val="center"/>
      </w:pPr>
      <w:r>
        <w:rPr>
          <w:rFonts w:ascii="Montserrat" w:hAnsi="Montserrat" w:eastAsia="Montserrat"/>
          <w:b/>
          <w:color w:val="1B9E9A"/>
          <w:sz w:val="22"/>
        </w:rPr>
        <w:t>DAVID WEBSITE RELEASE PACKAGE</w:t>
      </w:r>
    </w:p>
    <w:p>
      <w:pPr>
        <w:spacing w:after="200"/>
        <w:jc w:val="center"/>
      </w:pPr>
      <w:r>
        <w:rPr>
          <w:rFonts w:ascii="Montserrat" w:hAnsi="Montserrat" w:eastAsia="Montserrat"/>
          <w:b/>
          <w:color w:val="14294B"/>
          <w:sz w:val="48"/>
        </w:rPr>
        <w:t>CTA LMFT California Clinical Exam Preparation Program</w:t>
      </w:r>
    </w:p>
    <w:p>
      <w:pPr>
        <w:spacing w:after="360"/>
        <w:jc w:val="center"/>
      </w:pPr>
      <w:r>
        <w:rPr>
          <w:rFonts w:ascii="Montserrat" w:hAnsi="Montserrat" w:eastAsia="Montserrat"/>
          <w:color w:val="1B9E9A"/>
          <w:sz w:val="26"/>
        </w:rPr>
        <w:t>For AMFTs and eligible candidates preparing for the California LMFT Clinical Examination</w:t>
      </w:r>
    </w:p>
    <w:tbl>
      <w:tblPr>
        <w:tblW w:type="auto" w:w="0"/>
        <w:jc w:val="center"/>
        <w:tblLook w:firstColumn="1" w:firstRow="1" w:lastColumn="0" w:lastRow="0" w:noHBand="0" w:noVBand="1" w:val="04A0"/>
      </w:tblPr>
      <w:tblGrid>
        <w:gridCol w:w="10224"/>
      </w:tblGrid>
      <w:tr>
        <w:tc>
          <w:tcPr>
            <w:tcW w:type="dxa" w:w="10224"/>
            <w:shd w:fill="E9F7F6"/>
            <w:tcMar>
              <w:top w:w="130" w:type="dxa"/>
              <w:start w:w="100" w:type="dxa"/>
              <w:bottom w:w="130" w:type="dxa"/>
              <w:end w:w="100" w:type="dxa"/>
            </w:tcMar>
          </w:tcPr>
          <w:p>
            <w:pPr>
              <w:jc w:val="center"/>
            </w:pPr>
            <w:r>
              <w:rPr>
                <w:rFonts w:ascii="Montserrat" w:hAnsi="Montserrat" w:eastAsia="Montserrat"/>
                <w:b/>
                <w:color w:val="14294B"/>
                <w:sz w:val="19"/>
              </w:rPr>
              <w:t>WEBSITE COPY • PRODUCT CONFIGURATION • RELEASE CONTROLS</w:t>
            </w:r>
          </w:p>
        </w:tc>
        <w:trPr>
          <w:tblHeader/>
        </w:trPr>
      </w:tr>
      <w:tr>
        <w:tc>
          <w:tcPr>
            <w:tcW w:type="dxa" w:w="10224"/>
            <w:shd w:fill="F3F4F6"/>
            <w:tcMar>
              <w:top w:w="130" w:type="dxa"/>
              <w:start w:w="100" w:type="dxa"/>
              <w:bottom w:w="130" w:type="dxa"/>
              <w:end w:w="100" w:type="dxa"/>
            </w:tcMar>
          </w:tcPr>
          <w:p>
            <w:pPr>
              <w:jc w:val="center"/>
            </w:pPr>
            <w:r>
              <w:rPr>
                <w:rFonts w:ascii="Montserrat" w:hAnsi="Montserrat" w:eastAsia="Montserrat"/>
                <w:b w:val="0"/>
                <w:color w:val="14294B"/>
                <w:sz w:val="19"/>
              </w:rPr>
              <w:t>Version 1.0 • August 3, 2026</w:t>
            </w:r>
          </w:p>
        </w:tc>
      </w:tr>
      <w:tr>
        <w:tc>
          <w:tcPr>
            <w:tcW w:type="dxa" w:w="10224"/>
            <w:shd w:fill="E9F7F6"/>
            <w:tcMar>
              <w:top w:w="130" w:type="dxa"/>
              <w:start w:w="100" w:type="dxa"/>
              <w:bottom w:w="130" w:type="dxa"/>
              <w:end w:w="100" w:type="dxa"/>
            </w:tcMar>
          </w:tcPr>
          <w:p>
            <w:pPr>
              <w:jc w:val="center"/>
            </w:pPr>
            <w:r>
              <w:rPr>
                <w:rFonts w:ascii="Montserrat" w:hAnsi="Montserrat" w:eastAsia="Montserrat"/>
                <w:b/>
                <w:color w:val="14294B"/>
                <w:sz w:val="19"/>
              </w:rPr>
              <w:t>INTERNAL WEBSITE AND LMS IMPLEMENTATION RESOURCE</w:t>
            </w:r>
          </w:p>
        </w:tc>
      </w:tr>
    </w:tbl>
    <w:p>
      <w:pPr>
        <w:spacing w:before="400"/>
        <w:jc w:val="center"/>
      </w:pPr>
      <w:r>
        <w:rPr>
          <w:rFonts w:ascii="Montserrat" w:hAnsi="Montserrat" w:eastAsia="Montserrat"/>
          <w:i/>
          <w:color w:val="6B7280"/>
          <w:sz w:val="22"/>
        </w:rPr>
        <w:t>Teaching Clinicians How to Think.</w:t>
      </w:r>
    </w:p>
    <w:p>
      <w:r>
        <w:br w:type="page"/>
      </w:r>
    </w:p>
    <w:p>
      <w:pPr>
        <w:pStyle w:val="CTALabel"/>
      </w:pPr>
      <w:r>
        <w:t>CONTENTS</w:t>
      </w:r>
    </w:p>
    <w:p>
      <w:pPr>
        <w:spacing w:after="40"/>
        <w:ind w:left="288"/>
      </w:pPr>
      <w:r>
        <w:rPr>
          <w:rFonts w:ascii="Montserrat" w:hAnsi="Montserrat" w:eastAsia="Montserrat"/>
          <w:color w:val="1F2937"/>
          <w:sz w:val="21"/>
        </w:rPr>
        <w:t>1. Release Decision and Program Identity</w:t>
      </w:r>
    </w:p>
    <w:p>
      <w:pPr>
        <w:spacing w:after="40"/>
        <w:ind w:left="288"/>
      </w:pPr>
      <w:r>
        <w:rPr>
          <w:rFonts w:ascii="Montserrat" w:hAnsi="Montserrat" w:eastAsia="Montserrat"/>
          <w:color w:val="1F2937"/>
          <w:sz w:val="21"/>
        </w:rPr>
        <w:t>2. Current Examination Structure</w:t>
      </w:r>
    </w:p>
    <w:p>
      <w:pPr>
        <w:spacing w:after="40"/>
        <w:ind w:left="288"/>
      </w:pPr>
      <w:r>
        <w:rPr>
          <w:rFonts w:ascii="Montserrat" w:hAnsi="Montserrat" w:eastAsia="Montserrat"/>
          <w:color w:val="1F2937"/>
          <w:sz w:val="21"/>
        </w:rPr>
        <w:t>3. Program Architecture</w:t>
      </w:r>
    </w:p>
    <w:p>
      <w:pPr>
        <w:spacing w:after="40"/>
        <w:ind w:left="288"/>
      </w:pPr>
      <w:r>
        <w:rPr>
          <w:rFonts w:ascii="Montserrat" w:hAnsi="Montserrat" w:eastAsia="Montserrat"/>
          <w:color w:val="1F2937"/>
          <w:sz w:val="21"/>
        </w:rPr>
        <w:t>4. Website Sales-Page Copy</w:t>
      </w:r>
    </w:p>
    <w:p>
      <w:pPr>
        <w:spacing w:after="40"/>
        <w:ind w:left="288"/>
      </w:pPr>
      <w:r>
        <w:rPr>
          <w:rFonts w:ascii="Montserrat" w:hAnsi="Montserrat" w:eastAsia="Montserrat"/>
          <w:color w:val="1F2937"/>
          <w:sz w:val="21"/>
        </w:rPr>
        <w:t>5. How the Program Works</w:t>
      </w:r>
    </w:p>
    <w:p>
      <w:pPr>
        <w:spacing w:after="40"/>
        <w:ind w:left="288"/>
      </w:pPr>
      <w:r>
        <w:rPr>
          <w:rFonts w:ascii="Montserrat" w:hAnsi="Montserrat" w:eastAsia="Montserrat"/>
          <w:color w:val="1F2937"/>
          <w:sz w:val="21"/>
        </w:rPr>
        <w:t>6. Website Product Configuration</w:t>
      </w:r>
    </w:p>
    <w:p>
      <w:pPr>
        <w:spacing w:after="40"/>
        <w:ind w:left="288"/>
      </w:pPr>
      <w:r>
        <w:rPr>
          <w:rFonts w:ascii="Montserrat" w:hAnsi="Montserrat" w:eastAsia="Montserrat"/>
          <w:color w:val="1F2937"/>
          <w:sz w:val="21"/>
        </w:rPr>
        <w:t>7. David Implementation Instructions</w:t>
      </w:r>
    </w:p>
    <w:p>
      <w:pPr>
        <w:spacing w:after="40"/>
        <w:ind w:left="288"/>
      </w:pPr>
      <w:r>
        <w:rPr>
          <w:rFonts w:ascii="Montserrat" w:hAnsi="Montserrat" w:eastAsia="Montserrat"/>
          <w:color w:val="1F2937"/>
          <w:sz w:val="21"/>
        </w:rPr>
        <w:t>8. Release Inventory and File Controls</w:t>
      </w:r>
    </w:p>
    <w:p>
      <w:pPr>
        <w:spacing w:after="40"/>
        <w:ind w:left="288"/>
      </w:pPr>
      <w:r>
        <w:rPr>
          <w:rFonts w:ascii="Montserrat" w:hAnsi="Montserrat" w:eastAsia="Montserrat"/>
          <w:color w:val="1F2937"/>
          <w:sz w:val="21"/>
        </w:rPr>
        <w:t>9. Same-Day Launch Checklist</w:t>
      </w:r>
    </w:p>
    <w:p>
      <w:pPr>
        <w:spacing w:after="40"/>
        <w:ind w:left="288"/>
      </w:pPr>
      <w:r>
        <w:rPr>
          <w:rFonts w:ascii="Montserrat" w:hAnsi="Montserrat" w:eastAsia="Montserrat"/>
          <w:color w:val="1F2937"/>
          <w:sz w:val="21"/>
        </w:rPr>
        <w:t>10. Source Basis and Currency Control</w:t>
      </w:r>
    </w:p>
    <w:tbl>
      <w:tblPr>
        <w:tblW w:type="auto" w:w="0"/>
        <w:jc w:val="center"/>
        <w:tblLook w:firstColumn="1" w:firstRow="1" w:lastColumn="0" w:lastRow="0" w:noHBand="0" w:noVBand="1" w:val="04A0"/>
      </w:tblPr>
      <w:tblGrid>
        <w:gridCol w:w="10224"/>
      </w:tblGrid>
      <w:tr>
        <w:trPr>
          <w:cantSplit/>
          <w:tblHeader/>
        </w:trPr>
        <w:tc>
          <w:tcPr>
            <w:tcW w:type="dxa" w:w="10224"/>
            <w:shd w:fill="DFF4E5"/>
            <w:tcMar>
              <w:top w:w="130" w:type="dxa"/>
              <w:start w:w="160" w:type="dxa"/>
              <w:bottom w:w="130" w:type="dxa"/>
              <w:end w:w="160" w:type="dxa"/>
            </w:tcMar>
            <w:tcBorders>
              <w:left w:val="single" w:sz="20" w:color="2E7D32"/>
            </w:tcBorders>
          </w:tcPr>
          <w:p>
            <w:r>
              <w:rPr>
                <w:rFonts w:ascii="Montserrat" w:hAnsi="Montserrat" w:eastAsia="Montserrat"/>
                <w:b/>
                <w:color w:val="14294B"/>
                <w:sz w:val="20"/>
              </w:rPr>
              <w:t>CONTROLLING RELEASE STATUS</w:t>
              <w:br/>
            </w:r>
            <w:r>
              <w:rPr>
                <w:rFonts w:ascii="Montserrat" w:hAnsi="Montserrat" w:eastAsia="Montserrat"/>
                <w:color w:val="1F2937"/>
                <w:sz w:val="20"/>
              </w:rPr>
              <w:t>The July 25, 2026 Master Program Index and Final Release Audit controls release status. The July 23 master QC report is retained as a historical remediation record and should not be used to place either program back on hold after the later final audit documented zero blocking file-integrity defects.</w:t>
            </w:r>
          </w:p>
        </w:tc>
      </w:tr>
    </w:tbl>
    <w:p>
      <w:pPr>
        <w:spacing w:after="0"/>
      </w:pPr>
    </w:p>
    <w:p>
      <w:r>
        <w:br w:type="page"/>
      </w:r>
    </w:p>
    <w:p>
      <w:pPr>
        <w:pStyle w:val="Heading1"/>
      </w:pPr>
      <w:r>
        <w:t>Release Decision and Program Identity</w:t>
      </w:r>
    </w:p>
    <w:tbl>
      <w:tblPr>
        <w:tblW w:type="auto" w:w="0"/>
        <w:jc w:val="center"/>
        <w:tblLook w:firstColumn="1" w:firstRow="1" w:lastColumn="0" w:lastRow="0" w:noHBand="0" w:noVBand="1" w:val="04A0"/>
      </w:tblPr>
      <w:tblGrid>
        <w:gridCol w:w="10224"/>
      </w:tblGrid>
      <w:tr>
        <w:trPr>
          <w:cantSplit/>
          <w:tblHeader/>
        </w:trPr>
        <w:tc>
          <w:tcPr>
            <w:tcW w:type="dxa" w:w="10224"/>
            <w:shd w:fill="DFF4E5"/>
            <w:tcMar>
              <w:top w:w="130" w:type="dxa"/>
              <w:start w:w="160" w:type="dxa"/>
              <w:bottom w:w="130" w:type="dxa"/>
              <w:end w:w="160" w:type="dxa"/>
            </w:tcMar>
            <w:tcBorders>
              <w:left w:val="single" w:sz="20" w:color="2E7D32"/>
            </w:tcBorders>
          </w:tcPr>
          <w:p>
            <w:r>
              <w:rPr>
                <w:rFonts w:ascii="Montserrat" w:hAnsi="Montserrat" w:eastAsia="Montserrat"/>
                <w:b/>
                <w:color w:val="14294B"/>
                <w:sz w:val="20"/>
              </w:rPr>
              <w:t>RELEASE STATUS</w:t>
              <w:br/>
            </w:r>
            <w:r>
              <w:rPr>
                <w:rFonts w:ascii="Montserrat" w:hAnsi="Montserrat" w:eastAsia="Montserrat"/>
                <w:color w:val="1F2937"/>
                <w:sz w:val="20"/>
              </w:rPr>
              <w:t>WEBSITE-READY • CORE CURRICULUM PACKAGE COMPLETE • ZERO BLOCKING FILE-INTEGRITY DEFECTS</w:t>
            </w:r>
          </w:p>
        </w:tc>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Program type</w:t>
            </w:r>
          </w:p>
        </w:tc>
        <w:tc>
          <w:tcPr>
            <w:tcW w:type="dxa" w:w="5112"/>
            <w:tcMar>
              <w:top w:w="80" w:type="dxa"/>
              <w:start w:w="100" w:type="dxa"/>
              <w:bottom w:w="80" w:type="dxa"/>
              <w:end w:w="100" w:type="dxa"/>
            </w:tcMar>
            <w:vAlign w:val="center"/>
          </w:tcPr>
          <w:p>
            <w:r>
              <w:rPr>
                <w:rFonts w:ascii="Montserrat" w:hAnsi="Montserrat" w:eastAsia="Montserrat"/>
                <w:color w:val="1F2937"/>
                <w:sz w:val="20"/>
              </w:rPr>
              <w:t>Exam Preparation Program</w:t>
            </w:r>
            <w:r>
              <w:rPr>
                <w:rFonts w:ascii="Montserrat" w:hAnsi="Montserrat" w:eastAsia="Montserrat"/>
                <w:i/>
                <w:color w:val="6B7280"/>
                <w:sz w:val="17"/>
              </w:rPr>
              <w:br/>
              <w:t>Standalone profession-specific clinical examination product.</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Examination</w:t>
            </w:r>
          </w:p>
        </w:tc>
        <w:tc>
          <w:tcPr>
            <w:tcW w:type="dxa" w:w="5112"/>
            <w:tcMar>
              <w:top w:w="80" w:type="dxa"/>
              <w:start w:w="100" w:type="dxa"/>
              <w:bottom w:w="80" w:type="dxa"/>
              <w:end w:w="100" w:type="dxa"/>
            </w:tcMar>
            <w:vAlign w:val="center"/>
          </w:tcPr>
          <w:p>
            <w:r>
              <w:rPr>
                <w:rFonts w:ascii="Montserrat" w:hAnsi="Montserrat" w:eastAsia="Montserrat"/>
                <w:color w:val="1F2937"/>
                <w:sz w:val="20"/>
              </w:rPr>
              <w:t>California LMFT Clinical Examination</w:t>
            </w:r>
            <w:r>
              <w:rPr>
                <w:rFonts w:ascii="Montserrat" w:hAnsi="Montserrat" w:eastAsia="Montserrat"/>
                <w:i/>
                <w:color w:val="6B7280"/>
                <w:sz w:val="17"/>
              </w:rPr>
              <w:br/>
              <w:t>Administered through Pearson for the California Board of Behavioral Sciences.</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Target candidate</w:t>
            </w:r>
          </w:p>
        </w:tc>
        <w:tc>
          <w:tcPr>
            <w:tcW w:type="dxa" w:w="5112"/>
            <w:tcMar>
              <w:top w:w="80" w:type="dxa"/>
              <w:start w:w="100" w:type="dxa"/>
              <w:bottom w:w="80" w:type="dxa"/>
              <w:end w:w="100" w:type="dxa"/>
            </w:tcMar>
            <w:vAlign w:val="center"/>
          </w:tcPr>
          <w:p>
            <w:r>
              <w:rPr>
                <w:rFonts w:ascii="Montserrat" w:hAnsi="Montserrat" w:eastAsia="Montserrat"/>
                <w:color w:val="1F2937"/>
                <w:sz w:val="20"/>
              </w:rPr>
              <w:t>AMFTs and other BBS-approved eligible candidates</w:t>
            </w:r>
            <w:r>
              <w:rPr>
                <w:rFonts w:ascii="Montserrat" w:hAnsi="Montserrat" w:eastAsia="Montserrat"/>
                <w:i/>
                <w:color w:val="6B7280"/>
                <w:sz w:val="17"/>
              </w:rPr>
              <w:br/>
              <w:t>Eligibility is determined by BBS, not CTA.</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Instructional method</w:t>
            </w:r>
          </w:p>
        </w:tc>
        <w:tc>
          <w:tcPr>
            <w:tcW w:type="dxa" w:w="5112"/>
            <w:tcMar>
              <w:top w:w="80" w:type="dxa"/>
              <w:start w:w="100" w:type="dxa"/>
              <w:bottom w:w="80" w:type="dxa"/>
              <w:end w:w="100" w:type="dxa"/>
            </w:tcMar>
            <w:vAlign w:val="center"/>
          </w:tcPr>
          <w:p>
            <w:r>
              <w:rPr>
                <w:rFonts w:ascii="Montserrat" w:hAnsi="Montserrat" w:eastAsia="Montserrat"/>
                <w:color w:val="1F2937"/>
                <w:sz w:val="20"/>
              </w:rPr>
              <w:t>Self-paced asynchronous online program</w:t>
            </w:r>
            <w:r>
              <w:rPr>
                <w:rFonts w:ascii="Montserrat" w:hAnsi="Montserrat" w:eastAsia="Montserrat"/>
                <w:i/>
                <w:color w:val="6B7280"/>
                <w:sz w:val="17"/>
              </w:rPr>
              <w:br/>
              <w:t>Printable and digital study resources.</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Core release package</w:t>
            </w:r>
          </w:p>
        </w:tc>
        <w:tc>
          <w:tcPr>
            <w:tcW w:type="dxa" w:w="5112"/>
            <w:tcMar>
              <w:top w:w="80" w:type="dxa"/>
              <w:start w:w="100" w:type="dxa"/>
              <w:bottom w:w="80" w:type="dxa"/>
              <w:end w:w="100" w:type="dxa"/>
            </w:tcMar>
            <w:vAlign w:val="center"/>
          </w:tcPr>
          <w:p>
            <w:r>
              <w:rPr>
                <w:rFonts w:ascii="Montserrat" w:hAnsi="Montserrat" w:eastAsia="Montserrat"/>
                <w:color w:val="1F2937"/>
                <w:sz w:val="20"/>
              </w:rPr>
              <w:t>12 workbooks • 12 paired 17-question banks • Forms A and B</w:t>
            </w:r>
            <w:r>
              <w:rPr>
                <w:rFonts w:ascii="Montserrat" w:hAnsi="Montserrat" w:eastAsia="Montserrat"/>
                <w:i/>
                <w:color w:val="6B7280"/>
                <w:sz w:val="17"/>
              </w:rPr>
              <w:br/>
              <w:t>Detailed rationales and controlled answer review.</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Launch price</w:t>
            </w:r>
          </w:p>
        </w:tc>
        <w:tc>
          <w:tcPr>
            <w:tcW w:type="dxa" w:w="5112"/>
            <w:tcMar>
              <w:top w:w="80" w:type="dxa"/>
              <w:start w:w="100" w:type="dxa"/>
              <w:bottom w:w="80" w:type="dxa"/>
              <w:end w:w="100" w:type="dxa"/>
            </w:tcMar>
            <w:vAlign w:val="center"/>
          </w:tcPr>
          <w:p>
            <w:r>
              <w:rPr>
                <w:rFonts w:ascii="Montserrat" w:hAnsi="Montserrat" w:eastAsia="Montserrat"/>
                <w:color w:val="1F2937"/>
                <w:sz w:val="20"/>
              </w:rPr>
              <w:t>$249</w:t>
            </w:r>
            <w:r>
              <w:rPr>
                <w:rFonts w:ascii="Montserrat" w:hAnsi="Montserrat" w:eastAsia="Montserrat"/>
                <w:i/>
                <w:color w:val="6B7280"/>
                <w:sz w:val="17"/>
              </w:rPr>
              <w:br/>
              <w:t>Current CTA launch price.</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Access period</w:t>
            </w:r>
          </w:p>
        </w:tc>
        <w:tc>
          <w:tcPr>
            <w:tcW w:type="dxa" w:w="5112"/>
            <w:tcMar>
              <w:top w:w="80" w:type="dxa"/>
              <w:start w:w="100" w:type="dxa"/>
              <w:bottom w:w="80" w:type="dxa"/>
              <w:end w:w="100" w:type="dxa"/>
            </w:tcMar>
            <w:vAlign w:val="center"/>
          </w:tcPr>
          <w:p>
            <w:r>
              <w:rPr>
                <w:rFonts w:ascii="Montserrat" w:hAnsi="Montserrat" w:eastAsia="Montserrat"/>
                <w:color w:val="1F2937"/>
                <w:sz w:val="20"/>
              </w:rPr>
              <w:t>6 months from enrollment</w:t>
            </w:r>
            <w:r>
              <w:rPr>
                <w:rFonts w:ascii="Montserrat" w:hAnsi="Montserrat" w:eastAsia="Montserrat"/>
                <w:i/>
                <w:color w:val="6B7280"/>
                <w:sz w:val="17"/>
              </w:rPr>
              <w:br/>
              <w:t>Standard standalone exam-preparation access.</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Continuing education</w:t>
            </w:r>
          </w:p>
        </w:tc>
        <w:tc>
          <w:tcPr>
            <w:tcW w:type="dxa" w:w="5112"/>
            <w:tcMar>
              <w:top w:w="80" w:type="dxa"/>
              <w:start w:w="100" w:type="dxa"/>
              <w:bottom w:w="80" w:type="dxa"/>
              <w:end w:w="100" w:type="dxa"/>
            </w:tcMar>
            <w:vAlign w:val="center"/>
          </w:tcPr>
          <w:p>
            <w:r>
              <w:rPr>
                <w:rFonts w:ascii="Montserrat" w:hAnsi="Montserrat" w:eastAsia="Montserrat"/>
                <w:color w:val="1F2937"/>
                <w:sz w:val="20"/>
              </w:rPr>
              <w:t>No CE credit or CE certificate</w:t>
            </w:r>
            <w:r>
              <w:rPr>
                <w:rFonts w:ascii="Montserrat" w:hAnsi="Montserrat" w:eastAsia="Montserrat"/>
                <w:i/>
                <w:color w:val="6B7280"/>
                <w:sz w:val="17"/>
              </w:rPr>
              <w:br/>
              <w:t>Keep outside CE evaluation and certificate workflows.</w:t>
            </w:r>
          </w:p>
        </w:tc>
        <w:trPr>
          <w:tblHeader/>
        </w:trPr>
      </w:tr>
    </w:tbl>
    <w:p>
      <w:pPr>
        <w:spacing w:after="0"/>
      </w:pPr>
    </w:p>
    <w:tbl>
      <w:tblPr>
        <w:tblW w:type="auto" w:w="0"/>
        <w:jc w:val="center"/>
        <w:tblLayout w:type="fixed"/>
        <w:tblLook w:firstColumn="1" w:firstRow="1" w:lastColumn="0" w:lastRow="0" w:noHBand="0" w:noVBand="1" w:val="04A0"/>
      </w:tblPr>
      <w:tblGrid>
        <w:gridCol w:w="3024"/>
        <w:gridCol w:w="6912"/>
      </w:tblGrid>
      <w:tr>
        <w:tc>
          <w:tcPr>
            <w:tcW w:type="dxa" w:w="5112"/>
            <w:shd w:fill="F3F4F6"/>
            <w:tcMar>
              <w:top w:w="80" w:type="dxa"/>
              <w:start w:w="100" w:type="dxa"/>
              <w:bottom w:w="80" w:type="dxa"/>
              <w:end w:w="100" w:type="dxa"/>
            </w:tcMar>
            <w:vAlign w:val="center"/>
          </w:tcPr>
          <w:p>
            <w:r>
              <w:rPr>
                <w:rFonts w:ascii="Montserrat" w:hAnsi="Montserrat" w:eastAsia="Montserrat"/>
                <w:b/>
                <w:color w:val="14294B"/>
                <w:sz w:val="20"/>
              </w:rPr>
              <w:t>Release status</w:t>
            </w:r>
          </w:p>
        </w:tc>
        <w:tc>
          <w:tcPr>
            <w:tcW w:type="dxa" w:w="5112"/>
            <w:tcMar>
              <w:top w:w="80" w:type="dxa"/>
              <w:start w:w="100" w:type="dxa"/>
              <w:bottom w:w="80" w:type="dxa"/>
              <w:end w:w="100" w:type="dxa"/>
            </w:tcMar>
            <w:vAlign w:val="center"/>
          </w:tcPr>
          <w:p>
            <w:r>
              <w:rPr>
                <w:rFonts w:ascii="Montserrat" w:hAnsi="Montserrat" w:eastAsia="Montserrat"/>
                <w:color w:val="1F2937"/>
                <w:sz w:val="20"/>
              </w:rPr>
              <w:t>Website-ready; core curriculum complete</w:t>
            </w:r>
            <w:r>
              <w:rPr>
                <w:rFonts w:ascii="Montserrat" w:hAnsi="Montserrat" w:eastAsia="Montserrat"/>
                <w:i/>
                <w:color w:val="6B7280"/>
                <w:sz w:val="17"/>
              </w:rPr>
              <w:br/>
              <w:t>Final program audit reports zero blocking file-integrity defects.</w:t>
            </w:r>
          </w:p>
        </w:tc>
        <w:trPr>
          <w:tblHeader/>
        </w:trPr>
      </w:tr>
    </w:tbl>
    <w:p>
      <w:pPr>
        <w:spacing w:after="0"/>
      </w:pP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t>NAMING CONTROL</w:t>
              <w:br/>
            </w:r>
            <w:r>
              <w:rPr>
                <w:rFonts w:ascii="Montserrat" w:hAnsi="Montserrat" w:eastAsia="Montserrat"/>
                <w:color w:val="1F2937"/>
                <w:sz w:val="20"/>
              </w:rPr>
              <w:t>Use “CTA LMFT California Clinical Exam Preparation Program” on the website, checkout, LMS, emails, and marketing. Do not confuse this program with the separate CTA LMFT AMFTRB National Exam Preparation Program.</w:t>
            </w:r>
          </w:p>
        </w:tc>
      </w:tr>
    </w:tbl>
    <w:p>
      <w:pPr>
        <w:spacing w:after="0"/>
      </w:pPr>
    </w:p>
    <w:p>
      <w:pPr>
        <w:pStyle w:val="Heading1"/>
      </w:pPr>
      <w:r>
        <w:t>Current Examination Structure</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Total questions</w:t>
            </w:r>
          </w:p>
        </w:tc>
        <w:tc>
          <w:tcPr>
            <w:tcW w:type="dxa" w:w="6768"/>
            <w:tcMar>
              <w:top w:w="80" w:type="dxa"/>
              <w:start w:w="100" w:type="dxa"/>
              <w:bottom w:w="80" w:type="dxa"/>
              <w:end w:w="100" w:type="dxa"/>
            </w:tcMar>
            <w:vAlign w:val="top"/>
          </w:tcPr>
          <w:p>
            <w:r>
              <w:rPr>
                <w:rFonts w:ascii="Montserrat" w:hAnsi="Montserrat" w:eastAsia="Montserrat"/>
                <w:color w:val="1F2937"/>
                <w:sz w:val="19"/>
              </w:rPr>
              <w:t>150</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Scored questions</w:t>
            </w:r>
          </w:p>
        </w:tc>
        <w:tc>
          <w:tcPr>
            <w:tcW w:type="dxa" w:w="6768"/>
            <w:tcMar>
              <w:top w:w="80" w:type="dxa"/>
              <w:start w:w="100" w:type="dxa"/>
              <w:bottom w:w="80" w:type="dxa"/>
              <w:end w:w="100" w:type="dxa"/>
            </w:tcMar>
            <w:vAlign w:val="top"/>
          </w:tcPr>
          <w:p>
            <w:r>
              <w:rPr>
                <w:rFonts w:ascii="Montserrat" w:hAnsi="Montserrat" w:eastAsia="Montserrat"/>
                <w:color w:val="1F2937"/>
                <w:sz w:val="19"/>
              </w:rPr>
              <w:t>125</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Pretest questions</w:t>
            </w:r>
          </w:p>
        </w:tc>
        <w:tc>
          <w:tcPr>
            <w:tcW w:type="dxa" w:w="6768"/>
            <w:tcMar>
              <w:top w:w="80" w:type="dxa"/>
              <w:start w:w="100" w:type="dxa"/>
              <w:bottom w:w="80" w:type="dxa"/>
              <w:end w:w="100" w:type="dxa"/>
            </w:tcMar>
            <w:vAlign w:val="top"/>
          </w:tcPr>
          <w:p>
            <w:r>
              <w:rPr>
                <w:rFonts w:ascii="Montserrat" w:hAnsi="Montserrat" w:eastAsia="Montserrat"/>
                <w:color w:val="1F2937"/>
                <w:sz w:val="19"/>
              </w:rPr>
              <w:t>25, dispersed and not identified</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Time allotted</w:t>
            </w:r>
          </w:p>
        </w:tc>
        <w:tc>
          <w:tcPr>
            <w:tcW w:type="dxa" w:w="6768"/>
            <w:tcMar>
              <w:top w:w="80" w:type="dxa"/>
              <w:start w:w="100" w:type="dxa"/>
              <w:bottom w:w="80" w:type="dxa"/>
              <w:end w:w="100" w:type="dxa"/>
            </w:tcMar>
            <w:vAlign w:val="top"/>
          </w:tcPr>
          <w:p>
            <w:r>
              <w:rPr>
                <w:rFonts w:ascii="Montserrat" w:hAnsi="Montserrat" w:eastAsia="Montserrat"/>
                <w:color w:val="1F2937"/>
                <w:sz w:val="19"/>
              </w:rPr>
              <w:t>240 minutes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Answer format</w:t>
            </w:r>
          </w:p>
        </w:tc>
        <w:tc>
          <w:tcPr>
            <w:tcW w:type="dxa" w:w="6768"/>
            <w:tcMar>
              <w:top w:w="80" w:type="dxa"/>
              <w:start w:w="100" w:type="dxa"/>
              <w:bottom w:w="80" w:type="dxa"/>
              <w:end w:w="100" w:type="dxa"/>
            </w:tcMar>
            <w:vAlign w:val="top"/>
          </w:tcPr>
          <w:p>
            <w:r>
              <w:rPr>
                <w:rFonts w:ascii="Montserrat" w:hAnsi="Montserrat" w:eastAsia="Montserrat"/>
                <w:color w:val="1F2937"/>
                <w:sz w:val="19"/>
              </w:rPr>
              <w:t>Four-option multiple choice</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Official content areas</w:t>
            </w:r>
          </w:p>
        </w:tc>
        <w:tc>
          <w:tcPr>
            <w:tcW w:type="dxa" w:w="6768"/>
            <w:tcMar>
              <w:top w:w="80" w:type="dxa"/>
              <w:start w:w="100" w:type="dxa"/>
              <w:bottom w:w="80" w:type="dxa"/>
              <w:end w:w="100" w:type="dxa"/>
            </w:tcMar>
            <w:vAlign w:val="top"/>
          </w:tcPr>
          <w:p>
            <w:r>
              <w:rPr>
                <w:rFonts w:ascii="Montserrat" w:hAnsi="Montserrat" w:eastAsia="Montserrat"/>
                <w:color w:val="1F2937"/>
                <w:sz w:val="19"/>
              </w:rPr>
              <w:t>Clinical Evaluation 27%; Diagnostic Impression 11%; Crisis 11%; Case Conceptualization and Planning 12%; Treatment 29%; Legal and Ethical Obligations 10%</w:t>
            </w:r>
          </w:p>
        </w:tc>
      </w:tr>
    </w:tbl>
    <w:tbl>
      <w:tblPr>
        <w:tblW w:type="auto" w:w="0"/>
        <w:jc w:val="center"/>
        <w:tblLook w:firstColumn="1" w:firstRow="1" w:lastColumn="0" w:lastRow="0" w:noHBand="0" w:noVBand="1" w:val="04A0"/>
      </w:tblPr>
      <w:tblGrid>
        <w:gridCol w:w="10224"/>
      </w:tblGrid>
      <w:tr>
        <w:trPr>
          <w:cantSplit/>
          <w:tblHeader/>
        </w:trPr>
        <w:tc>
          <w:tcPr>
            <w:tcW w:type="dxa" w:w="10224"/>
            <w:shd w:fill="FFF4D6"/>
            <w:tcMar>
              <w:top w:w="130" w:type="dxa"/>
              <w:start w:w="160" w:type="dxa"/>
              <w:bottom w:w="130" w:type="dxa"/>
              <w:end w:w="160" w:type="dxa"/>
            </w:tcMar>
            <w:tcBorders>
              <w:left w:val="single" w:sz="20" w:color="C58A00"/>
            </w:tcBorders>
          </w:tcPr>
          <w:p>
            <w:r>
              <w:rPr>
                <w:rFonts w:ascii="Montserrat" w:hAnsi="Montserrat" w:eastAsia="Montserrat"/>
                <w:b/>
                <w:color w:val="14294B"/>
                <w:sz w:val="20"/>
              </w:rPr>
              <w:t>ACCURACY DATE</w:t>
              <w:br/>
            </w:r>
            <w:r>
              <w:rPr>
                <w:rFonts w:ascii="Montserrat" w:hAnsi="Montserrat" w:eastAsia="Montserrat"/>
                <w:color w:val="1F2937"/>
                <w:sz w:val="20"/>
              </w:rPr>
              <w:t>Pearson’s current California BBS candidate handbook lists 125 scored questions, 25 pretest questions, and 240 minutes. Recheck before future republication.</w:t>
            </w:r>
          </w:p>
        </w:tc>
      </w:tr>
    </w:tbl>
    <w:p>
      <w:pPr>
        <w:spacing w:after="0"/>
      </w:pPr>
    </w:p>
    <w:p>
      <w:pPr>
        <w:pStyle w:val="Heading1"/>
      </w:pPr>
      <w:r>
        <w:t>Program Architecture</w:t>
      </w:r>
    </w:p>
    <w:p>
      <w:r>
        <w:rPr>
          <w:rFonts w:ascii="Montserrat" w:hAnsi="Montserrat" w:eastAsia="Montserrat"/>
          <w:color w:val="1F2937"/>
          <w:sz w:val="21"/>
        </w:rPr>
        <w:t>The program uses a shared clinical-reasoning foundation where appropriate, then applies an LMFT-specific relational, systemic, diagnostic, crisis, treatment, and California legal/ethical lens.</w:t>
      </w:r>
    </w:p>
    <w:p>
      <w:pPr>
        <w:pStyle w:val="ListBullet"/>
        <w:spacing w:after="40"/>
      </w:pPr>
      <w:r>
        <w:rPr>
          <w:rFonts w:ascii="Montserrat" w:hAnsi="Montserrat" w:eastAsia="Montserrat"/>
          <w:color w:val="1F2937"/>
          <w:sz w:val="21"/>
        </w:rPr>
        <w:t>Shared exam-success instruction is embedded within the LMFT program.</w:t>
      </w:r>
    </w:p>
    <w:p>
      <w:pPr>
        <w:pStyle w:val="ListBullet"/>
        <w:spacing w:after="40"/>
      </w:pPr>
      <w:r>
        <w:rPr>
          <w:rFonts w:ascii="Montserrat" w:hAnsi="Montserrat" w:eastAsia="Montserrat"/>
          <w:color w:val="1F2937"/>
          <w:sz w:val="21"/>
        </w:rPr>
        <w:t>All 12 LMFT workbooks retain profession-specific objectives, examples, terminology, and reasoning.</w:t>
      </w:r>
    </w:p>
    <w:p>
      <w:pPr>
        <w:pStyle w:val="ListBullet"/>
        <w:spacing w:after="40"/>
      </w:pPr>
      <w:r>
        <w:rPr>
          <w:rFonts w:ascii="Montserrat" w:hAnsi="Montserrat" w:eastAsia="Montserrat"/>
          <w:color w:val="1F2937"/>
          <w:sz w:val="21"/>
        </w:rPr>
        <w:t>Each workbook has its own original 17-question bank with complete rationales.</w:t>
      </w:r>
    </w:p>
    <w:p>
      <w:pPr>
        <w:pStyle w:val="ListBullet"/>
        <w:spacing w:after="40"/>
      </w:pPr>
      <w:r>
        <w:rPr>
          <w:rFonts w:ascii="Montserrat" w:hAnsi="Montserrat" w:eastAsia="Montserrat"/>
          <w:color w:val="1F2937"/>
          <w:sz w:val="21"/>
        </w:rPr>
        <w:t>Forms A and B each contain 150 mixed items without workbook or chapter cues.</w:t>
      </w:r>
    </w:p>
    <w:p>
      <w:pPr>
        <w:pStyle w:val="ListBullet"/>
        <w:spacing w:after="40"/>
      </w:pPr>
      <w:r>
        <w:rPr>
          <w:rFonts w:ascii="Montserrat" w:hAnsi="Montserrat" w:eastAsia="Montserrat"/>
          <w:color w:val="1F2937"/>
          <w:sz w:val="21"/>
        </w:rPr>
        <w:t>Administrative item banks, use logs, and QC reports remain restricted.</w:t>
      </w: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t>SHARED-CORE RULE</w:t>
              <w:br/>
            </w:r>
            <w:r>
              <w:rPr>
                <w:rFonts w:ascii="Montserrat" w:hAnsi="Montserrat" w:eastAsia="Montserrat"/>
                <w:color w:val="1F2937"/>
                <w:sz w:val="20"/>
              </w:rPr>
              <w:t>Shared content is a development and instructional layer inside both programs. It is not a third public product. LMFT and LCSW examples, legal/ethical framing, question banks, rationales, and comprehensive simulations remain profession-specific.</w:t>
            </w:r>
          </w:p>
        </w:tc>
      </w:tr>
    </w:tbl>
    <w:p>
      <w:pPr>
        <w:spacing w:after="0"/>
      </w:pPr>
    </w:p>
    <w:p>
      <w:r>
        <w:br w:type="page"/>
      </w:r>
    </w:p>
    <w:p>
      <w:pPr>
        <w:pStyle w:val="Heading1"/>
      </w:pPr>
      <w:r>
        <w:t>Website Sales-Page Copy</w:t>
      </w:r>
    </w:p>
    <w:p>
      <w:pPr>
        <w:pStyle w:val="CTALabel"/>
      </w:pPr>
      <w:r>
        <w:t>HERO HEADLINE</w:t>
      </w: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br/>
            </w:r>
            <w:r>
              <w:rPr>
                <w:rFonts w:ascii="Montserrat" w:hAnsi="Montserrat" w:eastAsia="Montserrat"/>
                <w:color w:val="1F2937"/>
                <w:sz w:val="20"/>
              </w:rPr>
              <w:t>Prepare for the California LMFT Clinical Examination with a Structured Clinical Reasoning System</w:t>
            </w:r>
          </w:p>
        </w:tc>
      </w:tr>
    </w:tbl>
    <w:p>
      <w:pPr>
        <w:spacing w:after="0"/>
      </w:pPr>
    </w:p>
    <w:p>
      <w:pPr>
        <w:pStyle w:val="CTALabel"/>
      </w:pPr>
      <w:r>
        <w:t>SUBHEADLINE</w:t>
      </w:r>
    </w:p>
    <w:p>
      <w:r>
        <w:rPr>
          <w:rFonts w:ascii="Montserrat" w:hAnsi="Montserrat" w:eastAsia="Montserrat"/>
          <w:color w:val="1F2937"/>
          <w:sz w:val="22"/>
        </w:rPr>
        <w:t>Twelve profession-specific workbooks, focused practice banks, complete rationales, and two 150-question simulations designed to strengthen relational, systemic, diagnostic, crisis, treatment, and legal/ethical decision-making.</w:t>
      </w:r>
    </w:p>
    <w:p>
      <w:pPr>
        <w:pStyle w:val="CTALabel"/>
      </w:pPr>
      <w:r>
        <w:t>PRIMARY CALL TO ACTION</w:t>
      </w:r>
    </w:p>
    <w:p>
      <w:r>
        <w:rPr>
          <w:rFonts w:ascii="Montserrat" w:hAnsi="Montserrat" w:eastAsia="Montserrat"/>
          <w:b/>
          <w:color w:val="1B9E9A"/>
          <w:sz w:val="22"/>
        </w:rPr>
        <w:t>Begin Your Clinical Exam Preparation</w:t>
      </w:r>
    </w:p>
    <w:p>
      <w:pPr>
        <w:pStyle w:val="Heading2"/>
      </w:pPr>
      <w:r>
        <w:t>Program Description</w:t>
      </w:r>
    </w:p>
    <w:p>
      <w:r>
        <w:rPr>
          <w:rFonts w:ascii="Montserrat" w:hAnsi="Montserrat" w:eastAsia="Montserrat"/>
          <w:color w:val="1F2937"/>
          <w:sz w:val="21"/>
        </w:rPr>
        <w:t>The CTA LMFT California Clinical Exam Preparation Program is a complete self-paced system for AMFTs and other eligible candidates preparing for the California LMFT Clinical Examination after Board of Behavioral Sciences approval.</w:t>
      </w:r>
    </w:p>
    <w:p>
      <w:r>
        <w:rPr>
          <w:rFonts w:ascii="Montserrat" w:hAnsi="Montserrat" w:eastAsia="Montserrat"/>
          <w:color w:val="1F2937"/>
          <w:sz w:val="21"/>
        </w:rPr>
        <w:t>Rather than relying on memorization alone, the program teaches candidates how to identify the controlling clinical task, organize complex vignette information, sequence professional actions, evaluate plausible distractors, and select the most appropriate response.</w:t>
      </w:r>
    </w:p>
    <w:p>
      <w:r>
        <w:rPr>
          <w:rFonts w:ascii="Montserrat" w:hAnsi="Montserrat" w:eastAsia="Montserrat"/>
          <w:color w:val="1F2937"/>
          <w:sz w:val="21"/>
        </w:rPr>
        <w:t>The curriculum preserves the LMFT examination’s relational and systemic lens while providing structured review of assessment, diagnosis, crisis response, case conceptualization, treatment planning, intervention selection, and California professional obligations.</w:t>
      </w:r>
    </w:p>
    <w:p>
      <w:pPr>
        <w:pStyle w:val="Heading2"/>
      </w:pPr>
      <w:r>
        <w:t>What Candidates Will Build</w:t>
      </w:r>
    </w:p>
    <w:p>
      <w:pPr>
        <w:pStyle w:val="ListBullet"/>
        <w:spacing w:after="40"/>
      </w:pPr>
      <w:r>
        <w:rPr>
          <w:rFonts w:ascii="Montserrat" w:hAnsi="Montserrat" w:eastAsia="Montserrat"/>
          <w:color w:val="1F2937"/>
          <w:sz w:val="21"/>
        </w:rPr>
        <w:t>Think relationally and systemically when several answers appear clinically plausible.</w:t>
      </w:r>
    </w:p>
    <w:p>
      <w:pPr>
        <w:pStyle w:val="ListBullet"/>
        <w:spacing w:after="40"/>
      </w:pPr>
      <w:r>
        <w:rPr>
          <w:rFonts w:ascii="Montserrat" w:hAnsi="Montserrat" w:eastAsia="Montserrat"/>
          <w:color w:val="1F2937"/>
          <w:sz w:val="21"/>
        </w:rPr>
        <w:t>Distinguish assessment, diagnosis, crisis, planning, treatment, and legal/ethical tasks.</w:t>
      </w:r>
    </w:p>
    <w:p>
      <w:pPr>
        <w:pStyle w:val="ListBullet"/>
        <w:spacing w:after="40"/>
      </w:pPr>
      <w:r>
        <w:rPr>
          <w:rFonts w:ascii="Montserrat" w:hAnsi="Montserrat" w:eastAsia="Montserrat"/>
          <w:color w:val="1F2937"/>
          <w:sz w:val="21"/>
        </w:rPr>
        <w:t>Recognize FIRST, NEXT, BEST, MOST, INITIAL, and PRIMARY sequencing cues.</w:t>
      </w:r>
    </w:p>
    <w:p>
      <w:pPr>
        <w:pStyle w:val="ListBullet"/>
        <w:spacing w:after="40"/>
      </w:pPr>
      <w:r>
        <w:rPr>
          <w:rFonts w:ascii="Montserrat" w:hAnsi="Montserrat" w:eastAsia="Montserrat"/>
          <w:color w:val="1F2937"/>
          <w:sz w:val="21"/>
        </w:rPr>
        <w:t>Use complete rationales to identify why an answer is correct and why alternatives are premature, incomplete, excessive, or mistimed.</w:t>
      </w:r>
    </w:p>
    <w:p>
      <w:pPr>
        <w:pStyle w:val="ListBullet"/>
        <w:spacing w:after="40"/>
      </w:pPr>
      <w:r>
        <w:rPr>
          <w:rFonts w:ascii="Montserrat" w:hAnsi="Montserrat" w:eastAsia="Montserrat"/>
          <w:color w:val="1F2937"/>
          <w:sz w:val="21"/>
        </w:rPr>
        <w:t>Convert missed and low-confidence questions into a targeted remediation plan.</w:t>
      </w:r>
    </w:p>
    <w:p>
      <w:pPr>
        <w:pStyle w:val="ListBullet"/>
        <w:spacing w:after="40"/>
      </w:pPr>
      <w:r>
        <w:rPr>
          <w:rFonts w:ascii="Montserrat" w:hAnsi="Montserrat" w:eastAsia="Montserrat"/>
          <w:color w:val="1F2937"/>
          <w:sz w:val="21"/>
        </w:rPr>
        <w:t>Build pacing and stamina under full 150-question simulation conditions.</w:t>
      </w:r>
    </w:p>
    <w:p>
      <w:pPr>
        <w:pStyle w:val="Heading2"/>
      </w:pPr>
      <w:r>
        <w:t>What Is Included</w:t>
      </w:r>
    </w:p>
    <w:p>
      <w:pPr>
        <w:pStyle w:val="ListBullet"/>
        <w:spacing w:after="40"/>
      </w:pPr>
      <w:r>
        <w:rPr>
          <w:rFonts w:ascii="Montserrat" w:hAnsi="Montserrat" w:eastAsia="Montserrat"/>
          <w:color w:val="1F2937"/>
          <w:sz w:val="21"/>
        </w:rPr>
        <w:t>12 editable and print-optimized LMFT student workbooks.</w:t>
      </w:r>
    </w:p>
    <w:p>
      <w:pPr>
        <w:pStyle w:val="ListBullet"/>
        <w:spacing w:after="40"/>
      </w:pPr>
      <w:r>
        <w:rPr>
          <w:rFonts w:ascii="Montserrat" w:hAnsi="Montserrat" w:eastAsia="Montserrat"/>
          <w:color w:val="1F2937"/>
          <w:sz w:val="21"/>
        </w:rPr>
        <w:t>12 paired 17-question workbook banks with 204 total practice placements and complete rationales.</w:t>
      </w:r>
    </w:p>
    <w:p>
      <w:pPr>
        <w:pStyle w:val="ListBullet"/>
        <w:spacing w:after="40"/>
      </w:pPr>
      <w:r>
        <w:rPr>
          <w:rFonts w:ascii="Montserrat" w:hAnsi="Montserrat" w:eastAsia="Montserrat"/>
          <w:color w:val="1F2937"/>
          <w:sz w:val="21"/>
        </w:rPr>
        <w:t>Comprehensive Simulation Form A — 150 questions.</w:t>
      </w:r>
    </w:p>
    <w:p>
      <w:pPr>
        <w:pStyle w:val="ListBullet"/>
        <w:spacing w:after="40"/>
      </w:pPr>
      <w:r>
        <w:rPr>
          <w:rFonts w:ascii="Montserrat" w:hAnsi="Montserrat" w:eastAsia="Montserrat"/>
          <w:color w:val="1F2937"/>
          <w:sz w:val="21"/>
        </w:rPr>
        <w:t>Comprehensive Simulation Form B — 150 questions.</w:t>
      </w:r>
    </w:p>
    <w:p>
      <w:pPr>
        <w:pStyle w:val="ListBullet"/>
        <w:spacing w:after="40"/>
      </w:pPr>
      <w:r>
        <w:rPr>
          <w:rFonts w:ascii="Montserrat" w:hAnsi="Montserrat" w:eastAsia="Montserrat"/>
          <w:color w:val="1F2937"/>
          <w:sz w:val="21"/>
        </w:rPr>
        <w:t>Controlled answer keys and detailed rationales for both simulations.</w:t>
      </w:r>
    </w:p>
    <w:p>
      <w:pPr>
        <w:pStyle w:val="ListBullet"/>
        <w:spacing w:after="40"/>
      </w:pPr>
      <w:r>
        <w:rPr>
          <w:rFonts w:ascii="Montserrat" w:hAnsi="Montserrat" w:eastAsia="Montserrat"/>
          <w:color w:val="1F2937"/>
          <w:sz w:val="21"/>
        </w:rPr>
        <w:t>Error-analysis and remediation guidance integrated throughout the learning system.</w:t>
      </w:r>
    </w:p>
    <w:p>
      <w:pPr>
        <w:pStyle w:val="ListBullet"/>
        <w:spacing w:after="40"/>
      </w:pPr>
      <w:r>
        <w:rPr>
          <w:rFonts w:ascii="Montserrat" w:hAnsi="Montserrat" w:eastAsia="Montserrat"/>
          <w:color w:val="1F2937"/>
          <w:sz w:val="21"/>
        </w:rPr>
        <w:t>Supplemental companion lessons, quick-reference, audio, flashcard, or progress tools only as confirmed in the final LMS build.</w:t>
      </w:r>
    </w:p>
    <w:tbl>
      <w:tblPr>
        <w:tblW w:type="auto" w:w="0"/>
        <w:jc w:val="center"/>
        <w:tblLook w:firstColumn="1" w:firstRow="1" w:lastColumn="0" w:lastRow="0" w:noHBand="0" w:noVBand="1" w:val="04A0"/>
      </w:tblPr>
      <w:tblGrid>
        <w:gridCol w:w="10224"/>
      </w:tblGrid>
      <w:tr>
        <w:trPr>
          <w:cantSplit/>
          <w:tblHeader/>
        </w:trPr>
        <w:tc>
          <w:tcPr>
            <w:tcW w:type="dxa" w:w="10224"/>
            <w:shd w:fill="FFF4D6"/>
            <w:tcMar>
              <w:top w:w="130" w:type="dxa"/>
              <w:start w:w="160" w:type="dxa"/>
              <w:bottom w:w="130" w:type="dxa"/>
              <w:end w:w="160" w:type="dxa"/>
            </w:tcMar>
            <w:tcBorders>
              <w:left w:val="single" w:sz="20" w:color="C58A00"/>
            </w:tcBorders>
          </w:tcPr>
          <w:p>
            <w:r>
              <w:rPr>
                <w:rFonts w:ascii="Montserrat" w:hAnsi="Montserrat" w:eastAsia="Montserrat"/>
                <w:b/>
                <w:color w:val="14294B"/>
                <w:sz w:val="20"/>
              </w:rPr>
              <w:t>VERIFIED CORE VERSUS SUPPLEMENTAL MEDIA</w:t>
              <w:br/>
            </w:r>
            <w:r>
              <w:rPr>
                <w:rFonts w:ascii="Montserrat" w:hAnsi="Montserrat" w:eastAsia="Montserrat"/>
                <w:color w:val="1F2937"/>
                <w:sz w:val="20"/>
              </w:rPr>
              <w:t>The final program audits verify the workbooks, paired banks, comprehensive Forms A and B, rationales, administrative item banks, and QC reports. Companion scripts and slide decks are visible in the program folders, but recorded audio/video playback files were not part of the uploaded final audit. Do not promise recorded multimedia until those files are confirmed and tested.</w:t>
            </w:r>
          </w:p>
        </w:tc>
      </w:tr>
    </w:tbl>
    <w:p>
      <w:pPr>
        <w:spacing w:after="0"/>
      </w:pPr>
    </w:p>
    <w:p>
      <w:pPr>
        <w:pStyle w:val="Heading1"/>
      </w:pPr>
      <w:r>
        <w:t>How the Program Works</w:t>
      </w:r>
    </w:p>
    <w:p>
      <w:pPr>
        <w:pStyle w:val="ListNumber"/>
        <w:spacing w:after="40"/>
      </w:pPr>
      <w:r>
        <w:rPr>
          <w:rFonts w:ascii="Montserrat" w:hAnsi="Montserrat" w:eastAsia="Montserrat"/>
          <w:color w:val="1F2937"/>
          <w:sz w:val="21"/>
        </w:rPr>
        <w:t>Complete one LMFT workbook and its applied learning activities.</w:t>
      </w:r>
    </w:p>
    <w:p>
      <w:pPr>
        <w:pStyle w:val="ListNumber"/>
        <w:spacing w:after="40"/>
      </w:pPr>
      <w:r>
        <w:rPr>
          <w:rFonts w:ascii="Montserrat" w:hAnsi="Montserrat" w:eastAsia="Montserrat"/>
          <w:color w:val="1F2937"/>
          <w:sz w:val="21"/>
        </w:rPr>
        <w:t>Take the matching 17-question bank before reviewing the rationales.</w:t>
      </w:r>
    </w:p>
    <w:p>
      <w:pPr>
        <w:pStyle w:val="ListNumber"/>
        <w:spacing w:after="40"/>
      </w:pPr>
      <w:r>
        <w:rPr>
          <w:rFonts w:ascii="Montserrat" w:hAnsi="Montserrat" w:eastAsia="Montserrat"/>
          <w:color w:val="1F2937"/>
          <w:sz w:val="21"/>
        </w:rPr>
        <w:t>Analyze every option, record reasoning errors, and revisit weak concepts.</w:t>
      </w:r>
    </w:p>
    <w:p>
      <w:pPr>
        <w:pStyle w:val="ListNumber"/>
        <w:spacing w:after="40"/>
      </w:pPr>
      <w:r>
        <w:rPr>
          <w:rFonts w:ascii="Montserrat" w:hAnsi="Montserrat" w:eastAsia="Montserrat"/>
          <w:color w:val="1F2937"/>
          <w:sz w:val="21"/>
        </w:rPr>
        <w:t>Continue through all 12 workbooks using the selected study schedule.</w:t>
      </w:r>
    </w:p>
    <w:p>
      <w:pPr>
        <w:pStyle w:val="ListNumber"/>
        <w:spacing w:after="40"/>
      </w:pPr>
      <w:r>
        <w:rPr>
          <w:rFonts w:ascii="Montserrat" w:hAnsi="Montserrat" w:eastAsia="Montserrat"/>
          <w:color w:val="1F2937"/>
          <w:sz w:val="21"/>
        </w:rPr>
        <w:t>Take Comprehensive Simulation Form A under timed, closed-book conditions.</w:t>
      </w:r>
    </w:p>
    <w:p>
      <w:pPr>
        <w:pStyle w:val="ListNumber"/>
        <w:spacing w:after="40"/>
      </w:pPr>
      <w:r>
        <w:rPr>
          <w:rFonts w:ascii="Montserrat" w:hAnsi="Montserrat" w:eastAsia="Montserrat"/>
          <w:color w:val="1F2937"/>
          <w:sz w:val="21"/>
        </w:rPr>
        <w:t>Complete targeted remediation using the score profile and rationales.</w:t>
      </w:r>
    </w:p>
    <w:p>
      <w:pPr>
        <w:pStyle w:val="ListNumber"/>
        <w:spacing w:after="40"/>
      </w:pPr>
      <w:r>
        <w:rPr>
          <w:rFonts w:ascii="Montserrat" w:hAnsi="Montserrat" w:eastAsia="Montserrat"/>
          <w:color w:val="1F2937"/>
          <w:sz w:val="21"/>
        </w:rPr>
        <w:t>Take Comprehensive Simulation Form B as the final readiness assessment.</w:t>
      </w:r>
    </w:p>
    <w:p>
      <w:pPr>
        <w:pStyle w:val="Heading2"/>
      </w:pPr>
      <w:r>
        <w:t>CTA Learning Model</w:t>
      </w:r>
    </w:p>
    <w:tbl>
      <w:tblPr>
        <w:tblW w:type="auto" w:w="0"/>
        <w:jc w:val="center"/>
        <w:tblLook w:firstColumn="1" w:firstRow="1" w:lastColumn="0" w:lastRow="0" w:noHBand="0" w:noVBand="1" w:val="04A0"/>
      </w:tblPr>
      <w:tblGrid>
        <w:gridCol w:w="10224"/>
      </w:tblGrid>
      <w:tr>
        <w:trPr>
          <w:cantSplit/>
          <w:tblHeader/>
        </w:trPr>
        <w:tc>
          <w:tcPr>
            <w:tcW w:type="dxa" w:w="10224"/>
            <w:shd w:fill="E9F7F6"/>
            <w:tcMar>
              <w:top w:w="130" w:type="dxa"/>
              <w:start w:w="160" w:type="dxa"/>
              <w:bottom w:w="130" w:type="dxa"/>
              <w:end w:w="160" w:type="dxa"/>
            </w:tcMar>
            <w:tcBorders>
              <w:left w:val="single" w:sz="20" w:color="1B9E9A"/>
            </w:tcBorders>
          </w:tcPr>
          <w:p>
            <w:r>
              <w:rPr>
                <w:rFonts w:ascii="Montserrat" w:hAnsi="Montserrat" w:eastAsia="Montserrat"/>
                <w:b/>
                <w:color w:val="14294B"/>
                <w:sz w:val="20"/>
              </w:rPr>
              <w:t>PREVIEW → LEARN → APPLY → ANALYZE → REPAIR → REVISIT</w:t>
              <w:br/>
            </w:r>
            <w:r>
              <w:rPr>
                <w:rFonts w:ascii="Montserrat" w:hAnsi="Montserrat" w:eastAsia="Montserrat"/>
                <w:color w:val="1F2937"/>
                <w:sz w:val="20"/>
              </w:rPr>
              <w:t>Candidates preview the exam task, learn structured content, apply it in original questions, analyze complete rationales, repair reasoning errors, and revisit weak areas before comprehensive simulation.</w:t>
            </w:r>
          </w:p>
        </w:tc>
      </w:tr>
    </w:tbl>
    <w:p>
      <w:pPr>
        <w:spacing w:after="0"/>
      </w:pPr>
    </w:p>
    <w:p>
      <w:pPr>
        <w:pStyle w:val="Heading2"/>
      </w:pPr>
      <w:r>
        <w:t>Who This Program Is For</w:t>
      </w:r>
    </w:p>
    <w:p>
      <w:pPr>
        <w:pStyle w:val="ListBullet"/>
        <w:spacing w:after="40"/>
      </w:pPr>
      <w:r>
        <w:rPr>
          <w:rFonts w:ascii="Montserrat" w:hAnsi="Montserrat" w:eastAsia="Montserrat"/>
          <w:color w:val="1F2937"/>
          <w:sz w:val="21"/>
        </w:rPr>
        <w:t>AMFTs who have completed or are completing the California licensure pathway.</w:t>
      </w:r>
    </w:p>
    <w:p>
      <w:pPr>
        <w:pStyle w:val="ListBullet"/>
        <w:spacing w:after="40"/>
      </w:pPr>
      <w:r>
        <w:rPr>
          <w:rFonts w:ascii="Montserrat" w:hAnsi="Montserrat" w:eastAsia="Montserrat"/>
          <w:color w:val="1F2937"/>
          <w:sz w:val="21"/>
        </w:rPr>
        <w:t>Candidates who have received or expect BBS approval to take the LMFT Clinical Examination.</w:t>
      </w:r>
    </w:p>
    <w:p>
      <w:pPr>
        <w:pStyle w:val="ListBullet"/>
        <w:spacing w:after="40"/>
      </w:pPr>
      <w:r>
        <w:rPr>
          <w:rFonts w:ascii="Montserrat" w:hAnsi="Montserrat" w:eastAsia="Montserrat"/>
          <w:color w:val="1F2937"/>
          <w:sz w:val="21"/>
        </w:rPr>
        <w:t>Candidates who need structured systemic and relational reasoning rather than isolated fact review.</w:t>
      </w:r>
    </w:p>
    <w:p>
      <w:pPr>
        <w:pStyle w:val="ListBullet"/>
        <w:spacing w:after="40"/>
      </w:pPr>
      <w:r>
        <w:rPr>
          <w:rFonts w:ascii="Montserrat" w:hAnsi="Montserrat" w:eastAsia="Montserrat"/>
          <w:color w:val="1F2937"/>
          <w:sz w:val="21"/>
        </w:rPr>
        <w:t>Working professionals who need a self-paced, printable, asynchronous study system.</w:t>
      </w:r>
    </w:p>
    <w:p>
      <w:pPr>
        <w:pStyle w:val="Heading2"/>
      </w:pPr>
      <w:r>
        <w:t>What This Program Is Not</w:t>
      </w:r>
    </w:p>
    <w:p>
      <w:pPr>
        <w:pStyle w:val="ListBullet"/>
        <w:spacing w:after="40"/>
      </w:pPr>
      <w:r>
        <w:rPr>
          <w:rFonts w:ascii="Montserrat" w:hAnsi="Montserrat" w:eastAsia="Montserrat"/>
          <w:color w:val="1F2937"/>
          <w:sz w:val="21"/>
        </w:rPr>
        <w:t>It is not continuing education and does not provide CE credit or a CE certificate.</w:t>
      </w:r>
    </w:p>
    <w:p>
      <w:pPr>
        <w:pStyle w:val="ListBullet"/>
        <w:spacing w:after="40"/>
      </w:pPr>
      <w:r>
        <w:rPr>
          <w:rFonts w:ascii="Montserrat" w:hAnsi="Montserrat" w:eastAsia="Montserrat"/>
          <w:color w:val="1F2937"/>
          <w:sz w:val="21"/>
        </w:rPr>
        <w:t>It does not determine examination eligibility, licensure, employment, or certification.</w:t>
      </w:r>
    </w:p>
    <w:p>
      <w:pPr>
        <w:pStyle w:val="ListBullet"/>
        <w:spacing w:after="40"/>
      </w:pPr>
      <w:r>
        <w:rPr>
          <w:rFonts w:ascii="Montserrat" w:hAnsi="Montserrat" w:eastAsia="Montserrat"/>
          <w:color w:val="1F2937"/>
          <w:sz w:val="21"/>
        </w:rPr>
        <w:t>It does not reproduce live, recalled, copied, or unauthorized licensing-examination questions.</w:t>
      </w:r>
    </w:p>
    <w:p>
      <w:pPr>
        <w:pStyle w:val="ListBullet"/>
        <w:spacing w:after="40"/>
      </w:pPr>
      <w:r>
        <w:rPr>
          <w:rFonts w:ascii="Montserrat" w:hAnsi="Montserrat" w:eastAsia="Montserrat"/>
          <w:color w:val="1F2937"/>
          <w:sz w:val="21"/>
        </w:rPr>
        <w:t>It does not guarantee passage and is not affiliated with or endorsed by the licensing board or testing organization.</w:t>
      </w:r>
    </w:p>
    <w:p>
      <w:r>
        <w:br w:type="page"/>
      </w:r>
    </w:p>
    <w:p>
      <w:pPr>
        <w:pStyle w:val="Heading1"/>
      </w:pPr>
      <w:r>
        <w:t>Website Product Configuration</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Public product title</w:t>
            </w:r>
          </w:p>
        </w:tc>
        <w:tc>
          <w:tcPr>
            <w:tcW w:type="dxa" w:w="6768"/>
            <w:tcMar>
              <w:top w:w="80" w:type="dxa"/>
              <w:start w:w="100" w:type="dxa"/>
              <w:bottom w:w="80" w:type="dxa"/>
              <w:end w:w="100" w:type="dxa"/>
            </w:tcMar>
            <w:vAlign w:val="top"/>
          </w:tcPr>
          <w:p>
            <w:r>
              <w:rPr>
                <w:rFonts w:ascii="Montserrat" w:hAnsi="Montserrat" w:eastAsia="Montserrat"/>
                <w:color w:val="1F2937"/>
                <w:sz w:val="19"/>
              </w:rPr>
              <w:t>CTA LMFT California Clinical Exam Preparation Program</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Product category</w:t>
            </w:r>
          </w:p>
        </w:tc>
        <w:tc>
          <w:tcPr>
            <w:tcW w:type="dxa" w:w="6768"/>
            <w:tcMar>
              <w:top w:w="80" w:type="dxa"/>
              <w:start w:w="100" w:type="dxa"/>
              <w:bottom w:w="80" w:type="dxa"/>
              <w:end w:w="100" w:type="dxa"/>
            </w:tcMar>
            <w:vAlign w:val="top"/>
          </w:tcPr>
          <w:p>
            <w:r>
              <w:rPr>
                <w:rFonts w:ascii="Montserrat" w:hAnsi="Montserrat" w:eastAsia="Montserrat"/>
                <w:color w:val="1F2937"/>
                <w:sz w:val="19"/>
              </w:rPr>
              <w:t>Exam Preparation &gt; Clinical Examination</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Status</w:t>
            </w:r>
          </w:p>
        </w:tc>
        <w:tc>
          <w:tcPr>
            <w:tcW w:type="dxa" w:w="6768"/>
            <w:tcMar>
              <w:top w:w="80" w:type="dxa"/>
              <w:start w:w="100" w:type="dxa"/>
              <w:bottom w:w="80" w:type="dxa"/>
              <w:end w:w="100" w:type="dxa"/>
            </w:tcMar>
            <w:vAlign w:val="top"/>
          </w:tcPr>
          <w:p>
            <w:r>
              <w:rPr>
                <w:rFonts w:ascii="Montserrat" w:hAnsi="Montserrat" w:eastAsia="Montserrat"/>
                <w:color w:val="1F2937"/>
                <w:sz w:val="19"/>
              </w:rPr>
              <w:t>Available / Launch</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Launch price</w:t>
            </w:r>
          </w:p>
        </w:tc>
        <w:tc>
          <w:tcPr>
            <w:tcW w:type="dxa" w:w="6768"/>
            <w:tcMar>
              <w:top w:w="80" w:type="dxa"/>
              <w:start w:w="100" w:type="dxa"/>
              <w:bottom w:w="80" w:type="dxa"/>
              <w:end w:w="100" w:type="dxa"/>
            </w:tcMar>
            <w:vAlign w:val="top"/>
          </w:tcPr>
          <w:p>
            <w:r>
              <w:rPr>
                <w:rFonts w:ascii="Montserrat" w:hAnsi="Montserrat" w:eastAsia="Montserrat"/>
                <w:color w:val="1F2937"/>
                <w:sz w:val="19"/>
              </w:rPr>
              <w:t>$249</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Access period</w:t>
            </w:r>
          </w:p>
        </w:tc>
        <w:tc>
          <w:tcPr>
            <w:tcW w:type="dxa" w:w="6768"/>
            <w:tcMar>
              <w:top w:w="80" w:type="dxa"/>
              <w:start w:w="100" w:type="dxa"/>
              <w:bottom w:w="80" w:type="dxa"/>
              <w:end w:w="100" w:type="dxa"/>
            </w:tcMar>
            <w:vAlign w:val="top"/>
          </w:tcPr>
          <w:p>
            <w:r>
              <w:rPr>
                <w:rFonts w:ascii="Montserrat" w:hAnsi="Montserrat" w:eastAsia="Montserrat"/>
                <w:color w:val="1F2937"/>
                <w:sz w:val="19"/>
              </w:rPr>
              <w:t>6 months from enrollment</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Instructional method</w:t>
            </w:r>
          </w:p>
        </w:tc>
        <w:tc>
          <w:tcPr>
            <w:tcW w:type="dxa" w:w="6768"/>
            <w:tcMar>
              <w:top w:w="80" w:type="dxa"/>
              <w:start w:w="100" w:type="dxa"/>
              <w:bottom w:w="80" w:type="dxa"/>
              <w:end w:w="100" w:type="dxa"/>
            </w:tcMar>
            <w:vAlign w:val="top"/>
          </w:tcPr>
          <w:p>
            <w:r>
              <w:rPr>
                <w:rFonts w:ascii="Montserrat" w:hAnsi="Montserrat" w:eastAsia="Montserrat"/>
                <w:color w:val="1F2937"/>
                <w:sz w:val="19"/>
              </w:rPr>
              <w:t>Self-paced asynchronous online program with printable resources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CE classification</w:t>
            </w:r>
          </w:p>
        </w:tc>
        <w:tc>
          <w:tcPr>
            <w:tcW w:type="dxa" w:w="6768"/>
            <w:tcMar>
              <w:top w:w="80" w:type="dxa"/>
              <w:start w:w="100" w:type="dxa"/>
              <w:bottom w:w="80" w:type="dxa"/>
              <w:end w:w="100" w:type="dxa"/>
            </w:tcMar>
            <w:vAlign w:val="top"/>
          </w:tcPr>
          <w:p>
            <w:r>
              <w:rPr>
                <w:rFonts w:ascii="Montserrat" w:hAnsi="Montserrat" w:eastAsia="Montserrat"/>
                <w:color w:val="1F2937"/>
                <w:sz w:val="19"/>
              </w:rPr>
              <w:t>Exam Preparation Only | No CE Credit</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Primary button</w:t>
            </w:r>
          </w:p>
        </w:tc>
        <w:tc>
          <w:tcPr>
            <w:tcW w:type="dxa" w:w="6768"/>
            <w:tcMar>
              <w:top w:w="80" w:type="dxa"/>
              <w:start w:w="100" w:type="dxa"/>
              <w:bottom w:w="80" w:type="dxa"/>
              <w:end w:w="100" w:type="dxa"/>
            </w:tcMar>
            <w:vAlign w:val="top"/>
          </w:tcPr>
          <w:p>
            <w:r>
              <w:rPr>
                <w:rFonts w:ascii="Montserrat" w:hAnsi="Montserrat" w:eastAsia="Montserrat"/>
                <w:color w:val="1F2937"/>
                <w:sz w:val="19"/>
              </w:rPr>
              <w:t>Begin Your Clinical Exam Preparation</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URL slug</w:t>
            </w:r>
          </w:p>
        </w:tc>
        <w:tc>
          <w:tcPr>
            <w:tcW w:type="dxa" w:w="6768"/>
            <w:tcMar>
              <w:top w:w="80" w:type="dxa"/>
              <w:start w:w="100" w:type="dxa"/>
              <w:bottom w:w="80" w:type="dxa"/>
              <w:end w:w="100" w:type="dxa"/>
            </w:tcMar>
            <w:vAlign w:val="top"/>
          </w:tcPr>
          <w:p>
            <w:r>
              <w:rPr>
                <w:rFonts w:ascii="Montserrat" w:hAnsi="Montserrat" w:eastAsia="Montserrat"/>
                <w:color w:val="1F2937"/>
                <w:sz w:val="19"/>
              </w:rPr>
              <w:t>lmft-california-clinical-exam-preparation</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SEO title</w:t>
            </w:r>
          </w:p>
        </w:tc>
        <w:tc>
          <w:tcPr>
            <w:tcW w:type="dxa" w:w="6768"/>
            <w:tcMar>
              <w:top w:w="80" w:type="dxa"/>
              <w:start w:w="100" w:type="dxa"/>
              <w:bottom w:w="80" w:type="dxa"/>
              <w:end w:w="100" w:type="dxa"/>
            </w:tcMar>
            <w:vAlign w:val="top"/>
          </w:tcPr>
          <w:p>
            <w:r>
              <w:rPr>
                <w:rFonts w:ascii="Montserrat" w:hAnsi="Montserrat" w:eastAsia="Montserrat"/>
                <w:color w:val="1F2937"/>
                <w:sz w:val="19"/>
              </w:rPr>
              <w:t>LMFT California Clinical Exam Prep | CTA</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Meta description</w:t>
            </w:r>
          </w:p>
        </w:tc>
        <w:tc>
          <w:tcPr>
            <w:tcW w:type="dxa" w:w="6768"/>
            <w:tcMar>
              <w:top w:w="80" w:type="dxa"/>
              <w:start w:w="100" w:type="dxa"/>
              <w:bottom w:w="80" w:type="dxa"/>
              <w:end w:w="100" w:type="dxa"/>
            </w:tcMar>
            <w:vAlign w:val="top"/>
          </w:tcPr>
          <w:p>
            <w:r>
              <w:rPr>
                <w:rFonts w:ascii="Montserrat" w:hAnsi="Montserrat" w:eastAsia="Montserrat"/>
                <w:color w:val="1F2937"/>
                <w:sz w:val="19"/>
              </w:rPr>
              <w:t>Prepare for the California LMFT Clinical Examination with 12 workbooks, 204 focused practice questions, complete rationales, and two 150-question simulations.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Page badge</w:t>
            </w:r>
          </w:p>
        </w:tc>
        <w:tc>
          <w:tcPr>
            <w:tcW w:type="dxa" w:w="6768"/>
            <w:tcMar>
              <w:top w:w="80" w:type="dxa"/>
              <w:start w:w="100" w:type="dxa"/>
              <w:bottom w:w="80" w:type="dxa"/>
              <w:end w:w="100" w:type="dxa"/>
            </w:tcMar>
            <w:vAlign w:val="top"/>
          </w:tcPr>
          <w:p>
            <w:r>
              <w:rPr>
                <w:rFonts w:ascii="Montserrat" w:hAnsi="Montserrat" w:eastAsia="Montserrat"/>
                <w:color w:val="1F2937"/>
                <w:sz w:val="19"/>
              </w:rPr>
              <w:t>Exam Preparation • No CE Credit</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Image alt text</w:t>
            </w:r>
          </w:p>
        </w:tc>
        <w:tc>
          <w:tcPr>
            <w:tcW w:type="dxa" w:w="6768"/>
            <w:tcMar>
              <w:top w:w="80" w:type="dxa"/>
              <w:start w:w="100" w:type="dxa"/>
              <w:bottom w:w="80" w:type="dxa"/>
              <w:end w:w="100" w:type="dxa"/>
            </w:tcMar>
            <w:vAlign w:val="top"/>
          </w:tcPr>
          <w:p>
            <w:r>
              <w:rPr>
                <w:rFonts w:ascii="Montserrat" w:hAnsi="Montserrat" w:eastAsia="Montserrat"/>
                <w:color w:val="1F2937"/>
                <w:sz w:val="19"/>
              </w:rPr>
              <w:t>Clinical Training and Supervision Academy LMFT California Clinical Exam Preparation Program graphic</w:t>
            </w:r>
          </w:p>
        </w:tc>
      </w:tr>
    </w:tbl>
    <w:p>
      <w:pPr>
        <w:pStyle w:val="Heading2"/>
      </w:pPr>
      <w:r>
        <w:t>Required Notices</w:t>
      </w:r>
    </w:p>
    <w:p>
      <w:pPr>
        <w:pStyle w:val="ListBullet"/>
        <w:spacing w:after="40"/>
      </w:pPr>
      <w:r>
        <w:rPr>
          <w:rFonts w:ascii="Montserrat" w:hAnsi="Montserrat" w:eastAsia="Montserrat"/>
          <w:color w:val="1F2937"/>
          <w:sz w:val="21"/>
        </w:rPr>
        <w:t>Exam Preparation Only — No CE Credit.</w:t>
      </w:r>
    </w:p>
    <w:p>
      <w:pPr>
        <w:pStyle w:val="ListBullet"/>
        <w:spacing w:after="40"/>
      </w:pPr>
      <w:r>
        <w:rPr>
          <w:rFonts w:ascii="Montserrat" w:hAnsi="Montserrat" w:eastAsia="Montserrat"/>
          <w:color w:val="1F2937"/>
          <w:sz w:val="21"/>
        </w:rPr>
        <w:t>CTA is an independent educational resource and is not affiliated with or endorsed by the California Board of Behavioral Sciences or Pearson VUE.</w:t>
      </w:r>
    </w:p>
    <w:p>
      <w:pPr>
        <w:pStyle w:val="ListBullet"/>
        <w:spacing w:after="40"/>
      </w:pPr>
      <w:r>
        <w:rPr>
          <w:rFonts w:ascii="Montserrat" w:hAnsi="Montserrat" w:eastAsia="Montserrat"/>
          <w:color w:val="1F2937"/>
          <w:sz w:val="21"/>
        </w:rPr>
        <w:t>Participation supports examination readiness but does not guarantee passage or determine eligibility.</w:t>
      </w:r>
    </w:p>
    <w:p>
      <w:pPr>
        <w:pStyle w:val="ListBullet"/>
        <w:spacing w:after="40"/>
      </w:pPr>
      <w:r>
        <w:rPr>
          <w:rFonts w:ascii="Montserrat" w:hAnsi="Montserrat" w:eastAsia="Montserrat"/>
          <w:color w:val="1F2937"/>
          <w:sz w:val="21"/>
        </w:rPr>
        <w:t>Candidates should review current official BBS and Pearson materials before testing.</w:t>
      </w:r>
    </w:p>
    <w:p>
      <w:pPr>
        <w:pStyle w:val="Heading2"/>
      </w:pPr>
      <w:r>
        <w:t>Frequently Asked Questions</w:t>
      </w:r>
    </w:p>
    <w:p>
      <w:r>
        <w:rPr>
          <w:rFonts w:ascii="Montserrat" w:hAnsi="Montserrat" w:eastAsia="Montserrat"/>
          <w:b/>
          <w:color w:val="14294B"/>
          <w:sz w:val="21"/>
        </w:rPr>
        <w:t>Does this program provide continuing education credit?</w:t>
      </w:r>
    </w:p>
    <w:p>
      <w:r>
        <w:rPr>
          <w:rFonts w:ascii="Montserrat" w:hAnsi="Montserrat" w:eastAsia="Montserrat"/>
          <w:color w:val="1F2937"/>
          <w:sz w:val="20"/>
        </w:rPr>
        <w:t>No. It is an examination-preparation program and does not provide CE hours or a CE certificate.</w:t>
      </w:r>
    </w:p>
    <w:p>
      <w:r>
        <w:rPr>
          <w:rFonts w:ascii="Montserrat" w:hAnsi="Montserrat" w:eastAsia="Montserrat"/>
          <w:b/>
          <w:color w:val="14294B"/>
          <w:sz w:val="21"/>
        </w:rPr>
        <w:t>Is this the same as the CTA LMFT AMFTRB National program?</w:t>
      </w:r>
    </w:p>
    <w:p>
      <w:r>
        <w:rPr>
          <w:rFonts w:ascii="Montserrat" w:hAnsi="Montserrat" w:eastAsia="Montserrat"/>
          <w:color w:val="1F2937"/>
          <w:sz w:val="20"/>
        </w:rPr>
        <w:t>No. The California LMFT Clinical program and the LMFT AMFTRB National program are separate products with different blueprints, exam mechanics, and simulations.</w:t>
      </w:r>
    </w:p>
    <w:p>
      <w:r>
        <w:rPr>
          <w:rFonts w:ascii="Montserrat" w:hAnsi="Montserrat" w:eastAsia="Montserrat"/>
          <w:b/>
          <w:color w:val="14294B"/>
          <w:sz w:val="21"/>
        </w:rPr>
        <w:t>How many full simulations are included?</w:t>
      </w:r>
    </w:p>
    <w:p>
      <w:r>
        <w:rPr>
          <w:rFonts w:ascii="Montserrat" w:hAnsi="Montserrat" w:eastAsia="Montserrat"/>
          <w:color w:val="1F2937"/>
          <w:sz w:val="20"/>
        </w:rPr>
        <w:t>Two separate 150-question forms are included. Simulation rationales remain controlled until the associated form is submitted.</w:t>
      </w:r>
    </w:p>
    <w:p>
      <w:r>
        <w:rPr>
          <w:rFonts w:ascii="Montserrat" w:hAnsi="Montserrat" w:eastAsia="Montserrat"/>
          <w:b/>
          <w:color w:val="14294B"/>
          <w:sz w:val="21"/>
        </w:rPr>
        <w:t>Are the materials printable?</w:t>
      </w:r>
    </w:p>
    <w:p>
      <w:r>
        <w:rPr>
          <w:rFonts w:ascii="Montserrat" w:hAnsi="Montserrat" w:eastAsia="Montserrat"/>
          <w:color w:val="1F2937"/>
          <w:sz w:val="20"/>
        </w:rPr>
        <w:t>Yes. The program is designed for online study and printable use.</w:t>
      </w:r>
    </w:p>
    <w:p>
      <w:r>
        <w:rPr>
          <w:rFonts w:ascii="Montserrat" w:hAnsi="Montserrat" w:eastAsia="Montserrat"/>
          <w:b/>
          <w:color w:val="14294B"/>
          <w:sz w:val="21"/>
        </w:rPr>
        <w:t>How long is access?</w:t>
      </w:r>
    </w:p>
    <w:p>
      <w:r>
        <w:rPr>
          <w:rFonts w:ascii="Montserrat" w:hAnsi="Montserrat" w:eastAsia="Montserrat"/>
          <w:color w:val="1F2937"/>
          <w:sz w:val="20"/>
        </w:rPr>
        <w:t>Six months from enrollment under the current standalone-program access standard.</w:t>
      </w:r>
    </w:p>
    <w:p>
      <w:r>
        <w:rPr>
          <w:rFonts w:ascii="Montserrat" w:hAnsi="Montserrat" w:eastAsia="Montserrat"/>
          <w:b/>
          <w:color w:val="14294B"/>
          <w:sz w:val="21"/>
        </w:rPr>
        <w:t>Does CTA guarantee that I will pass?</w:t>
      </w:r>
    </w:p>
    <w:p>
      <w:r>
        <w:rPr>
          <w:rFonts w:ascii="Montserrat" w:hAnsi="Montserrat" w:eastAsia="Montserrat"/>
          <w:color w:val="1F2937"/>
          <w:sz w:val="20"/>
        </w:rPr>
        <w:t>No. CTA supports preparation and clinical reasoning but cannot guarantee passage or determine exam eligibility.</w:t>
      </w:r>
    </w:p>
    <w:p>
      <w:r>
        <w:br w:type="page"/>
      </w:r>
    </w:p>
    <w:p>
      <w:pPr>
        <w:pStyle w:val="Heading1"/>
      </w:pPr>
      <w:r>
        <w:t>David Implementation Instructions</w:t>
      </w:r>
    </w:p>
    <w:tbl>
      <w:tblPr>
        <w:tblW w:type="auto" w:w="0"/>
        <w:jc w:val="center"/>
        <w:tblLook w:firstColumn="1" w:firstRow="1" w:lastColumn="0" w:lastRow="0" w:noHBand="0" w:noVBand="1" w:val="04A0"/>
      </w:tblPr>
      <w:tblGrid>
        <w:gridCol w:w="10224"/>
      </w:tblGrid>
      <w:tr>
        <w:trPr>
          <w:cantSplit/>
          <w:tblHeader/>
        </w:trPr>
        <w:tc>
          <w:tcPr>
            <w:tcW w:type="dxa" w:w="10224"/>
            <w:shd w:fill="DFF4E5"/>
            <w:tcMar>
              <w:top w:w="130" w:type="dxa"/>
              <w:start w:w="160" w:type="dxa"/>
              <w:bottom w:w="130" w:type="dxa"/>
              <w:end w:w="160" w:type="dxa"/>
            </w:tcMar>
            <w:tcBorders>
              <w:left w:val="single" w:sz="20" w:color="2E7D32"/>
            </w:tcBorders>
          </w:tcPr>
          <w:p>
            <w:r>
              <w:rPr>
                <w:rFonts w:ascii="Montserrat" w:hAnsi="Montserrat" w:eastAsia="Montserrat"/>
                <w:b/>
                <w:color w:val="14294B"/>
                <w:sz w:val="20"/>
              </w:rPr>
              <w:t>TWO SEPARATE PRODUCT PAGES</w:t>
              <w:br/>
            </w:r>
            <w:r>
              <w:rPr>
                <w:rFonts w:ascii="Montserrat" w:hAnsi="Montserrat" w:eastAsia="Montserrat"/>
                <w:color w:val="1F2937"/>
                <w:sz w:val="20"/>
              </w:rPr>
              <w:t>Create one LMFT product page and one LCSW ASWB product page. Do not create or sell a third “shared LMFT/LCSW” program. Shared lessons are an internal production layer and should appear inside each profession-specific program.</w:t>
            </w:r>
          </w:p>
        </w:tc>
      </w:tr>
    </w:tbl>
    <w:p>
      <w:pPr>
        <w:spacing w:after="0"/>
      </w:pPr>
    </w:p>
    <w:p>
      <w:pPr>
        <w:pStyle w:val="ListBullet"/>
        <w:spacing w:after="40"/>
      </w:pPr>
      <w:r>
        <w:rPr>
          <w:rFonts w:ascii="Montserrat" w:hAnsi="Montserrat" w:eastAsia="Montserrat"/>
          <w:color w:val="1F2937"/>
          <w:sz w:val="21"/>
        </w:rPr>
        <w:t>Use the exact public title, price, access period, examination name, and no-CE classification shown in this package.</w:t>
      </w:r>
    </w:p>
    <w:p>
      <w:pPr>
        <w:pStyle w:val="ListBullet"/>
        <w:spacing w:after="40"/>
      </w:pPr>
      <w:r>
        <w:rPr>
          <w:rFonts w:ascii="Montserrat" w:hAnsi="Montserrat" w:eastAsia="Montserrat"/>
          <w:color w:val="1F2937"/>
          <w:sz w:val="21"/>
        </w:rPr>
        <w:t>Keep the programs outside CTA CE-only memberships unless a later approved bundle specifically includes them.</w:t>
      </w:r>
    </w:p>
    <w:p>
      <w:pPr>
        <w:pStyle w:val="ListBullet"/>
        <w:spacing w:after="40"/>
      </w:pPr>
      <w:r>
        <w:rPr>
          <w:rFonts w:ascii="Montserrat" w:hAnsi="Montserrat" w:eastAsia="Montserrat"/>
          <w:color w:val="1F2937"/>
          <w:sz w:val="21"/>
        </w:rPr>
        <w:t>Use approved CTA branding and preserve the logo’s original proportions and white space.</w:t>
      </w:r>
    </w:p>
    <w:p>
      <w:pPr>
        <w:pStyle w:val="ListBullet"/>
        <w:spacing w:after="40"/>
      </w:pPr>
      <w:r>
        <w:rPr>
          <w:rFonts w:ascii="Montserrat" w:hAnsi="Montserrat" w:eastAsia="Montserrat"/>
          <w:color w:val="1F2937"/>
          <w:sz w:val="21"/>
        </w:rPr>
        <w:t>Do not place workbooks, question banks, simulation forms, answer keys, administrative item banks, QC reports, or production standards on a public webpage.</w:t>
      </w:r>
    </w:p>
    <w:p>
      <w:pPr>
        <w:pStyle w:val="ListBullet"/>
        <w:spacing w:after="40"/>
      </w:pPr>
      <w:r>
        <w:rPr>
          <w:rFonts w:ascii="Montserrat" w:hAnsi="Montserrat" w:eastAsia="Montserrat"/>
          <w:color w:val="1F2937"/>
          <w:sz w:val="21"/>
        </w:rPr>
        <w:t>Within the LMS, release each 17-question workbook bank after the matching workbook. The bank contains rationales and is a learning resource, not a closed-book summative exam.</w:t>
      </w:r>
    </w:p>
    <w:p>
      <w:pPr>
        <w:pStyle w:val="ListBullet"/>
        <w:spacing w:after="40"/>
      </w:pPr>
      <w:r>
        <w:rPr>
          <w:rFonts w:ascii="Montserrat" w:hAnsi="Montserrat" w:eastAsia="Montserrat"/>
          <w:color w:val="1F2937"/>
          <w:sz w:val="21"/>
        </w:rPr>
        <w:t>Keep comprehensive Form A and Form B answer keys and detailed rationales hidden until the associated form is submitted.</w:t>
      </w:r>
    </w:p>
    <w:p>
      <w:pPr>
        <w:pStyle w:val="ListBullet"/>
        <w:spacing w:after="40"/>
      </w:pPr>
      <w:r>
        <w:rPr>
          <w:rFonts w:ascii="Montserrat" w:hAnsi="Montserrat" w:eastAsia="Montserrat"/>
          <w:color w:val="1F2937"/>
          <w:sz w:val="21"/>
        </w:rPr>
        <w:t>Place administrative item banks, use logs, blueprint/QC reports, and production standards in a restricted administrator folder only.</w:t>
      </w:r>
    </w:p>
    <w:p>
      <w:pPr>
        <w:pStyle w:val="ListBullet"/>
        <w:spacing w:after="40"/>
      </w:pPr>
      <w:r>
        <w:rPr>
          <w:rFonts w:ascii="Montserrat" w:hAnsi="Montserrat" w:eastAsia="Montserrat"/>
          <w:color w:val="1F2937"/>
          <w:sz w:val="21"/>
        </w:rPr>
        <w:t>Move older 50-question workbook-exam drafts and legacy mock files to a clearly labeled nonpublishing archive.</w:t>
      </w:r>
    </w:p>
    <w:p>
      <w:pPr>
        <w:pStyle w:val="ListBullet"/>
        <w:spacing w:after="40"/>
      </w:pPr>
      <w:r>
        <w:rPr>
          <w:rFonts w:ascii="Montserrat" w:hAnsi="Montserrat" w:eastAsia="Montserrat"/>
          <w:color w:val="1F2937"/>
          <w:sz w:val="21"/>
        </w:rPr>
        <w:t>Complete a desktop, tablet, mobile, checkout, enrollment, download, score, completion, and student-role preview before making the page publicly available.</w:t>
      </w:r>
    </w:p>
    <w:p>
      <w:pPr>
        <w:pStyle w:val="Heading2"/>
      </w:pPr>
      <w:r>
        <w:t>Recommended LMS Folder Structure</w:t>
      </w:r>
    </w:p>
    <w:tbl>
      <w:tblPr>
        <w:tblW w:type="auto" w:w="0"/>
        <w:jc w:val="center"/>
        <w:tblLook w:firstColumn="1" w:firstRow="1" w:lastColumn="0" w:lastRow="0" w:noHBand="0" w:noVBand="1" w:val="04A0"/>
      </w:tblPr>
      <w:tblGrid>
        <w:gridCol w:w="10224"/>
      </w:tblGrid>
      <w:tr>
        <w:trPr>
          <w:cantSplit/>
          <w:tblHeader/>
        </w:trPr>
        <w:tc>
          <w:tcPr>
            <w:tcW w:type="dxa" w:w="10224"/>
            <w:shd w:fill="F3F4F6"/>
            <w:tcMar>
              <w:top w:w="130" w:type="dxa"/>
              <w:start w:w="160" w:type="dxa"/>
              <w:bottom w:w="130" w:type="dxa"/>
              <w:end w:w="160" w:type="dxa"/>
            </w:tcMar>
            <w:tcBorders>
              <w:left w:val="single" w:sz="20" w:color="14294B"/>
            </w:tcBorders>
          </w:tcPr>
          <w:p>
            <w:r>
              <w:rPr>
                <w:rFonts w:ascii="Montserrat" w:hAnsi="Montserrat" w:eastAsia="Montserrat"/>
                <w:b/>
                <w:color w:val="14294B"/>
                <w:sz w:val="20"/>
              </w:rPr>
              <w:br/>
            </w:r>
            <w:r>
              <w:rPr>
                <w:rFonts w:ascii="Montserrat" w:hAnsi="Montserrat" w:eastAsia="Montserrat"/>
                <w:color w:val="1F2937"/>
                <w:sz w:val="20"/>
              </w:rPr>
              <w:t>LMFT_California_Clinical_Exam_Preparation/</w:t>
              <w:br/>
              <w:t xml:space="preserve">  00_Start_Here/</w:t>
              <w:br/>
              <w:t xml:space="preserve">  01_Workbooks/WB01 ... WB12/</w:t>
              <w:br/>
              <w:t xml:space="preserve">  02_Workbook_Question_Banks/WB01 ... WB12/</w:t>
              <w:br/>
              <w:t xml:space="preserve">  03_Comprehensive_Simulations/Form_A and Form_B/</w:t>
              <w:br/>
              <w:t xml:space="preserve">  90_Instructor_Admin_Restricted/</w:t>
              <w:br/>
              <w:t xml:space="preserve">  99_Archive_Superseded_Do_Not_Publish/</w:t>
            </w:r>
          </w:p>
        </w:tc>
      </w:tr>
    </w:tbl>
    <w:p>
      <w:pPr>
        <w:spacing w:after="0"/>
      </w:pPr>
    </w:p>
    <w:p>
      <w:r>
        <w:br w:type="page"/>
      </w:r>
    </w:p>
    <w:p>
      <w:pPr>
        <w:pStyle w:val="Heading1"/>
      </w:pPr>
      <w:r>
        <w:t>Release Inventory and File Controls</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Student workbooks</w:t>
            </w:r>
          </w:p>
        </w:tc>
        <w:tc>
          <w:tcPr>
            <w:tcW w:type="dxa" w:w="6768"/>
            <w:tcMar>
              <w:top w:w="80" w:type="dxa"/>
              <w:start w:w="100" w:type="dxa"/>
              <w:bottom w:w="80" w:type="dxa"/>
              <w:end w:w="100" w:type="dxa"/>
            </w:tcMar>
            <w:vAlign w:val="top"/>
          </w:tcPr>
          <w:p>
            <w:r>
              <w:rPr>
                <w:rFonts w:ascii="Montserrat" w:hAnsi="Montserrat" w:eastAsia="Montserrat"/>
                <w:color w:val="1F2937"/>
                <w:sz w:val="19"/>
              </w:rPr>
              <w:t>12 — Ready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Paired workbook question banks</w:t>
            </w:r>
          </w:p>
        </w:tc>
        <w:tc>
          <w:tcPr>
            <w:tcW w:type="dxa" w:w="6768"/>
            <w:tcMar>
              <w:top w:w="80" w:type="dxa"/>
              <w:start w:w="100" w:type="dxa"/>
              <w:bottom w:w="80" w:type="dxa"/>
              <w:end w:w="100" w:type="dxa"/>
            </w:tcMar>
            <w:vAlign w:val="top"/>
          </w:tcPr>
          <w:p>
            <w:r>
              <w:rPr>
                <w:rFonts w:ascii="Montserrat" w:hAnsi="Montserrat" w:eastAsia="Montserrat"/>
                <w:color w:val="1F2937"/>
                <w:sz w:val="19"/>
              </w:rPr>
              <w:t>12 — Ready; 17 items each; 204 total placements</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Comprehensive student forms</w:t>
            </w:r>
          </w:p>
        </w:tc>
        <w:tc>
          <w:tcPr>
            <w:tcW w:type="dxa" w:w="6768"/>
            <w:tcMar>
              <w:top w:w="80" w:type="dxa"/>
              <w:start w:w="100" w:type="dxa"/>
              <w:bottom w:w="80" w:type="dxa"/>
              <w:end w:w="100" w:type="dxa"/>
            </w:tcMar>
            <w:vAlign w:val="top"/>
          </w:tcPr>
          <w:p>
            <w:r>
              <w:rPr>
                <w:rFonts w:ascii="Montserrat" w:hAnsi="Montserrat" w:eastAsia="Montserrat"/>
                <w:color w:val="1F2937"/>
                <w:sz w:val="19"/>
              </w:rPr>
              <w:t>2 — Ready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Comprehensive item placements</w:t>
            </w:r>
          </w:p>
        </w:tc>
        <w:tc>
          <w:tcPr>
            <w:tcW w:type="dxa" w:w="6768"/>
            <w:tcMar>
              <w:top w:w="80" w:type="dxa"/>
              <w:start w:w="100" w:type="dxa"/>
              <w:bottom w:w="80" w:type="dxa"/>
              <w:end w:w="100" w:type="dxa"/>
            </w:tcMar>
            <w:vAlign w:val="top"/>
          </w:tcPr>
          <w:p>
            <w:r>
              <w:rPr>
                <w:rFonts w:ascii="Montserrat" w:hAnsi="Montserrat" w:eastAsia="Montserrat"/>
                <w:color w:val="1F2937"/>
                <w:sz w:val="19"/>
              </w:rPr>
              <w:t>300 — 150 per form</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Answer-key/rationale files</w:t>
            </w:r>
          </w:p>
        </w:tc>
        <w:tc>
          <w:tcPr>
            <w:tcW w:type="dxa" w:w="6768"/>
            <w:tcMar>
              <w:top w:w="80" w:type="dxa"/>
              <w:start w:w="100" w:type="dxa"/>
              <w:bottom w:w="80" w:type="dxa"/>
              <w:end w:w="100" w:type="dxa"/>
            </w:tcMar>
            <w:vAlign w:val="top"/>
          </w:tcPr>
          <w:p>
            <w:r>
              <w:rPr>
                <w:rFonts w:ascii="Montserrat" w:hAnsi="Montserrat" w:eastAsia="Montserrat"/>
                <w:color w:val="1F2937"/>
                <w:sz w:val="19"/>
              </w:rPr>
              <w:t>2 — Controlled student release</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Administrative item banks</w:t>
            </w:r>
          </w:p>
        </w:tc>
        <w:tc>
          <w:tcPr>
            <w:tcW w:type="dxa" w:w="6768"/>
            <w:tcMar>
              <w:top w:w="80" w:type="dxa"/>
              <w:start w:w="100" w:type="dxa"/>
              <w:bottom w:w="80" w:type="dxa"/>
              <w:end w:w="100" w:type="dxa"/>
            </w:tcMar>
            <w:vAlign w:val="top"/>
          </w:tcPr>
          <w:p>
            <w:r>
              <w:rPr>
                <w:rFonts w:ascii="Montserrat" w:hAnsi="Montserrat" w:eastAsia="Montserrat"/>
                <w:color w:val="1F2937"/>
                <w:sz w:val="19"/>
              </w:rPr>
              <w:t>2 — Internal only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Blueprint/QC reports</w:t>
            </w:r>
          </w:p>
        </w:tc>
        <w:tc>
          <w:tcPr>
            <w:tcW w:type="dxa" w:w="6768"/>
            <w:tcMar>
              <w:top w:w="80" w:type="dxa"/>
              <w:start w:w="100" w:type="dxa"/>
              <w:bottom w:w="80" w:type="dxa"/>
              <w:end w:w="100" w:type="dxa"/>
            </w:tcMar>
            <w:vAlign w:val="top"/>
          </w:tcPr>
          <w:p>
            <w:r>
              <w:rPr>
                <w:rFonts w:ascii="Montserrat" w:hAnsi="Montserrat" w:eastAsia="Montserrat"/>
                <w:color w:val="1F2937"/>
                <w:sz w:val="19"/>
              </w:rPr>
              <w:t>2 — Internal only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Blocking file-integrity defects</w:t>
            </w:r>
          </w:p>
        </w:tc>
        <w:tc>
          <w:tcPr>
            <w:tcW w:type="dxa" w:w="6768"/>
            <w:tcMar>
              <w:top w:w="80" w:type="dxa"/>
              <w:start w:w="100" w:type="dxa"/>
              <w:bottom w:w="80" w:type="dxa"/>
              <w:end w:w="100" w:type="dxa"/>
            </w:tcMar>
            <w:vAlign w:val="top"/>
          </w:tcPr>
          <w:p>
            <w:r>
              <w:rPr>
                <w:rFonts w:ascii="Montserrat" w:hAnsi="Montserrat" w:eastAsia="Montserrat"/>
                <w:color w:val="1F2937"/>
                <w:sz w:val="19"/>
              </w:rPr>
              <w:t>0 — Pass</w:t>
            </w:r>
          </w:p>
        </w:tc>
      </w:tr>
    </w:tbl>
    <w:p>
      <w:pPr>
        <w:pStyle w:val="Heading2"/>
      </w:pPr>
      <w:r>
        <w:t>Files David May Receive</w:t>
      </w:r>
    </w:p>
    <w:p>
      <w:pPr>
        <w:pStyle w:val="ListBullet"/>
        <w:spacing w:after="40"/>
      </w:pPr>
      <w:r>
        <w:rPr>
          <w:rFonts w:ascii="Montserrat" w:hAnsi="Montserrat" w:eastAsia="Montserrat"/>
          <w:color w:val="1F2937"/>
          <w:sz w:val="21"/>
        </w:rPr>
        <w:t>This website release package and the matching release manifest spreadsheet.</w:t>
      </w:r>
    </w:p>
    <w:p>
      <w:pPr>
        <w:pStyle w:val="ListBullet"/>
        <w:spacing w:after="40"/>
      </w:pPr>
      <w:r>
        <w:rPr>
          <w:rFonts w:ascii="Montserrat" w:hAnsi="Montserrat" w:eastAsia="Montserrat"/>
          <w:color w:val="1F2937"/>
          <w:sz w:val="21"/>
        </w:rPr>
        <w:t>Approved CTA logo and course-page image assets.</w:t>
      </w:r>
    </w:p>
    <w:p>
      <w:pPr>
        <w:pStyle w:val="ListBullet"/>
        <w:spacing w:after="40"/>
      </w:pPr>
      <w:r>
        <w:rPr>
          <w:rFonts w:ascii="Montserrat" w:hAnsi="Montserrat" w:eastAsia="Montserrat"/>
          <w:color w:val="1F2937"/>
          <w:sz w:val="21"/>
        </w:rPr>
        <w:t>The public program description, price, access period, FAQs, disclaimers, and call-to-action text.</w:t>
      </w:r>
    </w:p>
    <w:p>
      <w:pPr>
        <w:pStyle w:val="ListBullet"/>
        <w:spacing w:after="40"/>
      </w:pPr>
      <w:r>
        <w:rPr>
          <w:rFonts w:ascii="Montserrat" w:hAnsi="Montserrat" w:eastAsia="Montserrat"/>
          <w:color w:val="1F2937"/>
          <w:sz w:val="21"/>
        </w:rPr>
        <w:t>The final program index only when David also performs LMS administration and understands the restricted-file rules.</w:t>
      </w:r>
    </w:p>
    <w:p>
      <w:pPr>
        <w:pStyle w:val="Heading2"/>
      </w:pPr>
      <w:r>
        <w:t>Files That Must Remain Restricted</w:t>
      </w:r>
    </w:p>
    <w:p>
      <w:pPr>
        <w:pStyle w:val="ListBullet"/>
        <w:spacing w:after="40"/>
      </w:pPr>
      <w:r>
        <w:rPr>
          <w:rFonts w:ascii="Montserrat" w:hAnsi="Montserrat" w:eastAsia="Montserrat"/>
          <w:color w:val="1F2937"/>
          <w:sz w:val="21"/>
        </w:rPr>
        <w:t>Administrative master item banks and use logs.</w:t>
      </w:r>
    </w:p>
    <w:p>
      <w:pPr>
        <w:pStyle w:val="ListBullet"/>
        <w:spacing w:after="40"/>
      </w:pPr>
      <w:r>
        <w:rPr>
          <w:rFonts w:ascii="Montserrat" w:hAnsi="Montserrat" w:eastAsia="Montserrat"/>
          <w:color w:val="1F2937"/>
          <w:sz w:val="21"/>
        </w:rPr>
        <w:t>Blueprint and quality-control reports.</w:t>
      </w:r>
    </w:p>
    <w:p>
      <w:pPr>
        <w:pStyle w:val="ListBullet"/>
        <w:spacing w:after="40"/>
      </w:pPr>
      <w:r>
        <w:rPr>
          <w:rFonts w:ascii="Montserrat" w:hAnsi="Montserrat" w:eastAsia="Montserrat"/>
          <w:color w:val="1F2937"/>
          <w:sz w:val="21"/>
        </w:rPr>
        <w:t>Simulation answer keys before form submission.</w:t>
      </w:r>
    </w:p>
    <w:p>
      <w:pPr>
        <w:pStyle w:val="ListBullet"/>
        <w:spacing w:after="40"/>
      </w:pPr>
      <w:r>
        <w:rPr>
          <w:rFonts w:ascii="Montserrat" w:hAnsi="Montserrat" w:eastAsia="Montserrat"/>
          <w:color w:val="1F2937"/>
          <w:sz w:val="21"/>
        </w:rPr>
        <w:t>Production standards, internal crosswalks, audit evidence files, and superseded drafts.</w:t>
      </w:r>
    </w:p>
    <w:p>
      <w:pPr>
        <w:pStyle w:val="ListBullet"/>
        <w:spacing w:after="40"/>
      </w:pPr>
      <w:r>
        <w:rPr>
          <w:rFonts w:ascii="Montserrat" w:hAnsi="Montserrat" w:eastAsia="Montserrat"/>
          <w:color w:val="1F2937"/>
          <w:sz w:val="21"/>
        </w:rPr>
        <w:t>Any file containing development notes, internal source paths, or protected unused items.</w:t>
      </w:r>
    </w:p>
    <w:p>
      <w:pPr>
        <w:pStyle w:val="Heading2"/>
      </w:pPr>
      <w:r>
        <w:t>Controlling Release Files</w:t>
      </w:r>
    </w:p>
    <w:p>
      <w:pPr>
        <w:pStyle w:val="ListBullet"/>
        <w:spacing w:after="40"/>
      </w:pPr>
      <w:r>
        <w:rPr>
          <w:rFonts w:ascii="Montserrat" w:hAnsi="Montserrat" w:eastAsia="Montserrat"/>
          <w:color w:val="1F2937"/>
          <w:sz w:val="21"/>
        </w:rPr>
        <w:t>CTA_LMFT_Master_Program_Index_and_Final_Release_Audit_v1.0.docx</w:t>
      </w:r>
    </w:p>
    <w:p>
      <w:pPr>
        <w:pStyle w:val="ListBullet"/>
        <w:spacing w:after="40"/>
      </w:pPr>
      <w:r>
        <w:rPr>
          <w:rFonts w:ascii="Montserrat" w:hAnsi="Montserrat" w:eastAsia="Montserrat"/>
          <w:color w:val="1F2937"/>
          <w:sz w:val="21"/>
        </w:rPr>
        <w:t>CTA_LMFT_LCSW_Question_Bank_and_Comprehensive_Exam_Production_Standard_v1.1.docx</w:t>
      </w:r>
    </w:p>
    <w:p>
      <w:pPr>
        <w:pStyle w:val="ListBullet"/>
        <w:spacing w:after="40"/>
      </w:pPr>
      <w:r>
        <w:rPr>
          <w:rFonts w:ascii="Montserrat" w:hAnsi="Montserrat" w:eastAsia="Montserrat"/>
          <w:color w:val="1F2937"/>
          <w:sz w:val="21"/>
        </w:rPr>
        <w:t>CTA_LMFT_California_Clinical_David_Website_Release_Manifest_v1.0.xlsx</w:t>
      </w:r>
    </w:p>
    <w:p>
      <w:pPr>
        <w:pStyle w:val="ListBullet"/>
        <w:spacing w:after="40"/>
      </w:pPr>
      <w:r>
        <w:rPr>
          <w:rFonts w:ascii="Montserrat" w:hAnsi="Montserrat" w:eastAsia="Montserrat"/>
          <w:color w:val="1F2937"/>
          <w:sz w:val="21"/>
        </w:rPr>
        <w:t>CTA_LMFT_LCSW_Shared_Content_Dual_Development_Crosswalk_v1.3.xlsx</w:t>
      </w:r>
    </w:p>
    <w:p>
      <w:r>
        <w:br w:type="page"/>
      </w:r>
    </w:p>
    <w:p>
      <w:pPr>
        <w:pStyle w:val="Heading1"/>
      </w:pPr>
      <w:r>
        <w:t>Same-Day Launch Checklist</w:t>
      </w:r>
    </w:p>
    <w:tbl>
      <w:tblPr>
        <w:tblW w:type="auto" w:w="0"/>
        <w:jc w:val="center"/>
        <w:tblLayout w:type="fixed"/>
        <w:tblLook w:firstColumn="1" w:firstRow="1" w:lastColumn="0" w:lastRow="0" w:noHBand="0" w:noVBand="1" w:val="04A0"/>
      </w:tblPr>
      <w:tblGrid>
        <w:gridCol w:w="648"/>
        <w:gridCol w:w="928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Done</w:t>
            </w:r>
          </w:p>
        </w:tc>
        <w:tc>
          <w:tcPr>
            <w:tcW w:type="dxa" w:w="5112"/>
            <w:shd w:fill="14294B"/>
            <w:tcMar>
              <w:top w:w="80" w:type="dxa"/>
              <w:start w:w="100" w:type="dxa"/>
              <w:bottom w:w="80" w:type="dxa"/>
              <w:end w:w="100" w:type="dxa"/>
            </w:tcMar>
          </w:tcPr>
          <w:p>
            <w:r>
              <w:rPr>
                <w:rFonts w:ascii="Montserrat" w:hAnsi="Montserrat" w:eastAsia="Montserrat"/>
                <w:b/>
                <w:color w:val="FFFFFF"/>
                <w:sz w:val="19"/>
              </w:rPr>
              <w:t>Launch action</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Create the correct separate product page and use the exact public title.</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Enter the $249 launch price and six-month access period.</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Add the Exam Preparation • No CE Credit badge and notices.</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Load the approved website description, inclusions, FAQs, SEO title, and meta description.</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Use an approved CTA image and accessible alt text.</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Configure checkout, enrollment, access expiration, and protected downloads.</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Upload only current v1.0 files listed in the release manifest.</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Keep simulation keys and all administrative files restricted.</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Move superseded and legacy files to the nonpublishing archive.</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Run a student-role test on desktop and mobile.</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Confirm the website does not promise recorded audio/video unless playback files are present and tested.</w:t>
            </w:r>
          </w:p>
        </w:tc>
      </w:tr>
      <w:tr>
        <w:tc>
          <w:tcPr>
            <w:tcW w:type="dxa" w:w="648"/>
            <w:tcMar>
              <w:top w:w="80" w:type="dxa"/>
              <w:start w:w="100" w:type="dxa"/>
              <w:bottom w:w="80" w:type="dxa"/>
              <w:end w:w="100" w:type="dxa"/>
            </w:tcMar>
          </w:tcPr>
          <w:p>
            <w:pPr>
              <w:jc w:val="center"/>
            </w:pPr>
            <w:r>
              <w:rPr>
                <w:rFonts w:ascii="Montserrat" w:hAnsi="Montserrat" w:eastAsia="Montserrat"/>
                <w:color w:val="14294B"/>
                <w:sz w:val="24"/>
              </w:rPr>
              <w:t>☐</w:t>
            </w:r>
          </w:p>
        </w:tc>
        <w:tc>
          <w:tcPr>
            <w:tcW w:type="dxa" w:w="9288"/>
            <w:tcMar>
              <w:top w:w="80" w:type="dxa"/>
              <w:start w:w="100" w:type="dxa"/>
              <w:bottom w:w="80" w:type="dxa"/>
              <w:end w:w="100" w:type="dxa"/>
            </w:tcMar>
          </w:tcPr>
          <w:p>
            <w:r>
              <w:rPr>
                <w:rFonts w:ascii="Montserrat" w:hAnsi="Montserrat" w:eastAsia="Montserrat"/>
                <w:color w:val="1F2937"/>
                <w:sz w:val="19"/>
              </w:rPr>
              <w:t>Obtain final administrator approval and record the launch date.</w:t>
            </w:r>
          </w:p>
        </w:tc>
      </w:tr>
    </w:tbl>
    <w:p>
      <w:pPr>
        <w:pStyle w:val="Heading2"/>
      </w:pPr>
      <w:r>
        <w:t>Final Sign-Off</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112"/>
            <w:shd w:fill="14294B"/>
            <w:tcMar>
              <w:top w:w="80" w:type="dxa"/>
              <w:start w:w="100" w:type="dxa"/>
              <w:bottom w:w="80" w:type="dxa"/>
              <w:end w:w="100" w:type="dxa"/>
            </w:tcMar>
          </w:tcPr>
          <w:p>
            <w:r>
              <w:rPr>
                <w:rFonts w:ascii="Montserrat" w:hAnsi="Montserrat" w:eastAsia="Montserrat"/>
                <w:b/>
                <w:color w:val="FFFFFF"/>
                <w:sz w:val="19"/>
              </w:rPr>
              <w:t>Field</w:t>
            </w:r>
          </w:p>
        </w:tc>
        <w:tc>
          <w:tcPr>
            <w:tcW w:type="dxa" w:w="5112"/>
            <w:shd w:fill="14294B"/>
            <w:tcMar>
              <w:top w:w="80" w:type="dxa"/>
              <w:start w:w="100" w:type="dxa"/>
              <w:bottom w:w="80" w:type="dxa"/>
              <w:end w:w="100" w:type="dxa"/>
            </w:tcMar>
          </w:tcPr>
          <w:p>
            <w:r>
              <w:rPr>
                <w:rFonts w:ascii="Montserrat" w:hAnsi="Montserrat" w:eastAsia="Montserrat"/>
                <w:b/>
                <w:color w:val="FFFFFF"/>
                <w:sz w:val="19"/>
              </w:rPr>
              <w:t>Approved entry</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Program administrator</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Approval date</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Website/LMS reviewer</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r>
        <w:tc>
          <w:tcPr>
            <w:tcW w:type="dxa" w:w="3168"/>
            <w:shd w:fill="F3F4F6"/>
            <w:tcMar>
              <w:top w:w="80" w:type="dxa"/>
              <w:start w:w="100" w:type="dxa"/>
              <w:bottom w:w="80" w:type="dxa"/>
              <w:end w:w="100" w:type="dxa"/>
            </w:tcMar>
            <w:vAlign w:val="top"/>
          </w:tcPr>
          <w:p>
            <w:r>
              <w:rPr>
                <w:rFonts w:ascii="Montserrat" w:hAnsi="Montserrat" w:eastAsia="Montserrat"/>
                <w:b/>
                <w:color w:val="14294B"/>
                <w:sz w:val="19"/>
              </w:rPr>
              <w:t>Launch date</w:t>
            </w:r>
          </w:p>
        </w:tc>
        <w:tc>
          <w:tcPr>
            <w:tcW w:type="dxa" w:w="6768"/>
            <w:tcMar>
              <w:top w:w="80" w:type="dxa"/>
              <w:start w:w="100" w:type="dxa"/>
              <w:bottom w:w="80" w:type="dxa"/>
              <w:end w:w="100" w:type="dxa"/>
            </w:tcMar>
            <w:vAlign w:val="top"/>
          </w:tcPr>
          <w:p>
            <w:r>
              <w:rPr>
                <w:rFonts w:ascii="Montserrat" w:hAnsi="Montserrat" w:eastAsia="Montserrat"/>
                <w:color w:val="1F2937"/>
                <w:sz w:val="19"/>
              </w:rPr>
              <w:t>______________________________</w:t>
            </w:r>
          </w:p>
        </w:tc>
      </w:tr>
    </w:tbl>
    <w:p>
      <w:r>
        <w:br w:type="page"/>
      </w:r>
    </w:p>
    <w:p>
      <w:pPr>
        <w:pStyle w:val="Heading1"/>
      </w:pPr>
      <w:r>
        <w:t>Source Basis and Currency Control</w:t>
      </w:r>
    </w:p>
    <w:p>
      <w:r>
        <w:rPr>
          <w:rFonts w:ascii="Montserrat" w:hAnsi="Montserrat" w:eastAsia="Montserrat"/>
          <w:b/>
          <w:color w:val="1B9E9A"/>
          <w:sz w:val="22"/>
        </w:rPr>
        <w:t>Official sources rechecked August 3, 2026</w:t>
      </w:r>
    </w:p>
    <w:p>
      <w:r>
        <w:rPr>
          <w:rFonts w:ascii="Montserrat" w:hAnsi="Montserrat" w:eastAsia="Montserrat"/>
          <w:b/>
          <w:color w:val="14294B"/>
          <w:sz w:val="20"/>
        </w:rPr>
        <w:t>Pearson California Board of Behavioral Sciences Candidate Handbook</w:t>
      </w:r>
      <w:r>
        <w:rPr>
          <w:rFonts w:ascii="Montserrat" w:hAnsi="Montserrat" w:eastAsia="Montserrat"/>
          <w:color w:val="1F2937"/>
          <w:sz w:val="18"/>
        </w:rPr>
        <w:br/>
        <w:t>Controls current LMFT item count, pretest count, and timing.</w:t>
        <w:br/>
        <w:t>https://www.pearsonvue.com/content/dam/VUE/vue/en/documents/publications/580500.pdf</w:t>
      </w:r>
    </w:p>
    <w:p>
      <w:r>
        <w:rPr>
          <w:rFonts w:ascii="Montserrat" w:hAnsi="Montserrat" w:eastAsia="Montserrat"/>
          <w:b/>
          <w:color w:val="14294B"/>
          <w:sz w:val="20"/>
        </w:rPr>
        <w:t>California BBS Examination Page</w:t>
      </w:r>
      <w:r>
        <w:rPr>
          <w:rFonts w:ascii="Montserrat" w:hAnsi="Montserrat" w:eastAsia="Montserrat"/>
          <w:color w:val="1F2937"/>
          <w:sz w:val="18"/>
        </w:rPr>
        <w:br/>
        <w:t>Official California LMFT examination and eligibility information.</w:t>
        <w:br/>
        <w:t>https://www.bbs.ca.gov/exams/lmft.html</w:t>
      </w:r>
    </w:p>
    <w:p>
      <w:pPr>
        <w:pStyle w:val="Heading2"/>
      </w:pPr>
      <w:r>
        <w:t>Internal Sources</w:t>
      </w:r>
    </w:p>
    <w:p>
      <w:pPr>
        <w:pStyle w:val="ListBullet"/>
        <w:spacing w:after="40"/>
      </w:pPr>
      <w:r>
        <w:rPr>
          <w:rFonts w:ascii="Montserrat" w:hAnsi="Montserrat" w:eastAsia="Montserrat"/>
          <w:color w:val="1F2937"/>
          <w:sz w:val="21"/>
        </w:rPr>
        <w:t>CTA LMFT Master Program Index and Final Release Audit v1.0 — July 25, 2026.</w:t>
      </w:r>
    </w:p>
    <w:p>
      <w:pPr>
        <w:pStyle w:val="ListBullet"/>
        <w:spacing w:after="40"/>
      </w:pPr>
      <w:r>
        <w:rPr>
          <w:rFonts w:ascii="Montserrat" w:hAnsi="Montserrat" w:eastAsia="Montserrat"/>
          <w:color w:val="1F2937"/>
          <w:sz w:val="21"/>
        </w:rPr>
        <w:t>CTA LMFT/LCSW Question Bank and Comprehensive Exam Production Standard v1.1 — July 25, 2026.</w:t>
      </w:r>
    </w:p>
    <w:p>
      <w:pPr>
        <w:pStyle w:val="ListBullet"/>
        <w:spacing w:after="40"/>
      </w:pPr>
      <w:r>
        <w:rPr>
          <w:rFonts w:ascii="Montserrat" w:hAnsi="Montserrat" w:eastAsia="Montserrat"/>
          <w:color w:val="1F2937"/>
          <w:sz w:val="21"/>
        </w:rPr>
        <w:t>CTA LMFT/LCSW Shared Content and Dual-Development Crosswalk v1.3 — August 3, 2026.</w:t>
      </w:r>
    </w:p>
    <w:p>
      <w:pPr>
        <w:pStyle w:val="ListBullet"/>
        <w:spacing w:after="40"/>
      </w:pPr>
      <w:r>
        <w:rPr>
          <w:rFonts w:ascii="Montserrat" w:hAnsi="Montserrat" w:eastAsia="Montserrat"/>
          <w:color w:val="1F2937"/>
          <w:sz w:val="21"/>
        </w:rPr>
        <w:t>CTA Master Pricing, Subscription &amp; Bundle Catalog v3.1 — $249 clinical-program launch price.</w:t>
      </w:r>
    </w:p>
    <w:tbl>
      <w:tblPr>
        <w:tblW w:type="auto" w:w="0"/>
        <w:jc w:val="center"/>
        <w:tblLook w:firstColumn="1" w:firstRow="1" w:lastColumn="0" w:lastRow="0" w:noHBand="0" w:noVBand="1" w:val="04A0"/>
      </w:tblPr>
      <w:tblGrid>
        <w:gridCol w:w="10224"/>
      </w:tblGrid>
      <w:tr>
        <w:trPr>
          <w:cantSplit/>
          <w:tblHeader/>
        </w:trPr>
        <w:tc>
          <w:tcPr>
            <w:tcW w:type="dxa" w:w="10224"/>
            <w:shd w:fill="FFF4D6"/>
            <w:tcMar>
              <w:top w:w="130" w:type="dxa"/>
              <w:start w:w="160" w:type="dxa"/>
              <w:bottom w:w="130" w:type="dxa"/>
              <w:end w:w="160" w:type="dxa"/>
            </w:tcMar>
            <w:tcBorders>
              <w:left w:val="single" w:sz="20" w:color="C58A00"/>
            </w:tcBorders>
          </w:tcPr>
          <w:p>
            <w:r>
              <w:rPr>
                <w:rFonts w:ascii="Montserrat" w:hAnsi="Montserrat" w:eastAsia="Montserrat"/>
                <w:b/>
                <w:color w:val="14294B"/>
                <w:sz w:val="20"/>
              </w:rPr>
              <w:t>MAINTENANCE TRIGGER</w:t>
              <w:br/>
            </w:r>
            <w:r>
              <w:rPr>
                <w:rFonts w:ascii="Montserrat" w:hAnsi="Montserrat" w:eastAsia="Montserrat"/>
                <w:color w:val="1F2937"/>
                <w:sz w:val="20"/>
              </w:rPr>
              <w:t>Recheck official BBS/Pearson and ASWB candidate information before every major republication, after examination-format changes, and before any claim about question count, timing, scoring, or content weights.</w:t>
            </w:r>
          </w:p>
        </w:tc>
      </w:tr>
    </w:tbl>
    <w:p>
      <w:pPr>
        <w:spacing w:after="0"/>
      </w:pPr>
    </w:p>
    <w:p>
      <w:pPr>
        <w:spacing w:before="360"/>
        <w:jc w:val="center"/>
      </w:pPr>
      <w:r>
        <w:rPr>
          <w:rFonts w:ascii="Montserrat" w:hAnsi="Montserrat" w:eastAsia="Montserrat"/>
          <w:i/>
          <w:color w:val="6B7280"/>
          <w:sz w:val="18"/>
        </w:rPr>
        <w:t>Prepared for same-day website and LMS implementation • August 3, 2026</w:t>
      </w:r>
    </w:p>
    <w:sectPr w:rsidR="00FC693F" w:rsidRPr="0006063C" w:rsidSect="00034616">
      <w:headerReference w:type="default" r:id="rId9"/>
      <w:footerReference w:type="default" r:id="rId10"/>
      <w:pgSz w:w="12240" w:h="15840"/>
      <w:pgMar w:top="893" w:right="1008" w:bottom="893" w:left="1008"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eastAsia="Montserrat"/>
        <w:color w:val="6B7280"/>
        <w:sz w:val="16"/>
      </w:rPr>
      <w:t xml:space="preserve">Clinical Training and Supervision Academy  |  Exam Preparation  |  No CE Credit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1B9E9A"/>
      </w:pBdr>
    </w:pPr>
    <w:r>
      <w:drawing>
        <wp:inline xmlns:a="http://schemas.openxmlformats.org/drawingml/2006/main" xmlns:pic="http://schemas.openxmlformats.org/drawingml/2006/picture">
          <wp:extent cx="1417320" cy="471163"/>
          <wp:docPr id="1" name="Picture 1" descr="Image: item1.xml"/>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417320" cy="471163"/>
                  </a:xfrm>
                  <a:prstGeom prst="rect"/>
                </pic:spPr>
              </pic:pic>
            </a:graphicData>
          </a:graphic>
        </wp:inline>
      </w:drawing>
    </w:r>
    <w:r>
      <w:rPr>
        <w:rFonts w:ascii="Montserrat" w:hAnsi="Montserrat" w:eastAsia="Montserrat"/>
        <w:b/>
        <w:color w:val="14294B"/>
        <w:sz w:val="17"/>
      </w:rPr>
      <w:t xml:space="preserve">   LMFT California Clinical Website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Montserrat" w:hAnsi="Montserrat" w:eastAsia="Montserrat"/>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ontserrat" w:hAnsi="Montserrat" w:eastAsia="Montserrat"/>
      <w:b/>
      <w:bCs/>
      <w:color w:val="14294B"/>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Montserrat" w:hAnsi="Montserrat" w:eastAsia="Montserrat"/>
      <w:b/>
      <w:bCs/>
      <w:color w:val="1B9E9A"/>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Montserrat" w:hAnsi="Montserrat" w:eastAsia="Montserrat"/>
      <w:b/>
      <w:bCs/>
      <w:color w:val="14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eastAsia="Montserrat"/>
      <w:sz w:val="21"/>
    </w:rPr>
  </w:style>
  <w:style w:type="paragraph" w:styleId="ListBullet2">
    <w:name w:val="List Bullet 2"/>
    <w:basedOn w:val="Normal"/>
    <w:uiPriority w:val="99"/>
    <w:unhideWhenUsed/>
    <w:rsid w:val="00326F90"/>
    <w:pPr>
      <w:numPr>
        <w:numId w:val="2"/>
      </w:numPr>
      <w:contextualSpacing/>
    </w:pPr>
    <w:rPr>
      <w:rFonts w:ascii="Montserrat" w:hAnsi="Montserrat" w:eastAsia="Montserrat"/>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eastAsia="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Label">
    <w:name w:val="CTA Label"/>
    <w:pPr>
      <w:spacing w:after="40"/>
    </w:pPr>
    <w:rPr>
      <w:rFonts w:ascii="Montserrat" w:hAnsi="Montserrat" w:eastAsia="Montserrat"/>
      <w:b/>
      <w:color w:val="1B9E9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California Clinical Exam Preparation Program — David Website Release Package</dc:title>
  <dc:subject>Website and LMS release handoff</dc:subject>
  <dc:creator>Clinical Training and Supervision Academy</dc:creator>
  <cp:keywords>CTA, exam preparation, website release, LMS, David</cp:keywords>
  <dc:description>generated by python-docx</dc:description>
  <cp:lastModifiedBy/>
  <cp:revision>1</cp:revision>
  <dcterms:created xsi:type="dcterms:W3CDTF">2013-12-23T23:15:00Z</dcterms:created>
  <dcterms:modified xsi:type="dcterms:W3CDTF">2013-12-23T23:15:00Z</dcterms:modified>
  <cp:category/>
</cp:coreProperties>
</file>