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jc w:val="center"/>
      </w:pPr>
      <w:r>
        <w:rPr>
          <w:rFonts w:ascii="Aptos Display" w:hAnsi="Aptos Display"/>
          <w:b/>
          <w:color w:val="17324D"/>
          <w:sz w:val="46"/>
        </w:rPr>
        <w:t>CTA Exam Preparation Workbook</w:t>
      </w:r>
    </w:p>
    <w:p>
      <w:pPr>
        <w:widowControl/>
        <w:jc w:val="center"/>
      </w:pPr>
      <w:r>
        <w:rPr>
          <w:rFonts w:ascii="Aptos Display" w:hAnsi="Aptos Display"/>
          <w:b/>
          <w:color w:val="17324D"/>
          <w:sz w:val="46"/>
        </w:rPr>
        <w:t>Global Revision and Production Standard</w:t>
      </w:r>
    </w:p>
    <w:p>
      <w:pPr>
        <w:widowControl/>
        <w:jc w:val="center"/>
      </w:pPr>
      <w:r>
        <w:rPr>
          <w:rFonts w:ascii="Aptos" w:hAnsi="Aptos"/>
          <w:color w:val="0B8EBB"/>
          <w:sz w:val="24"/>
        </w:rPr>
        <w:t>LMFT and LCSW Student-Facing Workbooks</w:t>
      </w:r>
    </w:p>
    <w:p>
      <w:pPr>
        <w:widowControl/>
        <w:jc w:val="center"/>
      </w:pPr>
      <w:r>
        <w:rPr>
          <w:rFonts w:ascii="Aptos" w:hAnsi="Aptos"/>
          <w:color w:val="0B8EBB"/>
          <w:sz w:val="24"/>
        </w:rPr>
        <w:t>Internal Admin Resource • Version 1.0 • July 2026</w:t>
      </w:r>
    </w:p>
    <w:p>
      <w:pPr>
        <w:widowControl/>
      </w:pPr>
    </w:p>
    <w:tbl>
      <w:tblPr>
        <w:tblW w:type="auto" w:w="0"/>
        <w:jc w:val="center"/>
        <w:tblLook w:firstColumn="1" w:firstRow="1" w:lastColumn="0" w:lastRow="0" w:noHBand="0" w:noVBand="1" w:val="04A0"/>
      </w:tblPr>
      <w:tblGrid>
        <w:gridCol w:w="10224"/>
      </w:tblGrid>
      <w:tr>
        <w:tc>
          <w:tcPr>
            <w:tcW w:type="dxa" w:w="10224"/>
            <w:shd w:fill="EAF6FA"/>
            <w:tcBorders>
              <w:top w:val="single" w:sz="8" w:color="0B8EBB"/>
              <w:left w:val="single" w:sz="8" w:color="0B8EBB"/>
              <w:bottom w:val="single" w:sz="8" w:color="0B8EBB"/>
              <w:right w:val="single" w:sz="8" w:color="0B8EBB"/>
            </w:tcBorders>
          </w:tcPr>
          <w:p>
            <w:r>
              <w:rPr>
                <w:b/>
                <w:color w:val="17324D"/>
                <w:sz w:val="21"/>
              </w:rPr>
              <w:t>Purpose</w:t>
              <w:br/>
            </w:r>
            <w:r>
              <w:rPr>
                <w:sz w:val="19"/>
              </w:rPr>
              <w:t>This standard converts the 24-workbook draft suite into a consistent, accessible, assessment-sound, publication-ready product line. It governs all revisions from draft status through approved v1.0 release.</w:t>
            </w:r>
          </w:p>
        </w:tc>
      </w:tr>
    </w:tbl>
    <w:p>
      <w:pPr>
        <w:widowControl/>
        <w:spacing w:after="0"/>
      </w:pPr>
    </w:p>
    <w:tbl>
      <w:tblPr>
        <w:tblW w:type="auto" w:w="0"/>
        <w:jc w:val="center"/>
        <w:tblLook w:firstColumn="1" w:firstRow="1" w:lastColumn="0" w:lastRow="0" w:noHBand="0" w:noVBand="1" w:val="04A0"/>
      </w:tblPr>
      <w:tblGrid>
        <w:gridCol w:w="10224"/>
      </w:tblGrid>
      <w:tr>
        <w:tc>
          <w:tcPr>
            <w:tcW w:type="dxa" w:w="10224"/>
            <w:shd w:fill="FFF2CC"/>
            <w:tcBorders>
              <w:top w:val="single" w:sz="8" w:color="D6A84B"/>
              <w:left w:val="single" w:sz="8" w:color="D6A84B"/>
              <w:bottom w:val="single" w:sz="8" w:color="D6A84B"/>
              <w:right w:val="single" w:sz="8" w:color="D6A84B"/>
            </w:tcBorders>
          </w:tcPr>
          <w:p>
            <w:r>
              <w:rPr>
                <w:b/>
                <w:color w:val="17324D"/>
                <w:sz w:val="21"/>
              </w:rPr>
              <w:t>Release Rule</w:t>
              <w:br/>
            </w:r>
            <w:r>
              <w:rPr>
                <w:sz w:val="19"/>
              </w:rPr>
              <w:t>No workbook may be labeled v1.0 until every requirement in the final acceptance checklist is met and documented.</w:t>
            </w:r>
          </w:p>
        </w:tc>
      </w:tr>
    </w:tbl>
    <w:p>
      <w:pPr>
        <w:widowControl/>
        <w:spacing w:after="0"/>
      </w:pPr>
    </w:p>
    <w:p>
      <w:pPr>
        <w:widowControl/>
      </w:pPr>
      <w:r>
        <w:br w:type="page"/>
      </w:r>
    </w:p>
    <w:p>
      <w:pPr>
        <w:pStyle w:val="Heading1"/>
        <w:widowControl/>
        <w:spacing w:before="200" w:after="100"/>
      </w:pPr>
      <w:r>
        <w:t>1. Governing Principles</w:t>
      </w:r>
    </w:p>
    <w:p>
      <w:pPr>
        <w:pStyle w:val="ListBullet"/>
        <w:widowControl/>
        <w:spacing w:after="40"/>
      </w:pPr>
      <w:r>
        <w:t>Student-facing materials must remain conversational, supportive, coaching-oriented, examination-focused, and profession-specific.</w:t>
      </w:r>
    </w:p>
    <w:p>
      <w:pPr>
        <w:pStyle w:val="ListBullet"/>
        <w:widowControl/>
        <w:spacing w:after="40"/>
      </w:pPr>
      <w:r>
        <w:t>Each workbook must teach what candidates need to know, how the concept is tested, common errors, and how to select the best answer.</w:t>
      </w:r>
    </w:p>
    <w:p>
      <w:pPr>
        <w:pStyle w:val="ListBullet"/>
        <w:widowControl/>
        <w:spacing w:after="40"/>
      </w:pPr>
      <w:r>
        <w:t>Content must emphasize applied clinical reasoning rather than unnecessary academic depth or memorization.</w:t>
      </w:r>
    </w:p>
    <w:p>
      <w:pPr>
        <w:pStyle w:val="ListBullet"/>
        <w:widowControl/>
        <w:spacing w:after="40"/>
      </w:pPr>
      <w:r>
        <w:t>All practice questions must be original, have one best answer, and include complete rationales for every option.</w:t>
      </w:r>
    </w:p>
    <w:p>
      <w:pPr>
        <w:pStyle w:val="ListBullet"/>
        <w:widowControl/>
        <w:spacing w:after="40"/>
      </w:pPr>
      <w:r>
        <w:t>The production sequence is: standardize → remediate → rebalance → verify → render → approve.</w:t>
      </w:r>
    </w:p>
    <w:tbl>
      <w:tblPr>
        <w:tblW w:type="auto" w:w="0"/>
        <w:jc w:val="center"/>
        <w:tblLook w:firstColumn="1" w:firstRow="1" w:lastColumn="0" w:lastRow="0" w:noHBand="0" w:noVBand="1" w:val="04A0"/>
      </w:tblPr>
      <w:tblGrid>
        <w:gridCol w:w="10224"/>
      </w:tblGrid>
      <w:tr>
        <w:tc>
          <w:tcPr>
            <w:tcW w:type="dxa" w:w="10224"/>
            <w:shd w:fill="E8F5EC"/>
            <w:tcBorders>
              <w:top w:val="single" w:sz="8" w:color="1E7A46"/>
              <w:left w:val="single" w:sz="8" w:color="1E7A46"/>
              <w:bottom w:val="single" w:sz="8" w:color="1E7A46"/>
              <w:right w:val="single" w:sz="8" w:color="1E7A46"/>
            </w:tcBorders>
          </w:tcPr>
          <w:p>
            <w:r>
              <w:rPr>
                <w:b/>
                <w:color w:val="17324D"/>
                <w:sz w:val="21"/>
              </w:rPr>
              <w:t>CTA Educational Progression</w:t>
              <w:br/>
            </w:r>
            <w:r>
              <w:rPr>
                <w:sz w:val="19"/>
              </w:rPr>
              <w:t>Recognize → Apply → Analyze → Integrate</w:t>
            </w:r>
          </w:p>
        </w:tc>
      </w:tr>
    </w:tbl>
    <w:p>
      <w:pPr>
        <w:widowControl/>
        <w:spacing w:after="0"/>
      </w:pPr>
    </w:p>
    <w:p>
      <w:pPr>
        <w:pStyle w:val="Heading1"/>
        <w:widowControl/>
        <w:spacing w:before="200" w:after="100"/>
      </w:pPr>
      <w:r>
        <w:t>2. Standard Student Workbook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648"/>
            <w:shd w:fill="17324D"/>
            <w:vAlign w:val="center"/>
          </w:tcPr>
          <w:p>
            <w:r/>
            <w:r>
              <w:rPr>
                <w:rFonts w:ascii="Aptos" w:hAnsi="Aptos"/>
                <w:b/>
                <w:color w:val="FFFFFF"/>
                <w:sz w:val="17"/>
              </w:rPr>
              <w:t>Order</w:t>
            </w:r>
          </w:p>
        </w:tc>
        <w:tc>
          <w:tcPr>
            <w:tcW w:type="dxa" w:w="2232"/>
            <w:shd w:fill="17324D"/>
            <w:vAlign w:val="center"/>
          </w:tcPr>
          <w:p>
            <w:r/>
            <w:r>
              <w:rPr>
                <w:rFonts w:ascii="Aptos" w:hAnsi="Aptos"/>
                <w:b/>
                <w:color w:val="FFFFFF"/>
                <w:sz w:val="17"/>
              </w:rPr>
              <w:t>Required Section</w:t>
            </w:r>
          </w:p>
        </w:tc>
        <w:tc>
          <w:tcPr>
            <w:tcW w:type="dxa" w:w="6768"/>
            <w:shd w:fill="17324D"/>
            <w:vAlign w:val="center"/>
          </w:tcPr>
          <w:p>
            <w:r/>
            <w:r>
              <w:rPr>
                <w:rFonts w:ascii="Aptos" w:hAnsi="Aptos"/>
                <w:b/>
                <w:color w:val="FFFFFF"/>
                <w:sz w:val="17"/>
              </w:rPr>
              <w:t>Production Standard</w:t>
            </w:r>
          </w:p>
        </w:tc>
      </w:tr>
      <w:tr>
        <w:tc>
          <w:tcPr>
            <w:tcW w:type="dxa" w:w="648"/>
            <w:vAlign w:val="center"/>
            <w:shd w:fill="F3F4F6"/>
          </w:tcPr>
          <w:p>
            <w:r/>
            <w:r>
              <w:rPr>
                <w:rFonts w:ascii="Aptos" w:hAnsi="Aptos"/>
                <w:b w:val="0"/>
                <w:sz w:val="17"/>
              </w:rPr>
              <w:t>1</w:t>
            </w:r>
          </w:p>
        </w:tc>
        <w:tc>
          <w:tcPr>
            <w:tcW w:type="dxa" w:w="2232"/>
            <w:vAlign w:val="center"/>
            <w:shd w:fill="F3F4F6"/>
          </w:tcPr>
          <w:p>
            <w:r/>
            <w:r>
              <w:rPr>
                <w:rFonts w:ascii="Aptos" w:hAnsi="Aptos"/>
                <w:b w:val="0"/>
                <w:sz w:val="17"/>
              </w:rPr>
              <w:t>Cover Page</w:t>
            </w:r>
          </w:p>
        </w:tc>
        <w:tc>
          <w:tcPr>
            <w:tcW w:type="dxa" w:w="6768"/>
            <w:vAlign w:val="center"/>
            <w:shd w:fill="F3F4F6"/>
          </w:tcPr>
          <w:p>
            <w:r/>
            <w:r>
              <w:rPr>
                <w:rFonts w:ascii="Aptos" w:hAnsi="Aptos"/>
                <w:b w:val="0"/>
                <w:sz w:val="17"/>
              </w:rPr>
              <w:t>Canonical title, profession, workbook number, student-facing label, version, CTA brand.</w:t>
            </w:r>
          </w:p>
        </w:tc>
      </w:tr>
      <w:tr>
        <w:tc>
          <w:tcPr>
            <w:tcW w:type="dxa" w:w="648"/>
            <w:vAlign w:val="center"/>
          </w:tcPr>
          <w:p>
            <w:r/>
            <w:r>
              <w:rPr>
                <w:rFonts w:ascii="Aptos" w:hAnsi="Aptos"/>
                <w:b w:val="0"/>
                <w:sz w:val="17"/>
              </w:rPr>
              <w:t>2</w:t>
            </w:r>
          </w:p>
        </w:tc>
        <w:tc>
          <w:tcPr>
            <w:tcW w:type="dxa" w:w="2232"/>
            <w:vAlign w:val="center"/>
          </w:tcPr>
          <w:p>
            <w:r/>
            <w:r>
              <w:rPr>
                <w:rFonts w:ascii="Aptos" w:hAnsi="Aptos"/>
                <w:b w:val="0"/>
                <w:sz w:val="17"/>
              </w:rPr>
              <w:t>Publication and Use Notice</w:t>
            </w:r>
          </w:p>
        </w:tc>
        <w:tc>
          <w:tcPr>
            <w:tcW w:type="dxa" w:w="6768"/>
            <w:vAlign w:val="center"/>
          </w:tcPr>
          <w:p>
            <w:r/>
            <w:r>
              <w:rPr>
                <w:rFonts w:ascii="Aptos" w:hAnsi="Aptos"/>
                <w:b w:val="0"/>
                <w:sz w:val="17"/>
              </w:rPr>
              <w:t>Educational purpose, non-affiliation, no guarantee of passage, law/current-source notice where applicable.</w:t>
            </w:r>
          </w:p>
        </w:tc>
      </w:tr>
      <w:tr>
        <w:tc>
          <w:tcPr>
            <w:tcW w:type="dxa" w:w="648"/>
            <w:vAlign w:val="center"/>
            <w:shd w:fill="F3F4F6"/>
          </w:tcPr>
          <w:p>
            <w:r/>
            <w:r>
              <w:rPr>
                <w:rFonts w:ascii="Aptos" w:hAnsi="Aptos"/>
                <w:b w:val="0"/>
                <w:sz w:val="17"/>
              </w:rPr>
              <w:t>3</w:t>
            </w:r>
          </w:p>
        </w:tc>
        <w:tc>
          <w:tcPr>
            <w:tcW w:type="dxa" w:w="2232"/>
            <w:vAlign w:val="center"/>
            <w:shd w:fill="F3F4F6"/>
          </w:tcPr>
          <w:p>
            <w:r/>
            <w:r>
              <w:rPr>
                <w:rFonts w:ascii="Aptos" w:hAnsi="Aptos"/>
                <w:b w:val="0"/>
                <w:sz w:val="17"/>
              </w:rPr>
              <w:t>How to Use This Workbook</w:t>
            </w:r>
          </w:p>
        </w:tc>
        <w:tc>
          <w:tcPr>
            <w:tcW w:type="dxa" w:w="6768"/>
            <w:vAlign w:val="center"/>
            <w:shd w:fill="F3F4F6"/>
          </w:tcPr>
          <w:p>
            <w:r/>
            <w:r>
              <w:rPr>
                <w:rFonts w:ascii="Aptos" w:hAnsi="Aptos"/>
                <w:b w:val="0"/>
                <w:sz w:val="17"/>
              </w:rPr>
              <w:t>Brief study guidance and relationship to the broader program.</w:t>
            </w:r>
          </w:p>
        </w:tc>
      </w:tr>
      <w:tr>
        <w:tc>
          <w:tcPr>
            <w:tcW w:type="dxa" w:w="648"/>
            <w:vAlign w:val="center"/>
          </w:tcPr>
          <w:p>
            <w:r/>
            <w:r>
              <w:rPr>
                <w:rFonts w:ascii="Aptos" w:hAnsi="Aptos"/>
                <w:b w:val="0"/>
                <w:sz w:val="17"/>
              </w:rPr>
              <w:t>4</w:t>
            </w:r>
          </w:p>
        </w:tc>
        <w:tc>
          <w:tcPr>
            <w:tcW w:type="dxa" w:w="2232"/>
            <w:vAlign w:val="center"/>
          </w:tcPr>
          <w:p>
            <w:r/>
            <w:r>
              <w:rPr>
                <w:rFonts w:ascii="Aptos" w:hAnsi="Aptos"/>
                <w:b w:val="0"/>
                <w:sz w:val="17"/>
              </w:rPr>
              <w:t>Learning Objectives</w:t>
            </w:r>
          </w:p>
        </w:tc>
        <w:tc>
          <w:tcPr>
            <w:tcW w:type="dxa" w:w="6768"/>
            <w:vAlign w:val="center"/>
          </w:tcPr>
          <w:p>
            <w:r/>
            <w:r>
              <w:rPr>
                <w:rFonts w:ascii="Aptos" w:hAnsi="Aptos"/>
                <w:b w:val="0"/>
                <w:sz w:val="17"/>
              </w:rPr>
              <w:t>Exactly 3–5 measurable objectives using approved action verbs.</w:t>
            </w:r>
          </w:p>
        </w:tc>
      </w:tr>
      <w:tr>
        <w:tc>
          <w:tcPr>
            <w:tcW w:type="dxa" w:w="648"/>
            <w:vAlign w:val="center"/>
            <w:shd w:fill="F3F4F6"/>
          </w:tcPr>
          <w:p>
            <w:r/>
            <w:r>
              <w:rPr>
                <w:rFonts w:ascii="Aptos" w:hAnsi="Aptos"/>
                <w:b w:val="0"/>
                <w:sz w:val="17"/>
              </w:rPr>
              <w:t>5</w:t>
            </w:r>
          </w:p>
        </w:tc>
        <w:tc>
          <w:tcPr>
            <w:tcW w:type="dxa" w:w="2232"/>
            <w:vAlign w:val="center"/>
            <w:shd w:fill="F3F4F6"/>
          </w:tcPr>
          <w:p>
            <w:r/>
            <w:r>
              <w:rPr>
                <w:rFonts w:ascii="Aptos" w:hAnsi="Aptos"/>
                <w:b w:val="0"/>
                <w:sz w:val="17"/>
              </w:rPr>
              <w:t>Why This Topic Matters</w:t>
            </w:r>
          </w:p>
        </w:tc>
        <w:tc>
          <w:tcPr>
            <w:tcW w:type="dxa" w:w="6768"/>
            <w:vAlign w:val="center"/>
            <w:shd w:fill="F3F4F6"/>
          </w:tcPr>
          <w:p>
            <w:r/>
            <w:r>
              <w:rPr>
                <w:rFonts w:ascii="Aptos" w:hAnsi="Aptos"/>
                <w:b w:val="0"/>
                <w:sz w:val="17"/>
              </w:rPr>
              <w:t>Exam relevance and clinical relevance.</w:t>
            </w:r>
          </w:p>
        </w:tc>
      </w:tr>
      <w:tr>
        <w:tc>
          <w:tcPr>
            <w:tcW w:type="dxa" w:w="648"/>
            <w:vAlign w:val="center"/>
          </w:tcPr>
          <w:p>
            <w:r/>
            <w:r>
              <w:rPr>
                <w:rFonts w:ascii="Aptos" w:hAnsi="Aptos"/>
                <w:b w:val="0"/>
                <w:sz w:val="17"/>
              </w:rPr>
              <w:t>6</w:t>
            </w:r>
          </w:p>
        </w:tc>
        <w:tc>
          <w:tcPr>
            <w:tcW w:type="dxa" w:w="2232"/>
            <w:vAlign w:val="center"/>
          </w:tcPr>
          <w:p>
            <w:r/>
            <w:r>
              <w:rPr>
                <w:rFonts w:ascii="Aptos" w:hAnsi="Aptos"/>
                <w:b w:val="0"/>
                <w:sz w:val="17"/>
              </w:rPr>
              <w:t>Key Concepts</w:t>
            </w:r>
          </w:p>
        </w:tc>
        <w:tc>
          <w:tcPr>
            <w:tcW w:type="dxa" w:w="6768"/>
            <w:vAlign w:val="center"/>
          </w:tcPr>
          <w:p>
            <w:r/>
            <w:r>
              <w:rPr>
                <w:rFonts w:ascii="Aptos" w:hAnsi="Aptos"/>
                <w:b w:val="0"/>
                <w:sz w:val="17"/>
              </w:rPr>
              <w:t>High-yield content in concise, readable sections.</w:t>
            </w:r>
          </w:p>
        </w:tc>
      </w:tr>
      <w:tr>
        <w:tc>
          <w:tcPr>
            <w:tcW w:type="dxa" w:w="648"/>
            <w:vAlign w:val="center"/>
            <w:shd w:fill="F3F4F6"/>
          </w:tcPr>
          <w:p>
            <w:r/>
            <w:r>
              <w:rPr>
                <w:rFonts w:ascii="Aptos" w:hAnsi="Aptos"/>
                <w:b w:val="0"/>
                <w:sz w:val="17"/>
              </w:rPr>
              <w:t>7</w:t>
            </w:r>
          </w:p>
        </w:tc>
        <w:tc>
          <w:tcPr>
            <w:tcW w:type="dxa" w:w="2232"/>
            <w:vAlign w:val="center"/>
            <w:shd w:fill="F3F4F6"/>
          </w:tcPr>
          <w:p>
            <w:r/>
            <w:r>
              <w:rPr>
                <w:rFonts w:ascii="Aptos" w:hAnsi="Aptos"/>
                <w:b w:val="0"/>
                <w:sz w:val="17"/>
              </w:rPr>
              <w:t>Clinical Applications</w:t>
            </w:r>
          </w:p>
        </w:tc>
        <w:tc>
          <w:tcPr>
            <w:tcW w:type="dxa" w:w="6768"/>
            <w:vAlign w:val="center"/>
            <w:shd w:fill="F3F4F6"/>
          </w:tcPr>
          <w:p>
            <w:r/>
            <w:r>
              <w:rPr>
                <w:rFonts w:ascii="Aptos" w:hAnsi="Aptos"/>
                <w:b w:val="0"/>
                <w:sz w:val="17"/>
              </w:rPr>
              <w:t>Profession-specific application and sequencing.</w:t>
            </w:r>
          </w:p>
        </w:tc>
      </w:tr>
      <w:tr>
        <w:tc>
          <w:tcPr>
            <w:tcW w:type="dxa" w:w="648"/>
            <w:vAlign w:val="center"/>
          </w:tcPr>
          <w:p>
            <w:r/>
            <w:r>
              <w:rPr>
                <w:rFonts w:ascii="Aptos" w:hAnsi="Aptos"/>
                <w:b w:val="0"/>
                <w:sz w:val="17"/>
              </w:rPr>
              <w:t>8</w:t>
            </w:r>
          </w:p>
        </w:tc>
        <w:tc>
          <w:tcPr>
            <w:tcW w:type="dxa" w:w="2232"/>
            <w:vAlign w:val="center"/>
          </w:tcPr>
          <w:p>
            <w:r/>
            <w:r>
              <w:rPr>
                <w:rFonts w:ascii="Aptos" w:hAnsi="Aptos"/>
                <w:b w:val="0"/>
                <w:sz w:val="17"/>
              </w:rPr>
              <w:t>Common Exam Traps</w:t>
            </w:r>
          </w:p>
        </w:tc>
        <w:tc>
          <w:tcPr>
            <w:tcW w:type="dxa" w:w="6768"/>
            <w:vAlign w:val="center"/>
          </w:tcPr>
          <w:p>
            <w:r/>
            <w:r>
              <w:rPr>
                <w:rFonts w:ascii="Aptos" w:hAnsi="Aptos"/>
                <w:b w:val="0"/>
                <w:sz w:val="17"/>
              </w:rPr>
              <w:t>Frequent distractor patterns and reasoning errors.</w:t>
            </w:r>
          </w:p>
        </w:tc>
      </w:tr>
      <w:tr>
        <w:tc>
          <w:tcPr>
            <w:tcW w:type="dxa" w:w="648"/>
            <w:vAlign w:val="center"/>
            <w:shd w:fill="F3F4F6"/>
          </w:tcPr>
          <w:p>
            <w:r/>
            <w:r>
              <w:rPr>
                <w:rFonts w:ascii="Aptos" w:hAnsi="Aptos"/>
                <w:b w:val="0"/>
                <w:sz w:val="17"/>
              </w:rPr>
              <w:t>9</w:t>
            </w:r>
          </w:p>
        </w:tc>
        <w:tc>
          <w:tcPr>
            <w:tcW w:type="dxa" w:w="2232"/>
            <w:vAlign w:val="center"/>
            <w:shd w:fill="F3F4F6"/>
          </w:tcPr>
          <w:p>
            <w:r/>
            <w:r>
              <w:rPr>
                <w:rFonts w:ascii="Aptos" w:hAnsi="Aptos"/>
                <w:b w:val="0"/>
                <w:sz w:val="17"/>
              </w:rPr>
              <w:t>Exam Strategy Guidance</w:t>
            </w:r>
          </w:p>
        </w:tc>
        <w:tc>
          <w:tcPr>
            <w:tcW w:type="dxa" w:w="6768"/>
            <w:vAlign w:val="center"/>
            <w:shd w:fill="F3F4F6"/>
          </w:tcPr>
          <w:p>
            <w:r/>
            <w:r>
              <w:rPr>
                <w:rFonts w:ascii="Aptos" w:hAnsi="Aptos"/>
                <w:b w:val="0"/>
                <w:sz w:val="17"/>
              </w:rPr>
              <w:t>Clues, priorities, sequencing, and elimination methods.</w:t>
            </w:r>
          </w:p>
        </w:tc>
      </w:tr>
      <w:tr>
        <w:tc>
          <w:tcPr>
            <w:tcW w:type="dxa" w:w="648"/>
            <w:vAlign w:val="center"/>
          </w:tcPr>
          <w:p>
            <w:r/>
            <w:r>
              <w:rPr>
                <w:rFonts w:ascii="Aptos" w:hAnsi="Aptos"/>
                <w:b w:val="0"/>
                <w:sz w:val="17"/>
              </w:rPr>
              <w:t>10</w:t>
            </w:r>
          </w:p>
        </w:tc>
        <w:tc>
          <w:tcPr>
            <w:tcW w:type="dxa" w:w="2232"/>
            <w:vAlign w:val="center"/>
          </w:tcPr>
          <w:p>
            <w:r/>
            <w:r>
              <w:rPr>
                <w:rFonts w:ascii="Aptos" w:hAnsi="Aptos"/>
                <w:b w:val="0"/>
                <w:sz w:val="17"/>
              </w:rPr>
              <w:t>Memory Aids / Quick Reference</w:t>
            </w:r>
          </w:p>
        </w:tc>
        <w:tc>
          <w:tcPr>
            <w:tcW w:type="dxa" w:w="6768"/>
            <w:vAlign w:val="center"/>
          </w:tcPr>
          <w:p>
            <w:r/>
            <w:r>
              <w:rPr>
                <w:rFonts w:ascii="Aptos" w:hAnsi="Aptos"/>
                <w:b w:val="0"/>
                <w:sz w:val="17"/>
              </w:rPr>
              <w:t>Mnemonics, comparison tables, or decision sequences.</w:t>
            </w:r>
          </w:p>
        </w:tc>
      </w:tr>
      <w:tr>
        <w:tc>
          <w:tcPr>
            <w:tcW w:type="dxa" w:w="648"/>
            <w:vAlign w:val="center"/>
            <w:shd w:fill="F3F4F6"/>
          </w:tcPr>
          <w:p>
            <w:r/>
            <w:r>
              <w:rPr>
                <w:rFonts w:ascii="Aptos" w:hAnsi="Aptos"/>
                <w:b w:val="0"/>
                <w:sz w:val="17"/>
              </w:rPr>
              <w:t>11</w:t>
            </w:r>
          </w:p>
        </w:tc>
        <w:tc>
          <w:tcPr>
            <w:tcW w:type="dxa" w:w="2232"/>
            <w:vAlign w:val="center"/>
            <w:shd w:fill="F3F4F6"/>
          </w:tcPr>
          <w:p>
            <w:r/>
            <w:r>
              <w:rPr>
                <w:rFonts w:ascii="Aptos" w:hAnsi="Aptos"/>
                <w:b w:val="0"/>
                <w:sz w:val="17"/>
              </w:rPr>
              <w:t>Student Practice Worksheet</w:t>
            </w:r>
          </w:p>
        </w:tc>
        <w:tc>
          <w:tcPr>
            <w:tcW w:type="dxa" w:w="6768"/>
            <w:vAlign w:val="center"/>
            <w:shd w:fill="F3F4F6"/>
          </w:tcPr>
          <w:p>
            <w:r/>
            <w:r>
              <w:rPr>
                <w:rFonts w:ascii="Aptos" w:hAnsi="Aptos"/>
                <w:b w:val="0"/>
                <w:sz w:val="17"/>
              </w:rPr>
              <w:t>At least one application tool when useful.</w:t>
            </w:r>
          </w:p>
        </w:tc>
      </w:tr>
      <w:tr>
        <w:tc>
          <w:tcPr>
            <w:tcW w:type="dxa" w:w="648"/>
            <w:vAlign w:val="center"/>
          </w:tcPr>
          <w:p>
            <w:r/>
            <w:r>
              <w:rPr>
                <w:rFonts w:ascii="Aptos" w:hAnsi="Aptos"/>
                <w:b w:val="0"/>
                <w:sz w:val="17"/>
              </w:rPr>
              <w:t>12</w:t>
            </w:r>
          </w:p>
        </w:tc>
        <w:tc>
          <w:tcPr>
            <w:tcW w:type="dxa" w:w="2232"/>
            <w:vAlign w:val="center"/>
          </w:tcPr>
          <w:p>
            <w:r/>
            <w:r>
              <w:rPr>
                <w:rFonts w:ascii="Aptos" w:hAnsi="Aptos"/>
                <w:b w:val="0"/>
                <w:sz w:val="17"/>
              </w:rPr>
              <w:t>Chapter Summary</w:t>
            </w:r>
          </w:p>
        </w:tc>
        <w:tc>
          <w:tcPr>
            <w:tcW w:type="dxa" w:w="6768"/>
            <w:vAlign w:val="center"/>
          </w:tcPr>
          <w:p>
            <w:r/>
            <w:r>
              <w:rPr>
                <w:rFonts w:ascii="Aptos" w:hAnsi="Aptos"/>
                <w:b w:val="0"/>
                <w:sz w:val="17"/>
              </w:rPr>
              <w:t>4–6 concise bullets; no paragraphs.</w:t>
            </w:r>
          </w:p>
        </w:tc>
      </w:tr>
      <w:tr>
        <w:tc>
          <w:tcPr>
            <w:tcW w:type="dxa" w:w="648"/>
            <w:vAlign w:val="center"/>
            <w:shd w:fill="F3F4F6"/>
          </w:tcPr>
          <w:p>
            <w:r/>
            <w:r>
              <w:rPr>
                <w:rFonts w:ascii="Aptos" w:hAnsi="Aptos"/>
                <w:b w:val="0"/>
                <w:sz w:val="17"/>
              </w:rPr>
              <w:t>13</w:t>
            </w:r>
          </w:p>
        </w:tc>
        <w:tc>
          <w:tcPr>
            <w:tcW w:type="dxa" w:w="2232"/>
            <w:vAlign w:val="center"/>
            <w:shd w:fill="F3F4F6"/>
          </w:tcPr>
          <w:p>
            <w:r/>
            <w:r>
              <w:rPr>
                <w:rFonts w:ascii="Aptos" w:hAnsi="Aptos"/>
                <w:b w:val="0"/>
                <w:sz w:val="17"/>
              </w:rPr>
              <w:t>Knowledge Check</w:t>
            </w:r>
          </w:p>
        </w:tc>
        <w:tc>
          <w:tcPr>
            <w:tcW w:type="dxa" w:w="6768"/>
            <w:vAlign w:val="center"/>
            <w:shd w:fill="F3F4F6"/>
          </w:tcPr>
          <w:p>
            <w:r/>
            <w:r>
              <w:rPr>
                <w:rFonts w:ascii="Aptos" w:hAnsi="Aptos"/>
                <w:b w:val="0"/>
                <w:sz w:val="17"/>
              </w:rPr>
              <w:t>10 original questions unless the product is an approved mock examination.</w:t>
            </w:r>
          </w:p>
        </w:tc>
      </w:tr>
      <w:tr>
        <w:tc>
          <w:tcPr>
            <w:tcW w:type="dxa" w:w="648"/>
            <w:vAlign w:val="center"/>
          </w:tcPr>
          <w:p>
            <w:r/>
            <w:r>
              <w:rPr>
                <w:rFonts w:ascii="Aptos" w:hAnsi="Aptos"/>
                <w:b w:val="0"/>
                <w:sz w:val="17"/>
              </w:rPr>
              <w:t>14</w:t>
            </w:r>
          </w:p>
        </w:tc>
        <w:tc>
          <w:tcPr>
            <w:tcW w:type="dxa" w:w="2232"/>
            <w:vAlign w:val="center"/>
          </w:tcPr>
          <w:p>
            <w:r/>
            <w:r>
              <w:rPr>
                <w:rFonts w:ascii="Aptos" w:hAnsi="Aptos"/>
                <w:b w:val="0"/>
                <w:sz w:val="17"/>
              </w:rPr>
              <w:t>Detailed Rationales</w:t>
            </w:r>
          </w:p>
        </w:tc>
        <w:tc>
          <w:tcPr>
            <w:tcW w:type="dxa" w:w="6768"/>
            <w:vAlign w:val="center"/>
          </w:tcPr>
          <w:p>
            <w:r/>
            <w:r>
              <w:rPr>
                <w:rFonts w:ascii="Aptos" w:hAnsi="Aptos"/>
                <w:b w:val="0"/>
                <w:sz w:val="17"/>
              </w:rPr>
              <w:t>Correct answer, why correct, why every other option is incorrect, exam strategy.</w:t>
            </w:r>
          </w:p>
        </w:tc>
      </w:tr>
      <w:tr>
        <w:tc>
          <w:tcPr>
            <w:tcW w:type="dxa" w:w="648"/>
            <w:vAlign w:val="center"/>
            <w:shd w:fill="F3F4F6"/>
          </w:tcPr>
          <w:p>
            <w:r/>
            <w:r>
              <w:rPr>
                <w:rFonts w:ascii="Aptos" w:hAnsi="Aptos"/>
                <w:b w:val="0"/>
                <w:sz w:val="17"/>
              </w:rPr>
              <w:t>15</w:t>
            </w:r>
          </w:p>
        </w:tc>
        <w:tc>
          <w:tcPr>
            <w:tcW w:type="dxa" w:w="2232"/>
            <w:vAlign w:val="center"/>
            <w:shd w:fill="F3F4F6"/>
          </w:tcPr>
          <w:p>
            <w:r/>
            <w:r>
              <w:rPr>
                <w:rFonts w:ascii="Aptos" w:hAnsi="Aptos"/>
                <w:b w:val="0"/>
                <w:sz w:val="17"/>
              </w:rPr>
              <w:t>Study Planning</w:t>
            </w:r>
          </w:p>
        </w:tc>
        <w:tc>
          <w:tcPr>
            <w:tcW w:type="dxa" w:w="6768"/>
            <w:vAlign w:val="center"/>
            <w:shd w:fill="F3F4F6"/>
          </w:tcPr>
          <w:p>
            <w:r/>
            <w:r>
              <w:rPr>
                <w:rFonts w:ascii="Aptos" w:hAnsi="Aptos"/>
                <w:b w:val="0"/>
                <w:sz w:val="17"/>
              </w:rPr>
              <w:t>Reflection, error log, or next-step plan.</w:t>
            </w:r>
          </w:p>
        </w:tc>
      </w:tr>
      <w:tr>
        <w:tc>
          <w:tcPr>
            <w:tcW w:type="dxa" w:w="648"/>
            <w:vAlign w:val="center"/>
          </w:tcPr>
          <w:p>
            <w:r/>
            <w:r>
              <w:rPr>
                <w:rFonts w:ascii="Aptos" w:hAnsi="Aptos"/>
                <w:b w:val="0"/>
                <w:sz w:val="17"/>
              </w:rPr>
              <w:t>16</w:t>
            </w:r>
          </w:p>
        </w:tc>
        <w:tc>
          <w:tcPr>
            <w:tcW w:type="dxa" w:w="2232"/>
            <w:vAlign w:val="center"/>
          </w:tcPr>
          <w:p>
            <w:r/>
            <w:r>
              <w:rPr>
                <w:rFonts w:ascii="Aptos" w:hAnsi="Aptos"/>
                <w:b w:val="0"/>
                <w:sz w:val="17"/>
              </w:rPr>
              <w:t>Sources and Currency Note</w:t>
            </w:r>
          </w:p>
        </w:tc>
        <w:tc>
          <w:tcPr>
            <w:tcW w:type="dxa" w:w="6768"/>
            <w:vAlign w:val="center"/>
          </w:tcPr>
          <w:p>
            <w:r/>
            <w:r>
              <w:rPr>
                <w:rFonts w:ascii="Aptos" w:hAnsi="Aptos"/>
                <w:b w:val="0"/>
                <w:sz w:val="17"/>
              </w:rPr>
              <w:t>Student-appropriate source list; no internal development notes.</w:t>
            </w:r>
          </w:p>
        </w:tc>
      </w:tr>
    </w:tbl>
    <w:p>
      <w:pPr>
        <w:widowControl/>
        <w:spacing w:after="0"/>
      </w:pPr>
    </w:p>
    <w:p>
      <w:pPr>
        <w:pStyle w:val="Heading1"/>
        <w:widowControl/>
        <w:spacing w:before="200" w:after="100"/>
      </w:pPr>
      <w:r>
        <w:t>3. Learning Objective Standard</w:t>
      </w:r>
    </w:p>
    <w:p>
      <w:pPr>
        <w:pStyle w:val="ListBullet"/>
        <w:widowControl/>
        <w:spacing w:after="40"/>
      </w:pPr>
      <w:r>
        <w:t>Use exactly 3–5 objectives per workbook.</w:t>
      </w:r>
    </w:p>
    <w:p>
      <w:pPr>
        <w:pStyle w:val="ListBullet"/>
        <w:widowControl/>
        <w:spacing w:after="40"/>
      </w:pPr>
      <w:r>
        <w:t>Use observable action verbs such as identify, explain, distinguish, select, apply, compare, and evaluate.</w:t>
      </w:r>
    </w:p>
    <w:p>
      <w:pPr>
        <w:pStyle w:val="ListBullet"/>
        <w:widowControl/>
        <w:spacing w:after="40"/>
      </w:pPr>
      <w:r>
        <w:t>Avoid vague verbs such as understand, learn, know, or become familiar with.</w:t>
      </w:r>
    </w:p>
    <w:p>
      <w:pPr>
        <w:pStyle w:val="ListBullet"/>
        <w:widowControl/>
        <w:spacing w:after="40"/>
      </w:pPr>
      <w:r>
        <w:t>Each objective must map to content and at least one assessment item or application activity.</w:t>
      </w:r>
    </w:p>
    <w:p>
      <w:pPr>
        <w:pStyle w:val="ListBullet"/>
        <w:widowControl/>
        <w:spacing w:after="40"/>
      </w:pPr>
      <w:r>
        <w:t>Objectives should describe examination-relevant performance, not broad graduate-level mastery.</w:t>
      </w:r>
    </w:p>
    <w:tbl>
      <w:tblPr>
        <w:tblW w:type="auto" w:w="0"/>
        <w:jc w:val="center"/>
        <w:tblLook w:firstColumn="1" w:firstRow="1" w:lastColumn="0" w:lastRow="0" w:noHBand="0" w:noVBand="1" w:val="04A0"/>
      </w:tblPr>
      <w:tblGrid>
        <w:gridCol w:w="10224"/>
      </w:tblGrid>
      <w:tr>
        <w:tc>
          <w:tcPr>
            <w:tcW w:type="dxa" w:w="10224"/>
            <w:shd w:fill="E8F5EC"/>
            <w:tcBorders>
              <w:top w:val="single" w:sz="8" w:color="1E7A46"/>
              <w:left w:val="single" w:sz="8" w:color="1E7A46"/>
              <w:bottom w:val="single" w:sz="8" w:color="1E7A46"/>
              <w:right w:val="single" w:sz="8" w:color="1E7A46"/>
            </w:tcBorders>
          </w:tcPr>
          <w:p>
            <w:r>
              <w:rPr>
                <w:b/>
                <w:color w:val="17324D"/>
                <w:sz w:val="21"/>
              </w:rPr>
              <w:t>Approved Pattern</w:t>
              <w:br/>
            </w:r>
            <w:r>
              <w:rPr>
                <w:sz w:val="19"/>
              </w:rPr>
              <w:t>By the end of this workbook, the candidate will be able to identify…, distinguish…, apply…, and select…</w:t>
            </w:r>
          </w:p>
        </w:tc>
      </w:tr>
    </w:tbl>
    <w:p>
      <w:pPr>
        <w:widowControl/>
        <w:spacing w:after="0"/>
      </w:pPr>
    </w:p>
    <w:p>
      <w:pPr>
        <w:pStyle w:val="Heading1"/>
        <w:widowControl/>
        <w:spacing w:before="200" w:after="100"/>
      </w:pPr>
      <w:r>
        <w:t>4. Assessment Integrity Standard</w:t>
      </w:r>
    </w:p>
    <w:p>
      <w:pPr>
        <w:pStyle w:val="Heading2"/>
        <w:widowControl/>
        <w:spacing w:before="200" w:after="100"/>
      </w:pPr>
      <w:r>
        <w:t>4.1 Chapter Quiz Structure</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7324D"/>
            <w:vAlign w:val="center"/>
          </w:tcPr>
          <w:p>
            <w:r/>
            <w:r>
              <w:rPr>
                <w:rFonts w:ascii="Aptos" w:hAnsi="Aptos"/>
                <w:b/>
                <w:color w:val="FFFFFF"/>
                <w:sz w:val="17"/>
              </w:rPr>
              <w:t>Question Type</w:t>
            </w:r>
          </w:p>
        </w:tc>
        <w:tc>
          <w:tcPr>
            <w:tcW w:type="dxa" w:w="1440"/>
            <w:shd w:fill="17324D"/>
            <w:vAlign w:val="center"/>
          </w:tcPr>
          <w:p>
            <w:r/>
            <w:r>
              <w:rPr>
                <w:rFonts w:ascii="Aptos" w:hAnsi="Aptos"/>
                <w:b/>
                <w:color w:val="FFFFFF"/>
                <w:sz w:val="17"/>
              </w:rPr>
              <w:t>Target Count</w:t>
            </w:r>
          </w:p>
        </w:tc>
        <w:tc>
          <w:tcPr>
            <w:tcW w:type="dxa" w:w="5328"/>
            <w:shd w:fill="17324D"/>
            <w:vAlign w:val="center"/>
          </w:tcPr>
          <w:p>
            <w:r/>
            <w:r>
              <w:rPr>
                <w:rFonts w:ascii="Aptos" w:hAnsi="Aptos"/>
                <w:b/>
                <w:color w:val="FFFFFF"/>
                <w:sz w:val="17"/>
              </w:rPr>
              <w:t>Purpose</w:t>
            </w:r>
          </w:p>
        </w:tc>
      </w:tr>
      <w:tr>
        <w:tc>
          <w:tcPr>
            <w:tcW w:type="dxa" w:w="2880"/>
            <w:vAlign w:val="center"/>
            <w:shd w:fill="F3F4F6"/>
          </w:tcPr>
          <w:p>
            <w:r/>
            <w:r>
              <w:rPr>
                <w:rFonts w:ascii="Aptos" w:hAnsi="Aptos"/>
                <w:b w:val="0"/>
                <w:sz w:val="17"/>
              </w:rPr>
              <w:t>Knowledge &amp; Recall</w:t>
            </w:r>
          </w:p>
        </w:tc>
        <w:tc>
          <w:tcPr>
            <w:tcW w:type="dxa" w:w="1440"/>
            <w:vAlign w:val="center"/>
            <w:shd w:fill="F3F4F6"/>
          </w:tcPr>
          <w:p>
            <w:r/>
            <w:r>
              <w:rPr>
                <w:rFonts w:ascii="Aptos" w:hAnsi="Aptos"/>
                <w:b w:val="0"/>
                <w:sz w:val="17"/>
              </w:rPr>
              <w:t>3</w:t>
            </w:r>
          </w:p>
        </w:tc>
        <w:tc>
          <w:tcPr>
            <w:tcW w:type="dxa" w:w="5328"/>
            <w:vAlign w:val="center"/>
            <w:shd w:fill="F3F4F6"/>
          </w:tcPr>
          <w:p>
            <w:r/>
            <w:r>
              <w:rPr>
                <w:rFonts w:ascii="Aptos" w:hAnsi="Aptos"/>
                <w:b w:val="0"/>
                <w:sz w:val="17"/>
              </w:rPr>
              <w:t>Confirm recognition of core terms and rules.</w:t>
            </w:r>
          </w:p>
        </w:tc>
      </w:tr>
      <w:tr>
        <w:tc>
          <w:tcPr>
            <w:tcW w:type="dxa" w:w="2880"/>
            <w:vAlign w:val="center"/>
          </w:tcPr>
          <w:p>
            <w:r/>
            <w:r>
              <w:rPr>
                <w:rFonts w:ascii="Aptos" w:hAnsi="Aptos"/>
                <w:b w:val="0"/>
                <w:sz w:val="17"/>
              </w:rPr>
              <w:t>Application</w:t>
            </w:r>
          </w:p>
        </w:tc>
        <w:tc>
          <w:tcPr>
            <w:tcW w:type="dxa" w:w="1440"/>
            <w:vAlign w:val="center"/>
          </w:tcPr>
          <w:p>
            <w:r/>
            <w:r>
              <w:rPr>
                <w:rFonts w:ascii="Aptos" w:hAnsi="Aptos"/>
                <w:b w:val="0"/>
                <w:sz w:val="17"/>
              </w:rPr>
              <w:t>3</w:t>
            </w:r>
          </w:p>
        </w:tc>
        <w:tc>
          <w:tcPr>
            <w:tcW w:type="dxa" w:w="5328"/>
            <w:vAlign w:val="center"/>
          </w:tcPr>
          <w:p>
            <w:r/>
            <w:r>
              <w:rPr>
                <w:rFonts w:ascii="Aptos" w:hAnsi="Aptos"/>
                <w:b w:val="0"/>
                <w:sz w:val="17"/>
              </w:rPr>
              <w:t>Apply a concept to a focused fact pattern.</w:t>
            </w:r>
          </w:p>
        </w:tc>
      </w:tr>
      <w:tr>
        <w:tc>
          <w:tcPr>
            <w:tcW w:type="dxa" w:w="2880"/>
            <w:vAlign w:val="center"/>
            <w:shd w:fill="F3F4F6"/>
          </w:tcPr>
          <w:p>
            <w:r/>
            <w:r>
              <w:rPr>
                <w:rFonts w:ascii="Aptos" w:hAnsi="Aptos"/>
                <w:b w:val="0"/>
                <w:sz w:val="17"/>
              </w:rPr>
              <w:t>Scenario-Based</w:t>
            </w:r>
          </w:p>
        </w:tc>
        <w:tc>
          <w:tcPr>
            <w:tcW w:type="dxa" w:w="1440"/>
            <w:vAlign w:val="center"/>
            <w:shd w:fill="F3F4F6"/>
          </w:tcPr>
          <w:p>
            <w:r/>
            <w:r>
              <w:rPr>
                <w:rFonts w:ascii="Aptos" w:hAnsi="Aptos"/>
                <w:b w:val="0"/>
                <w:sz w:val="17"/>
              </w:rPr>
              <w:t>3</w:t>
            </w:r>
          </w:p>
        </w:tc>
        <w:tc>
          <w:tcPr>
            <w:tcW w:type="dxa" w:w="5328"/>
            <w:vAlign w:val="center"/>
            <w:shd w:fill="F3F4F6"/>
          </w:tcPr>
          <w:p>
            <w:r/>
            <w:r>
              <w:rPr>
                <w:rFonts w:ascii="Aptos" w:hAnsi="Aptos"/>
                <w:b w:val="0"/>
                <w:sz w:val="17"/>
              </w:rPr>
              <w:t>Select the best clinical action in context.</w:t>
            </w:r>
          </w:p>
        </w:tc>
      </w:tr>
      <w:tr>
        <w:tc>
          <w:tcPr>
            <w:tcW w:type="dxa" w:w="2880"/>
            <w:vAlign w:val="center"/>
          </w:tcPr>
          <w:p>
            <w:r/>
            <w:r>
              <w:rPr>
                <w:rFonts w:ascii="Aptos" w:hAnsi="Aptos"/>
                <w:b w:val="0"/>
                <w:sz w:val="17"/>
              </w:rPr>
              <w:t>Challenge / Integrated</w:t>
            </w:r>
          </w:p>
        </w:tc>
        <w:tc>
          <w:tcPr>
            <w:tcW w:type="dxa" w:w="1440"/>
            <w:vAlign w:val="center"/>
          </w:tcPr>
          <w:p>
            <w:r/>
            <w:r>
              <w:rPr>
                <w:rFonts w:ascii="Aptos" w:hAnsi="Aptos"/>
                <w:b w:val="0"/>
                <w:sz w:val="17"/>
              </w:rPr>
              <w:t>1</w:t>
            </w:r>
          </w:p>
        </w:tc>
        <w:tc>
          <w:tcPr>
            <w:tcW w:type="dxa" w:w="5328"/>
            <w:vAlign w:val="center"/>
          </w:tcPr>
          <w:p>
            <w:r/>
            <w:r>
              <w:rPr>
                <w:rFonts w:ascii="Aptos" w:hAnsi="Aptos"/>
                <w:b w:val="0"/>
                <w:sz w:val="17"/>
              </w:rPr>
              <w:t>Integrate multiple concepts using exam-style sequencing.</w:t>
            </w:r>
          </w:p>
        </w:tc>
      </w:tr>
    </w:tbl>
    <w:p>
      <w:pPr>
        <w:widowControl/>
        <w:spacing w:after="0"/>
      </w:pPr>
    </w:p>
    <w:p>
      <w:pPr>
        <w:pStyle w:val="Heading2"/>
        <w:widowControl/>
        <w:spacing w:before="200" w:after="100"/>
      </w:pPr>
      <w:r>
        <w:t>4.2 Answer-Key Distribution</w:t>
      </w:r>
    </w:p>
    <w:p>
      <w:pPr>
        <w:pStyle w:val="ListBullet"/>
        <w:widowControl/>
        <w:spacing w:after="40"/>
      </w:pPr>
      <w:r>
        <w:t>Across each 10-question set, use all four answer positions whenever feasible.</w:t>
      </w:r>
    </w:p>
    <w:p>
      <w:pPr>
        <w:pStyle w:val="ListBullet"/>
        <w:widowControl/>
        <w:spacing w:after="40"/>
      </w:pPr>
      <w:r>
        <w:t>No answer position should appear more than 4 times in a 10-question set without documented justification.</w:t>
      </w:r>
    </w:p>
    <w:p>
      <w:pPr>
        <w:pStyle w:val="ListBullet"/>
        <w:widowControl/>
        <w:spacing w:after="40"/>
      </w:pPr>
      <w:r>
        <w:t>Target distribution for 10 questions: 2–3 A, 2–3 B, 2–3 C, and 2–3 D.</w:t>
      </w:r>
    </w:p>
    <w:p>
      <w:pPr>
        <w:pStyle w:val="ListBullet"/>
        <w:widowControl/>
        <w:spacing w:after="40"/>
      </w:pPr>
      <w:r>
        <w:t>Across larger banks, maintain an approximately even distribution and prevent detectable sequences.</w:t>
      </w:r>
    </w:p>
    <w:p>
      <w:pPr>
        <w:pStyle w:val="ListBullet"/>
        <w:widowControl/>
        <w:spacing w:after="40"/>
      </w:pPr>
      <w:r>
        <w:t>Rebalancing must preserve clinical correctness; do not move labels without reviewing every distractor and rationale.</w:t>
      </w:r>
    </w:p>
    <w:p>
      <w:pPr>
        <w:pStyle w:val="Heading2"/>
        <w:widowControl/>
        <w:spacing w:before="200" w:after="100"/>
      </w:pPr>
      <w:r>
        <w:t>4.3 Required Question Record</w:t>
      </w:r>
    </w:p>
    <w:tbl>
      <w:tblPr>
        <w:tblStyle w:val="TableGrid"/>
        <w:tblW w:type="auto" w:w="0"/>
        <w:jc w:val="center"/>
        <w:tblLook w:firstColumn="1" w:firstRow="1" w:lastColumn="0" w:lastRow="0" w:noHBand="0" w:noVBand="1" w:val="04A0"/>
      </w:tblPr>
      <w:tblGrid>
        <w:gridCol w:w="5112"/>
        <w:gridCol w:w="5112"/>
      </w:tblGrid>
      <w:tr>
        <w:tc>
          <w:tcPr>
            <w:tcW w:type="dxa" w:w="2304"/>
            <w:shd w:fill="17324D"/>
            <w:vAlign w:val="center"/>
          </w:tcPr>
          <w:p>
            <w:r/>
            <w:r>
              <w:rPr>
                <w:rFonts w:ascii="Aptos" w:hAnsi="Aptos"/>
                <w:b/>
                <w:color w:val="FFFFFF"/>
                <w:sz w:val="17"/>
              </w:rPr>
              <w:t>Field</w:t>
            </w:r>
          </w:p>
        </w:tc>
        <w:tc>
          <w:tcPr>
            <w:tcW w:type="dxa" w:w="7344"/>
            <w:shd w:fill="17324D"/>
            <w:vAlign w:val="center"/>
          </w:tcPr>
          <w:p>
            <w:r/>
            <w:r>
              <w:rPr>
                <w:rFonts w:ascii="Aptos" w:hAnsi="Aptos"/>
                <w:b/>
                <w:color w:val="FFFFFF"/>
                <w:sz w:val="17"/>
              </w:rPr>
              <w:t>Requirement</w:t>
            </w:r>
          </w:p>
        </w:tc>
      </w:tr>
      <w:tr>
        <w:tc>
          <w:tcPr>
            <w:tcW w:type="dxa" w:w="2304"/>
            <w:vAlign w:val="center"/>
            <w:shd w:fill="F3F4F6"/>
          </w:tcPr>
          <w:p>
            <w:r/>
            <w:r>
              <w:rPr>
                <w:rFonts w:ascii="Aptos" w:hAnsi="Aptos"/>
                <w:b w:val="0"/>
                <w:sz w:val="17"/>
              </w:rPr>
              <w:t>Question ID</w:t>
            </w:r>
          </w:p>
        </w:tc>
        <w:tc>
          <w:tcPr>
            <w:tcW w:type="dxa" w:w="7344"/>
            <w:vAlign w:val="center"/>
            <w:shd w:fill="F3F4F6"/>
          </w:tcPr>
          <w:p>
            <w:r/>
            <w:r>
              <w:rPr>
                <w:rFonts w:ascii="Aptos" w:hAnsi="Aptos"/>
                <w:b w:val="0"/>
                <w:sz w:val="17"/>
              </w:rPr>
              <w:t>Program-workbook-question sequence, e.g., LMFT-WB06-Q001.</w:t>
            </w:r>
          </w:p>
        </w:tc>
      </w:tr>
      <w:tr>
        <w:tc>
          <w:tcPr>
            <w:tcW w:type="dxa" w:w="2304"/>
            <w:vAlign w:val="center"/>
          </w:tcPr>
          <w:p>
            <w:r/>
            <w:r>
              <w:rPr>
                <w:rFonts w:ascii="Aptos" w:hAnsi="Aptos"/>
                <w:b w:val="0"/>
                <w:sz w:val="17"/>
              </w:rPr>
              <w:t>Difficulty</w:t>
            </w:r>
          </w:p>
        </w:tc>
        <w:tc>
          <w:tcPr>
            <w:tcW w:type="dxa" w:w="7344"/>
            <w:vAlign w:val="center"/>
          </w:tcPr>
          <w:p>
            <w:r/>
            <w:r>
              <w:rPr>
                <w:rFonts w:ascii="Aptos" w:hAnsi="Aptos"/>
                <w:b w:val="0"/>
                <w:sz w:val="17"/>
              </w:rPr>
              <w:t>Easy, Moderate, or Challenge.</w:t>
            </w:r>
          </w:p>
        </w:tc>
      </w:tr>
      <w:tr>
        <w:tc>
          <w:tcPr>
            <w:tcW w:type="dxa" w:w="2304"/>
            <w:vAlign w:val="center"/>
            <w:shd w:fill="F3F4F6"/>
          </w:tcPr>
          <w:p>
            <w:r/>
            <w:r>
              <w:rPr>
                <w:rFonts w:ascii="Aptos" w:hAnsi="Aptos"/>
                <w:b w:val="0"/>
                <w:sz w:val="17"/>
              </w:rPr>
              <w:t>Question Type</w:t>
            </w:r>
          </w:p>
        </w:tc>
        <w:tc>
          <w:tcPr>
            <w:tcW w:type="dxa" w:w="7344"/>
            <w:vAlign w:val="center"/>
            <w:shd w:fill="F3F4F6"/>
          </w:tcPr>
          <w:p>
            <w:r/>
            <w:r>
              <w:rPr>
                <w:rFonts w:ascii="Aptos" w:hAnsi="Aptos"/>
                <w:b w:val="0"/>
                <w:sz w:val="17"/>
              </w:rPr>
              <w:t>Recall, Application, Scenario, or Integrated.</w:t>
            </w:r>
          </w:p>
        </w:tc>
      </w:tr>
      <w:tr>
        <w:tc>
          <w:tcPr>
            <w:tcW w:type="dxa" w:w="2304"/>
            <w:vAlign w:val="center"/>
          </w:tcPr>
          <w:p>
            <w:r/>
            <w:r>
              <w:rPr>
                <w:rFonts w:ascii="Aptos" w:hAnsi="Aptos"/>
                <w:b w:val="0"/>
                <w:sz w:val="17"/>
              </w:rPr>
              <w:t>Primary Concept</w:t>
            </w:r>
          </w:p>
        </w:tc>
        <w:tc>
          <w:tcPr>
            <w:tcW w:type="dxa" w:w="7344"/>
            <w:vAlign w:val="center"/>
          </w:tcPr>
          <w:p>
            <w:r/>
            <w:r>
              <w:rPr>
                <w:rFonts w:ascii="Aptos" w:hAnsi="Aptos"/>
                <w:b w:val="0"/>
                <w:sz w:val="17"/>
              </w:rPr>
              <w:t>One clearly identifiable concept.</w:t>
            </w:r>
          </w:p>
        </w:tc>
      </w:tr>
      <w:tr>
        <w:tc>
          <w:tcPr>
            <w:tcW w:type="dxa" w:w="2304"/>
            <w:vAlign w:val="center"/>
            <w:shd w:fill="F3F4F6"/>
          </w:tcPr>
          <w:p>
            <w:r/>
            <w:r>
              <w:rPr>
                <w:rFonts w:ascii="Aptos" w:hAnsi="Aptos"/>
                <w:b w:val="0"/>
                <w:sz w:val="17"/>
              </w:rPr>
              <w:t>Correct Answer</w:t>
            </w:r>
          </w:p>
        </w:tc>
        <w:tc>
          <w:tcPr>
            <w:tcW w:type="dxa" w:w="7344"/>
            <w:vAlign w:val="center"/>
            <w:shd w:fill="F3F4F6"/>
          </w:tcPr>
          <w:p>
            <w:r/>
            <w:r>
              <w:rPr>
                <w:rFonts w:ascii="Aptos" w:hAnsi="Aptos"/>
                <w:b w:val="0"/>
                <w:sz w:val="17"/>
              </w:rPr>
              <w:t>One best answer only.</w:t>
            </w:r>
          </w:p>
        </w:tc>
      </w:tr>
      <w:tr>
        <w:tc>
          <w:tcPr>
            <w:tcW w:type="dxa" w:w="2304"/>
            <w:vAlign w:val="center"/>
          </w:tcPr>
          <w:p>
            <w:r/>
            <w:r>
              <w:rPr>
                <w:rFonts w:ascii="Aptos" w:hAnsi="Aptos"/>
                <w:b w:val="0"/>
                <w:sz w:val="17"/>
              </w:rPr>
              <w:t>Rationale</w:t>
            </w:r>
          </w:p>
        </w:tc>
        <w:tc>
          <w:tcPr>
            <w:tcW w:type="dxa" w:w="7344"/>
            <w:vAlign w:val="center"/>
          </w:tcPr>
          <w:p>
            <w:r/>
            <w:r>
              <w:rPr>
                <w:rFonts w:ascii="Aptos" w:hAnsi="Aptos"/>
                <w:b w:val="0"/>
                <w:sz w:val="17"/>
              </w:rPr>
              <w:t>Why correct and why each distractor is incorrect.</w:t>
            </w:r>
          </w:p>
        </w:tc>
      </w:tr>
      <w:tr>
        <w:tc>
          <w:tcPr>
            <w:tcW w:type="dxa" w:w="2304"/>
            <w:vAlign w:val="center"/>
            <w:shd w:fill="F3F4F6"/>
          </w:tcPr>
          <w:p>
            <w:r/>
            <w:r>
              <w:rPr>
                <w:rFonts w:ascii="Aptos" w:hAnsi="Aptos"/>
                <w:b w:val="0"/>
                <w:sz w:val="17"/>
              </w:rPr>
              <w:t>Exam Strategy</w:t>
            </w:r>
          </w:p>
        </w:tc>
        <w:tc>
          <w:tcPr>
            <w:tcW w:type="dxa" w:w="7344"/>
            <w:vAlign w:val="center"/>
            <w:shd w:fill="F3F4F6"/>
          </w:tcPr>
          <w:p>
            <w:r/>
            <w:r>
              <w:rPr>
                <w:rFonts w:ascii="Aptos" w:hAnsi="Aptos"/>
                <w:b w:val="0"/>
                <w:sz w:val="17"/>
              </w:rPr>
              <w:t>Clue, sequencing rule, or elimination method.</w:t>
            </w:r>
          </w:p>
        </w:tc>
      </w:tr>
      <w:tr>
        <w:tc>
          <w:tcPr>
            <w:tcW w:type="dxa" w:w="2304"/>
            <w:vAlign w:val="center"/>
          </w:tcPr>
          <w:p>
            <w:r/>
            <w:r>
              <w:rPr>
                <w:rFonts w:ascii="Aptos" w:hAnsi="Aptos"/>
                <w:b w:val="0"/>
                <w:sz w:val="17"/>
              </w:rPr>
              <w:t>Source Mapping</w:t>
            </w:r>
          </w:p>
        </w:tc>
        <w:tc>
          <w:tcPr>
            <w:tcW w:type="dxa" w:w="7344"/>
            <w:vAlign w:val="center"/>
          </w:tcPr>
          <w:p>
            <w:r/>
            <w:r>
              <w:rPr>
                <w:rFonts w:ascii="Aptos" w:hAnsi="Aptos"/>
                <w:b w:val="0"/>
                <w:sz w:val="17"/>
              </w:rPr>
              <w:t>Internal admin tracker only; not shown in the student edition.</w:t>
            </w:r>
          </w:p>
        </w:tc>
      </w:tr>
    </w:tbl>
    <w:p>
      <w:pPr>
        <w:widowControl/>
        <w:spacing w:after="0"/>
      </w:pPr>
    </w:p>
    <w:p>
      <w:pPr>
        <w:pStyle w:val="Heading1"/>
        <w:widowControl/>
        <w:spacing w:before="200" w:after="100"/>
      </w:pPr>
      <w:r>
        <w:t>5. Standard Student Notices</w:t>
      </w:r>
    </w:p>
    <w:tbl>
      <w:tblPr>
        <w:tblW w:type="auto" w:w="0"/>
        <w:jc w:val="center"/>
        <w:tblLook w:firstColumn="1" w:firstRow="1" w:lastColumn="0" w:lastRow="0" w:noHBand="0" w:noVBand="1" w:val="04A0"/>
      </w:tblPr>
      <w:tblGrid>
        <w:gridCol w:w="10224"/>
      </w:tblGrid>
      <w:tr>
        <w:tc>
          <w:tcPr>
            <w:tcW w:type="dxa" w:w="10224"/>
            <w:shd w:fill="F3F4F6"/>
            <w:tcBorders>
              <w:top w:val="single" w:sz="8" w:color="6B7280"/>
              <w:left w:val="single" w:sz="8" w:color="6B7280"/>
              <w:bottom w:val="single" w:sz="8" w:color="6B7280"/>
              <w:right w:val="single" w:sz="8" w:color="6B7280"/>
            </w:tcBorders>
          </w:tcPr>
          <w:p>
            <w:r>
              <w:rPr>
                <w:b/>
                <w:color w:val="17324D"/>
                <w:sz w:val="21"/>
              </w:rPr>
              <w:t>Educational and Non-Affiliation Notice</w:t>
              <w:br/>
            </w:r>
            <w:r>
              <w:rPr>
                <w:sz w:val="19"/>
              </w:rP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Examination specifications, laws, regulations, and professional standards may change. Candidates are responsible for consulting current official sources. Completion of this program does not guarantee examination passage.</w:t>
            </w:r>
          </w:p>
        </w:tc>
      </w:tr>
    </w:tbl>
    <w:p>
      <w:pPr>
        <w:widowControl/>
        <w:spacing w:after="0"/>
      </w:pPr>
    </w:p>
    <w:tbl>
      <w:tblPr>
        <w:tblW w:type="auto" w:w="0"/>
        <w:jc w:val="center"/>
        <w:tblLook w:firstColumn="1" w:firstRow="1" w:lastColumn="0" w:lastRow="0" w:noHBand="0" w:noVBand="1" w:val="04A0"/>
      </w:tblPr>
      <w:tblGrid>
        <w:gridCol w:w="10224"/>
      </w:tblGrid>
      <w:tr>
        <w:tc>
          <w:tcPr>
            <w:tcW w:type="dxa" w:w="10224"/>
            <w:shd w:fill="FFF2CC"/>
            <w:tcBorders>
              <w:top w:val="single" w:sz="8" w:color="D6A84B"/>
              <w:left w:val="single" w:sz="8" w:color="D6A84B"/>
              <w:bottom w:val="single" w:sz="8" w:color="D6A84B"/>
              <w:right w:val="single" w:sz="8" w:color="D6A84B"/>
            </w:tcBorders>
          </w:tcPr>
          <w:p>
            <w:r>
              <w:rPr>
                <w:b/>
                <w:color w:val="17324D"/>
                <w:sz w:val="21"/>
              </w:rPr>
              <w:t>Clinical and Legal Scope Notice</w:t>
              <w:br/>
            </w:r>
            <w:r>
              <w:rPr>
                <w:sz w:val="19"/>
              </w:rPr>
              <w:t>The material is provided for examination preparation and professional education. It is not legal advice, clinical supervision, diagnosis, treatment, or a substitute for consultation with qualified legal, clinical, regulatory, or professional experts.</w:t>
            </w:r>
          </w:p>
        </w:tc>
      </w:tr>
    </w:tbl>
    <w:p>
      <w:pPr>
        <w:widowControl/>
        <w:spacing w:after="0"/>
      </w:pPr>
    </w:p>
    <w:p>
      <w:pPr>
        <w:pStyle w:val="Heading1"/>
        <w:widowControl/>
        <w:spacing w:before="200" w:after="100"/>
      </w:pPr>
      <w:r>
        <w:t>6. Student-Facing Source and Publication Controls</w:t>
      </w:r>
    </w:p>
    <w:p>
      <w:pPr>
        <w:pStyle w:val="ListBullet"/>
        <w:widowControl/>
        <w:spacing w:after="40"/>
      </w:pPr>
      <w:r>
        <w:t>Remove all internal phrases such as “development draft,” “publication control,” “source mapping,” “admin note,” and task IDs from student pages.</w:t>
      </w:r>
    </w:p>
    <w:p>
      <w:pPr>
        <w:pStyle w:val="ListBullet"/>
        <w:widowControl/>
        <w:spacing w:after="40"/>
      </w:pPr>
      <w:r>
        <w:t>Retain a concise student-facing source list and currency notice at the end of each workbook.</w:t>
      </w:r>
    </w:p>
    <w:p>
      <w:pPr>
        <w:pStyle w:val="ListBullet"/>
        <w:widowControl/>
        <w:spacing w:after="40"/>
      </w:pPr>
      <w:r>
        <w:t>Maintain detailed source mapping, legal verification, SME signoff, and revision history in a separate admin file.</w:t>
      </w:r>
    </w:p>
    <w:p>
      <w:pPr>
        <w:pStyle w:val="ListBullet"/>
        <w:widowControl/>
        <w:spacing w:after="40"/>
      </w:pPr>
      <w:r>
        <w:t>Do not embed internal file names, local paths, tool references, or drafting comments in student materials.</w:t>
      </w:r>
    </w:p>
    <w:p>
      <w:pPr>
        <w:pStyle w:val="ListBullet"/>
        <w:widowControl/>
        <w:spacing w:after="40"/>
      </w:pPr>
      <w:r>
        <w:t>California-law workbooks must include an “as of” date and require final legal/clinical SME review before publication.</w:t>
      </w:r>
    </w:p>
    <w:p>
      <w:pPr>
        <w:pStyle w:val="Heading1"/>
        <w:widowControl/>
        <w:spacing w:before="200" w:after="100"/>
      </w:pPr>
      <w:r>
        <w:t>7. Accessibility Standard</w:t>
      </w:r>
    </w:p>
    <w:tbl>
      <w:tblPr>
        <w:tblStyle w:val="TableGrid"/>
        <w:tblW w:type="auto" w:w="0"/>
        <w:jc w:val="center"/>
        <w:tblLook w:firstColumn="1" w:firstRow="1" w:lastColumn="0" w:lastRow="0" w:noHBand="0" w:noVBand="1" w:val="04A0"/>
      </w:tblPr>
      <w:tblGrid>
        <w:gridCol w:w="5112"/>
        <w:gridCol w:w="5112"/>
      </w:tblGrid>
      <w:tr>
        <w:tc>
          <w:tcPr>
            <w:tcW w:type="dxa" w:w="1872"/>
            <w:shd w:fill="17324D"/>
            <w:vAlign w:val="center"/>
          </w:tcPr>
          <w:p>
            <w:r/>
            <w:r>
              <w:rPr>
                <w:rFonts w:ascii="Aptos" w:hAnsi="Aptos"/>
                <w:b/>
                <w:color w:val="FFFFFF"/>
                <w:sz w:val="17"/>
              </w:rPr>
              <w:t>Area</w:t>
            </w:r>
          </w:p>
        </w:tc>
        <w:tc>
          <w:tcPr>
            <w:tcW w:type="dxa" w:w="7776"/>
            <w:shd w:fill="17324D"/>
            <w:vAlign w:val="center"/>
          </w:tcPr>
          <w:p>
            <w:r/>
            <w:r>
              <w:rPr>
                <w:rFonts w:ascii="Aptos" w:hAnsi="Aptos"/>
                <w:b/>
                <w:color w:val="FFFFFF"/>
                <w:sz w:val="17"/>
              </w:rPr>
              <w:t>Required Standard</w:t>
            </w:r>
          </w:p>
        </w:tc>
      </w:tr>
      <w:tr>
        <w:tc>
          <w:tcPr>
            <w:tcW w:type="dxa" w:w="1872"/>
            <w:vAlign w:val="center"/>
            <w:shd w:fill="F3F4F6"/>
          </w:tcPr>
          <w:p>
            <w:r/>
            <w:r>
              <w:rPr>
                <w:rFonts w:ascii="Aptos" w:hAnsi="Aptos"/>
                <w:b w:val="0"/>
                <w:sz w:val="17"/>
              </w:rPr>
              <w:t>Headings</w:t>
            </w:r>
          </w:p>
        </w:tc>
        <w:tc>
          <w:tcPr>
            <w:tcW w:type="dxa" w:w="7776"/>
            <w:vAlign w:val="center"/>
            <w:shd w:fill="F3F4F6"/>
          </w:tcPr>
          <w:p>
            <w:r/>
            <w:r>
              <w:rPr>
                <w:rFonts w:ascii="Aptos" w:hAnsi="Aptos"/>
                <w:b w:val="0"/>
                <w:sz w:val="17"/>
              </w:rPr>
              <w:t>Use a logical Heading 1 → Heading 2 → Heading 3 order; no skipped levels.</w:t>
            </w:r>
          </w:p>
        </w:tc>
      </w:tr>
      <w:tr>
        <w:tc>
          <w:tcPr>
            <w:tcW w:type="dxa" w:w="1872"/>
            <w:vAlign w:val="center"/>
          </w:tcPr>
          <w:p>
            <w:r/>
            <w:r>
              <w:rPr>
                <w:rFonts w:ascii="Aptos" w:hAnsi="Aptos"/>
                <w:b w:val="0"/>
                <w:sz w:val="17"/>
              </w:rPr>
              <w:t>Images</w:t>
            </w:r>
          </w:p>
        </w:tc>
        <w:tc>
          <w:tcPr>
            <w:tcW w:type="dxa" w:w="7776"/>
            <w:vAlign w:val="center"/>
          </w:tcPr>
          <w:p>
            <w:r/>
            <w:r>
              <w:rPr>
                <w:rFonts w:ascii="Aptos" w:hAnsi="Aptos"/>
                <w:b w:val="0"/>
                <w:sz w:val="17"/>
              </w:rPr>
              <w:t>Add meaningful alt text to instructional images; mark decorative images appropriately.</w:t>
            </w:r>
          </w:p>
        </w:tc>
      </w:tr>
      <w:tr>
        <w:tc>
          <w:tcPr>
            <w:tcW w:type="dxa" w:w="1872"/>
            <w:vAlign w:val="center"/>
            <w:shd w:fill="F3F4F6"/>
          </w:tcPr>
          <w:p>
            <w:r/>
            <w:r>
              <w:rPr>
                <w:rFonts w:ascii="Aptos" w:hAnsi="Aptos"/>
                <w:b w:val="0"/>
                <w:sz w:val="17"/>
              </w:rPr>
              <w:t>Tables</w:t>
            </w:r>
          </w:p>
        </w:tc>
        <w:tc>
          <w:tcPr>
            <w:tcW w:type="dxa" w:w="7776"/>
            <w:vAlign w:val="center"/>
            <w:shd w:fill="F3F4F6"/>
          </w:tcPr>
          <w:p>
            <w:r/>
            <w:r>
              <w:rPr>
                <w:rFonts w:ascii="Aptos" w:hAnsi="Aptos"/>
                <w:b w:val="0"/>
                <w:sz w:val="17"/>
              </w:rPr>
              <w:t>Use tables for data only. Identify the header row, avoid merged cells when unnecessary, and repeat headers across pages.</w:t>
            </w:r>
          </w:p>
        </w:tc>
      </w:tr>
      <w:tr>
        <w:tc>
          <w:tcPr>
            <w:tcW w:type="dxa" w:w="1872"/>
            <w:vAlign w:val="center"/>
          </w:tcPr>
          <w:p>
            <w:r/>
            <w:r>
              <w:rPr>
                <w:rFonts w:ascii="Aptos" w:hAnsi="Aptos"/>
                <w:b w:val="0"/>
                <w:sz w:val="17"/>
              </w:rPr>
              <w:t>Layout</w:t>
            </w:r>
          </w:p>
        </w:tc>
        <w:tc>
          <w:tcPr>
            <w:tcW w:type="dxa" w:w="7776"/>
            <w:vAlign w:val="center"/>
          </w:tcPr>
          <w:p>
            <w:r/>
            <w:r>
              <w:rPr>
                <w:rFonts w:ascii="Aptos" w:hAnsi="Aptos"/>
                <w:b w:val="0"/>
                <w:sz w:val="17"/>
              </w:rPr>
              <w:t>Do not use tables solely for decorative page layout when accessible paragraph structures will work.</w:t>
            </w:r>
          </w:p>
        </w:tc>
      </w:tr>
      <w:tr>
        <w:tc>
          <w:tcPr>
            <w:tcW w:type="dxa" w:w="1872"/>
            <w:vAlign w:val="center"/>
            <w:shd w:fill="F3F4F6"/>
          </w:tcPr>
          <w:p>
            <w:r/>
            <w:r>
              <w:rPr>
                <w:rFonts w:ascii="Aptos" w:hAnsi="Aptos"/>
                <w:b w:val="0"/>
                <w:sz w:val="17"/>
              </w:rPr>
              <w:t>Color</w:t>
            </w:r>
          </w:p>
        </w:tc>
        <w:tc>
          <w:tcPr>
            <w:tcW w:type="dxa" w:w="7776"/>
            <w:vAlign w:val="center"/>
            <w:shd w:fill="F3F4F6"/>
          </w:tcPr>
          <w:p>
            <w:r/>
            <w:r>
              <w:rPr>
                <w:rFonts w:ascii="Aptos" w:hAnsi="Aptos"/>
                <w:b w:val="0"/>
                <w:sz w:val="17"/>
              </w:rPr>
              <w:t>Do not rely on color alone to convey meaning; maintain adequate contrast.</w:t>
            </w:r>
          </w:p>
        </w:tc>
      </w:tr>
      <w:tr>
        <w:tc>
          <w:tcPr>
            <w:tcW w:type="dxa" w:w="1872"/>
            <w:vAlign w:val="center"/>
          </w:tcPr>
          <w:p>
            <w:r/>
            <w:r>
              <w:rPr>
                <w:rFonts w:ascii="Aptos" w:hAnsi="Aptos"/>
                <w:b w:val="0"/>
                <w:sz w:val="17"/>
              </w:rPr>
              <w:t>Links</w:t>
            </w:r>
          </w:p>
        </w:tc>
        <w:tc>
          <w:tcPr>
            <w:tcW w:type="dxa" w:w="7776"/>
            <w:vAlign w:val="center"/>
          </w:tcPr>
          <w:p>
            <w:r/>
            <w:r>
              <w:rPr>
                <w:rFonts w:ascii="Aptos" w:hAnsi="Aptos"/>
                <w:b w:val="0"/>
                <w:sz w:val="17"/>
              </w:rPr>
              <w:t>Use descriptive link text rather than raw URLs in body text when practical.</w:t>
            </w:r>
          </w:p>
        </w:tc>
      </w:tr>
      <w:tr>
        <w:tc>
          <w:tcPr>
            <w:tcW w:type="dxa" w:w="1872"/>
            <w:vAlign w:val="center"/>
            <w:shd w:fill="F3F4F6"/>
          </w:tcPr>
          <w:p>
            <w:r/>
            <w:r>
              <w:rPr>
                <w:rFonts w:ascii="Aptos" w:hAnsi="Aptos"/>
                <w:b w:val="0"/>
                <w:sz w:val="17"/>
              </w:rPr>
              <w:t>Reading Order</w:t>
            </w:r>
          </w:p>
        </w:tc>
        <w:tc>
          <w:tcPr>
            <w:tcW w:type="dxa" w:w="7776"/>
            <w:vAlign w:val="center"/>
            <w:shd w:fill="F3F4F6"/>
          </w:tcPr>
          <w:p>
            <w:r/>
            <w:r>
              <w:rPr>
                <w:rFonts w:ascii="Aptos" w:hAnsi="Aptos"/>
                <w:b w:val="0"/>
                <w:sz w:val="17"/>
              </w:rPr>
              <w:t>Keep content in a logical document order and avoid floating objects that disrupt screen-reader flow.</w:t>
            </w:r>
          </w:p>
        </w:tc>
      </w:tr>
      <w:tr>
        <w:tc>
          <w:tcPr>
            <w:tcW w:type="dxa" w:w="1872"/>
            <w:vAlign w:val="center"/>
          </w:tcPr>
          <w:p>
            <w:r/>
            <w:r>
              <w:rPr>
                <w:rFonts w:ascii="Aptos" w:hAnsi="Aptos"/>
                <w:b w:val="0"/>
                <w:sz w:val="17"/>
              </w:rPr>
              <w:t>Fonts</w:t>
            </w:r>
          </w:p>
        </w:tc>
        <w:tc>
          <w:tcPr>
            <w:tcW w:type="dxa" w:w="7776"/>
            <w:vAlign w:val="center"/>
          </w:tcPr>
          <w:p>
            <w:r/>
            <w:r>
              <w:rPr>
                <w:rFonts w:ascii="Aptos" w:hAnsi="Aptos"/>
                <w:b w:val="0"/>
                <w:sz w:val="17"/>
              </w:rPr>
              <w:t>Use readable fonts and body sizes; avoid dense walls of text.</w:t>
            </w:r>
          </w:p>
        </w:tc>
      </w:tr>
    </w:tbl>
    <w:p>
      <w:pPr>
        <w:widowControl/>
        <w:spacing w:after="0"/>
      </w:pPr>
    </w:p>
    <w:tbl>
      <w:tblPr>
        <w:tblW w:type="auto" w:w="0"/>
        <w:jc w:val="center"/>
        <w:tblLook w:firstColumn="1" w:firstRow="1" w:lastColumn="0" w:lastRow="0" w:noHBand="0" w:noVBand="1" w:val="04A0"/>
      </w:tblPr>
      <w:tblGrid>
        <w:gridCol w:w="10224"/>
      </w:tblGrid>
      <w:tr>
        <w:tc>
          <w:tcPr>
            <w:tcW w:type="dxa" w:w="10224"/>
            <w:shd w:fill="FDECEC"/>
            <w:tcBorders>
              <w:top w:val="single" w:sz="8" w:color="B42318"/>
              <w:left w:val="single" w:sz="8" w:color="B42318"/>
              <w:bottom w:val="single" w:sz="8" w:color="B42318"/>
              <w:right w:val="single" w:sz="8" w:color="B42318"/>
            </w:tcBorders>
          </w:tcPr>
          <w:p>
            <w:r>
              <w:rPr>
                <w:b/>
                <w:color w:val="17324D"/>
                <w:sz w:val="21"/>
              </w:rPr>
              <w:t>Accessibility Release Gate</w:t>
              <w:br/>
            </w:r>
            <w:r>
              <w:rPr>
                <w:sz w:val="19"/>
              </w:rPr>
              <w:t>Zero high-severity accessibility findings are permitted at v1.0 release. Medium findings must be resolved or documented as reviewed and acceptable.</w:t>
            </w:r>
          </w:p>
        </w:tc>
      </w:tr>
    </w:tbl>
    <w:p>
      <w:pPr>
        <w:widowControl/>
        <w:spacing w:after="0"/>
      </w:pPr>
    </w:p>
    <w:p>
      <w:pPr>
        <w:pStyle w:val="Heading1"/>
        <w:widowControl/>
        <w:spacing w:before="200" w:after="100"/>
      </w:pPr>
      <w:r>
        <w:t>8. Visual and Branding Standard</w:t>
      </w:r>
    </w:p>
    <w:p>
      <w:pPr>
        <w:pStyle w:val="ListBullet"/>
        <w:widowControl/>
        <w:spacing w:after="40"/>
      </w:pPr>
      <w:r>
        <w:t>Use the approved CTA horizontal logo on covers and headers; use the stacked logo only where the layout requires it.</w:t>
      </w:r>
    </w:p>
    <w:p>
      <w:pPr>
        <w:pStyle w:val="ListBullet"/>
        <w:widowControl/>
        <w:spacing w:after="40"/>
      </w:pPr>
      <w:r>
        <w:t>Use one canonical title format: “CTA [Program] Workbook [Number]: [Title].”</w:t>
      </w:r>
    </w:p>
    <w:p>
      <w:pPr>
        <w:pStyle w:val="ListBullet"/>
        <w:widowControl/>
        <w:spacing w:after="40"/>
      </w:pPr>
      <w:r>
        <w:t>Use consistent CTA blue, navy, white space, callout boxes, table headers, and page footers.</w:t>
      </w:r>
    </w:p>
    <w:p>
      <w:pPr>
        <w:pStyle w:val="ListBullet"/>
        <w:widowControl/>
        <w:spacing w:after="40"/>
      </w:pPr>
      <w:r>
        <w:t>Avoid excessive decoration, crowded tables, long paragraphs, or full pages without visual hierarchy.</w:t>
      </w:r>
    </w:p>
    <w:p>
      <w:pPr>
        <w:pStyle w:val="ListBullet"/>
        <w:widowControl/>
        <w:spacing w:after="40"/>
      </w:pPr>
      <w:r>
        <w:t>Use page numbers on every content page and maintain consistent margins, headers, and footer language.</w:t>
      </w:r>
    </w:p>
    <w:p>
      <w:pPr>
        <w:pStyle w:val="ListBullet"/>
        <w:widowControl/>
        <w:spacing w:after="40"/>
      </w:pPr>
      <w:r>
        <w:t>Add a table of contents when the finalized workbook exceeds the agreed production threshold or when navigation materially benefits the learner.</w:t>
      </w:r>
    </w:p>
    <w:p>
      <w:pPr>
        <w:pStyle w:val="Heading1"/>
        <w:widowControl/>
        <w:spacing w:before="200" w:after="100"/>
      </w:pPr>
      <w:r>
        <w:t>9. Program-Specific Controls</w:t>
      </w:r>
    </w:p>
    <w:tbl>
      <w:tblPr>
        <w:tblStyle w:val="TableGrid"/>
        <w:tblW w:type="auto" w:w="0"/>
        <w:jc w:val="center"/>
        <w:tblLook w:firstColumn="1" w:firstRow="1" w:lastColumn="0" w:lastRow="0" w:noHBand="0" w:noVBand="1" w:val="04A0"/>
      </w:tblPr>
      <w:tblGrid>
        <w:gridCol w:w="5112"/>
        <w:gridCol w:w="5112"/>
      </w:tblGrid>
      <w:tr>
        <w:tc>
          <w:tcPr>
            <w:tcW w:type="dxa" w:w="1440"/>
            <w:shd w:fill="17324D"/>
            <w:vAlign w:val="center"/>
          </w:tcPr>
          <w:p>
            <w:r/>
            <w:r>
              <w:rPr>
                <w:rFonts w:ascii="Aptos" w:hAnsi="Aptos"/>
                <w:b/>
                <w:color w:val="FFFFFF"/>
                <w:sz w:val="17"/>
              </w:rPr>
              <w:t>Program</w:t>
            </w:r>
          </w:p>
        </w:tc>
        <w:tc>
          <w:tcPr>
            <w:tcW w:type="dxa" w:w="8208"/>
            <w:shd w:fill="17324D"/>
            <w:vAlign w:val="center"/>
          </w:tcPr>
          <w:p>
            <w:r/>
            <w:r>
              <w:rPr>
                <w:rFonts w:ascii="Aptos" w:hAnsi="Aptos"/>
                <w:b/>
                <w:color w:val="FFFFFF"/>
                <w:sz w:val="17"/>
              </w:rPr>
              <w:t>Required Controls</w:t>
            </w:r>
          </w:p>
        </w:tc>
      </w:tr>
      <w:tr>
        <w:tc>
          <w:tcPr>
            <w:tcW w:type="dxa" w:w="1440"/>
            <w:vAlign w:val="center"/>
            <w:shd w:fill="F3F4F6"/>
          </w:tcPr>
          <w:p>
            <w:r/>
            <w:r>
              <w:rPr>
                <w:rFonts w:ascii="Aptos" w:hAnsi="Aptos"/>
                <w:b w:val="0"/>
                <w:sz w:val="17"/>
              </w:rPr>
              <w:t>LMFT</w:t>
            </w:r>
          </w:p>
        </w:tc>
        <w:tc>
          <w:tcPr>
            <w:tcW w:type="dxa" w:w="8208"/>
            <w:vAlign w:val="center"/>
            <w:shd w:fill="F3F4F6"/>
          </w:tcPr>
          <w:p>
            <w:r/>
            <w:r>
              <w:rPr>
                <w:rFonts w:ascii="Aptos" w:hAnsi="Aptos"/>
                <w:b w:val="0"/>
                <w:sz w:val="17"/>
              </w:rPr>
              <w:t>Preserve California LMFT examination framing, systemic/relational reasoning, and current BBS legal and professional-practice references. Legal content requires dated verification.</w:t>
            </w:r>
          </w:p>
        </w:tc>
      </w:tr>
      <w:tr>
        <w:tc>
          <w:tcPr>
            <w:tcW w:type="dxa" w:w="1440"/>
            <w:vAlign w:val="center"/>
          </w:tcPr>
          <w:p>
            <w:r/>
            <w:r>
              <w:rPr>
                <w:rFonts w:ascii="Aptos" w:hAnsi="Aptos"/>
                <w:b w:val="0"/>
                <w:sz w:val="17"/>
              </w:rPr>
              <w:t>LCSW</w:t>
            </w:r>
          </w:p>
        </w:tc>
        <w:tc>
          <w:tcPr>
            <w:tcW w:type="dxa" w:w="8208"/>
            <w:vAlign w:val="center"/>
          </w:tcPr>
          <w:p>
            <w:r/>
            <w:r>
              <w:rPr>
                <w:rFonts w:ascii="Aptos" w:hAnsi="Aptos"/>
                <w:b w:val="0"/>
                <w:sz w:val="17"/>
              </w:rPr>
              <w:t>Preserve current ASWB Clinical blueprint framing, national exam reasoning, social work values, self-determination, person-in-environment, and profession-specific terminology. Do not impose California-specific rules unless the item supplies that jurisdiction.</w:t>
            </w:r>
          </w:p>
        </w:tc>
      </w:tr>
    </w:tbl>
    <w:p>
      <w:pPr>
        <w:widowControl/>
        <w:spacing w:after="0"/>
      </w:pPr>
    </w:p>
    <w:p>
      <w:pPr>
        <w:pStyle w:val="Heading1"/>
        <w:widowControl/>
        <w:spacing w:before="200" w:after="100"/>
      </w:pPr>
      <w:r>
        <w:t>10. Revision Workflow for Each Workbook</w:t>
      </w:r>
    </w:p>
    <w:tbl>
      <w:tblPr>
        <w:tblStyle w:val="TableGrid"/>
        <w:tblW w:type="auto" w:w="0"/>
        <w:jc w:val="center"/>
        <w:tblLook w:firstColumn="1" w:firstRow="1" w:lastColumn="0" w:lastRow="0" w:noHBand="0" w:noVBand="1" w:val="04A0"/>
      </w:tblPr>
      <w:tblGrid>
        <w:gridCol w:w="3408"/>
        <w:gridCol w:w="3408"/>
        <w:gridCol w:w="3408"/>
      </w:tblGrid>
      <w:tr>
        <w:tc>
          <w:tcPr>
            <w:tcW w:type="dxa" w:w="648"/>
            <w:shd w:fill="17324D"/>
            <w:vAlign w:val="center"/>
          </w:tcPr>
          <w:p>
            <w:r/>
            <w:r>
              <w:rPr>
                <w:rFonts w:ascii="Aptos" w:hAnsi="Aptos"/>
                <w:b/>
                <w:color w:val="FFFFFF"/>
                <w:sz w:val="17"/>
              </w:rPr>
              <w:t>Step</w:t>
            </w:r>
          </w:p>
        </w:tc>
        <w:tc>
          <w:tcPr>
            <w:tcW w:type="dxa" w:w="5112"/>
            <w:shd w:fill="17324D"/>
            <w:vAlign w:val="center"/>
          </w:tcPr>
          <w:p>
            <w:r/>
            <w:r>
              <w:rPr>
                <w:rFonts w:ascii="Aptos" w:hAnsi="Aptos"/>
                <w:b/>
                <w:color w:val="FFFFFF"/>
                <w:sz w:val="17"/>
              </w:rPr>
              <w:t>Action</w:t>
            </w:r>
          </w:p>
        </w:tc>
        <w:tc>
          <w:tcPr>
            <w:tcW w:type="dxa" w:w="3888"/>
            <w:shd w:fill="17324D"/>
            <w:vAlign w:val="center"/>
          </w:tcPr>
          <w:p>
            <w:r/>
            <w:r>
              <w:rPr>
                <w:rFonts w:ascii="Aptos" w:hAnsi="Aptos"/>
                <w:b/>
                <w:color w:val="FFFFFF"/>
                <w:sz w:val="17"/>
              </w:rPr>
              <w:t>Evidence Required</w:t>
            </w:r>
          </w:p>
        </w:tc>
      </w:tr>
      <w:tr>
        <w:tc>
          <w:tcPr>
            <w:tcW w:type="dxa" w:w="648"/>
            <w:vAlign w:val="center"/>
            <w:shd w:fill="F3F4F6"/>
          </w:tcPr>
          <w:p>
            <w:r/>
            <w:r>
              <w:rPr>
                <w:rFonts w:ascii="Aptos" w:hAnsi="Aptos"/>
                <w:b w:val="0"/>
                <w:sz w:val="17"/>
              </w:rPr>
              <w:t>1</w:t>
            </w:r>
          </w:p>
        </w:tc>
        <w:tc>
          <w:tcPr>
            <w:tcW w:type="dxa" w:w="5112"/>
            <w:vAlign w:val="center"/>
            <w:shd w:fill="F3F4F6"/>
          </w:tcPr>
          <w:p>
            <w:r/>
            <w:r>
              <w:rPr>
                <w:rFonts w:ascii="Aptos" w:hAnsi="Aptos"/>
                <w:b w:val="0"/>
                <w:sz w:val="17"/>
              </w:rPr>
              <w:t>Duplicate the latest approved draft and assign working version.</w:t>
            </w:r>
          </w:p>
        </w:tc>
        <w:tc>
          <w:tcPr>
            <w:tcW w:type="dxa" w:w="3888"/>
            <w:vAlign w:val="center"/>
            <w:shd w:fill="F3F4F6"/>
          </w:tcPr>
          <w:p>
            <w:r/>
            <w:r>
              <w:rPr>
                <w:rFonts w:ascii="Aptos" w:hAnsi="Aptos"/>
                <w:b w:val="0"/>
                <w:sz w:val="17"/>
              </w:rPr>
              <w:t>Version-controlled source file.</w:t>
            </w:r>
          </w:p>
        </w:tc>
      </w:tr>
      <w:tr>
        <w:tc>
          <w:tcPr>
            <w:tcW w:type="dxa" w:w="648"/>
            <w:vAlign w:val="center"/>
          </w:tcPr>
          <w:p>
            <w:r/>
            <w:r>
              <w:rPr>
                <w:rFonts w:ascii="Aptos" w:hAnsi="Aptos"/>
                <w:b w:val="0"/>
                <w:sz w:val="17"/>
              </w:rPr>
              <w:t>2</w:t>
            </w:r>
          </w:p>
        </w:tc>
        <w:tc>
          <w:tcPr>
            <w:tcW w:type="dxa" w:w="5112"/>
            <w:vAlign w:val="center"/>
          </w:tcPr>
          <w:p>
            <w:r/>
            <w:r>
              <w:rPr>
                <w:rFonts w:ascii="Aptos" w:hAnsi="Aptos"/>
                <w:b w:val="0"/>
                <w:sz w:val="17"/>
              </w:rPr>
              <w:t>Apply canonical cover, notices, headings, and section architecture.</w:t>
            </w:r>
          </w:p>
        </w:tc>
        <w:tc>
          <w:tcPr>
            <w:tcW w:type="dxa" w:w="3888"/>
            <w:vAlign w:val="center"/>
          </w:tcPr>
          <w:p>
            <w:r/>
            <w:r>
              <w:rPr>
                <w:rFonts w:ascii="Aptos" w:hAnsi="Aptos"/>
                <w:b w:val="0"/>
                <w:sz w:val="17"/>
              </w:rPr>
              <w:t>Template checklist.</w:t>
            </w:r>
          </w:p>
        </w:tc>
      </w:tr>
      <w:tr>
        <w:tc>
          <w:tcPr>
            <w:tcW w:type="dxa" w:w="648"/>
            <w:vAlign w:val="center"/>
            <w:shd w:fill="F3F4F6"/>
          </w:tcPr>
          <w:p>
            <w:r/>
            <w:r>
              <w:rPr>
                <w:rFonts w:ascii="Aptos" w:hAnsi="Aptos"/>
                <w:b w:val="0"/>
                <w:sz w:val="17"/>
              </w:rPr>
              <w:t>3</w:t>
            </w:r>
          </w:p>
        </w:tc>
        <w:tc>
          <w:tcPr>
            <w:tcW w:type="dxa" w:w="5112"/>
            <w:vAlign w:val="center"/>
            <w:shd w:fill="F3F4F6"/>
          </w:tcPr>
          <w:p>
            <w:r/>
            <w:r>
              <w:rPr>
                <w:rFonts w:ascii="Aptos" w:hAnsi="Aptos"/>
                <w:b w:val="0"/>
                <w:sz w:val="17"/>
              </w:rPr>
              <w:t>Reduce objectives to 3–5 and verify content/assessment alignment.</w:t>
            </w:r>
          </w:p>
        </w:tc>
        <w:tc>
          <w:tcPr>
            <w:tcW w:type="dxa" w:w="3888"/>
            <w:vAlign w:val="center"/>
            <w:shd w:fill="F3F4F6"/>
          </w:tcPr>
          <w:p>
            <w:r/>
            <w:r>
              <w:rPr>
                <w:rFonts w:ascii="Aptos" w:hAnsi="Aptos"/>
                <w:b w:val="0"/>
                <w:sz w:val="17"/>
              </w:rPr>
              <w:t>Objective map.</w:t>
            </w:r>
          </w:p>
        </w:tc>
      </w:tr>
      <w:tr>
        <w:tc>
          <w:tcPr>
            <w:tcW w:type="dxa" w:w="648"/>
            <w:vAlign w:val="center"/>
          </w:tcPr>
          <w:p>
            <w:r/>
            <w:r>
              <w:rPr>
                <w:rFonts w:ascii="Aptos" w:hAnsi="Aptos"/>
                <w:b w:val="0"/>
                <w:sz w:val="17"/>
              </w:rPr>
              <w:t>4</w:t>
            </w:r>
          </w:p>
        </w:tc>
        <w:tc>
          <w:tcPr>
            <w:tcW w:type="dxa" w:w="5112"/>
            <w:vAlign w:val="center"/>
          </w:tcPr>
          <w:p>
            <w:r/>
            <w:r>
              <w:rPr>
                <w:rFonts w:ascii="Aptos" w:hAnsi="Aptos"/>
                <w:b w:val="0"/>
                <w:sz w:val="17"/>
              </w:rPr>
              <w:t>Add or standardize Chapter Summary and study-planning section.</w:t>
            </w:r>
          </w:p>
        </w:tc>
        <w:tc>
          <w:tcPr>
            <w:tcW w:type="dxa" w:w="3888"/>
            <w:vAlign w:val="center"/>
          </w:tcPr>
          <w:p>
            <w:r/>
            <w:r>
              <w:rPr>
                <w:rFonts w:ascii="Aptos" w:hAnsi="Aptos"/>
                <w:b w:val="0"/>
                <w:sz w:val="17"/>
              </w:rPr>
              <w:t>Section checklist.</w:t>
            </w:r>
          </w:p>
        </w:tc>
      </w:tr>
      <w:tr>
        <w:tc>
          <w:tcPr>
            <w:tcW w:type="dxa" w:w="648"/>
            <w:vAlign w:val="center"/>
            <w:shd w:fill="F3F4F6"/>
          </w:tcPr>
          <w:p>
            <w:r/>
            <w:r>
              <w:rPr>
                <w:rFonts w:ascii="Aptos" w:hAnsi="Aptos"/>
                <w:b w:val="0"/>
                <w:sz w:val="17"/>
              </w:rPr>
              <w:t>5</w:t>
            </w:r>
          </w:p>
        </w:tc>
        <w:tc>
          <w:tcPr>
            <w:tcW w:type="dxa" w:w="5112"/>
            <w:vAlign w:val="center"/>
            <w:shd w:fill="F3F4F6"/>
          </w:tcPr>
          <w:p>
            <w:r/>
            <w:r>
              <w:rPr>
                <w:rFonts w:ascii="Aptos" w:hAnsi="Aptos"/>
                <w:b w:val="0"/>
                <w:sz w:val="17"/>
              </w:rPr>
              <w:t>Remove internal references and move controls to admin tracker.</w:t>
            </w:r>
          </w:p>
        </w:tc>
        <w:tc>
          <w:tcPr>
            <w:tcW w:type="dxa" w:w="3888"/>
            <w:vAlign w:val="center"/>
            <w:shd w:fill="F3F4F6"/>
          </w:tcPr>
          <w:p>
            <w:r/>
            <w:r>
              <w:rPr>
                <w:rFonts w:ascii="Aptos" w:hAnsi="Aptos"/>
                <w:b w:val="0"/>
                <w:sz w:val="17"/>
              </w:rPr>
              <w:t>Content scan.</w:t>
            </w:r>
          </w:p>
        </w:tc>
      </w:tr>
      <w:tr>
        <w:tc>
          <w:tcPr>
            <w:tcW w:type="dxa" w:w="648"/>
            <w:vAlign w:val="center"/>
          </w:tcPr>
          <w:p>
            <w:r/>
            <w:r>
              <w:rPr>
                <w:rFonts w:ascii="Aptos" w:hAnsi="Aptos"/>
                <w:b w:val="0"/>
                <w:sz w:val="17"/>
              </w:rPr>
              <w:t>6</w:t>
            </w:r>
          </w:p>
        </w:tc>
        <w:tc>
          <w:tcPr>
            <w:tcW w:type="dxa" w:w="5112"/>
            <w:vAlign w:val="center"/>
          </w:tcPr>
          <w:p>
            <w:r/>
            <w:r>
              <w:rPr>
                <w:rFonts w:ascii="Aptos" w:hAnsi="Aptos"/>
                <w:b w:val="0"/>
                <w:sz w:val="17"/>
              </w:rPr>
              <w:t>Audit every question, rationale, and answer key.</w:t>
            </w:r>
          </w:p>
        </w:tc>
        <w:tc>
          <w:tcPr>
            <w:tcW w:type="dxa" w:w="3888"/>
            <w:vAlign w:val="center"/>
          </w:tcPr>
          <w:p>
            <w:r/>
            <w:r>
              <w:rPr>
                <w:rFonts w:ascii="Aptos" w:hAnsi="Aptos"/>
                <w:b w:val="0"/>
                <w:sz w:val="17"/>
              </w:rPr>
              <w:t>Question QA log.</w:t>
            </w:r>
          </w:p>
        </w:tc>
      </w:tr>
      <w:tr>
        <w:tc>
          <w:tcPr>
            <w:tcW w:type="dxa" w:w="648"/>
            <w:vAlign w:val="center"/>
            <w:shd w:fill="F3F4F6"/>
          </w:tcPr>
          <w:p>
            <w:r/>
            <w:r>
              <w:rPr>
                <w:rFonts w:ascii="Aptos" w:hAnsi="Aptos"/>
                <w:b w:val="0"/>
                <w:sz w:val="17"/>
              </w:rPr>
              <w:t>7</w:t>
            </w:r>
          </w:p>
        </w:tc>
        <w:tc>
          <w:tcPr>
            <w:tcW w:type="dxa" w:w="5112"/>
            <w:vAlign w:val="center"/>
            <w:shd w:fill="F3F4F6"/>
          </w:tcPr>
          <w:p>
            <w:r/>
            <w:r>
              <w:rPr>
                <w:rFonts w:ascii="Aptos" w:hAnsi="Aptos"/>
                <w:b w:val="0"/>
                <w:sz w:val="17"/>
              </w:rPr>
              <w:t>Rebalance answer positions without changing the best answer.</w:t>
            </w:r>
          </w:p>
        </w:tc>
        <w:tc>
          <w:tcPr>
            <w:tcW w:type="dxa" w:w="3888"/>
            <w:vAlign w:val="center"/>
            <w:shd w:fill="F3F4F6"/>
          </w:tcPr>
          <w:p>
            <w:r/>
            <w:r>
              <w:rPr>
                <w:rFonts w:ascii="Aptos" w:hAnsi="Aptos"/>
                <w:b w:val="0"/>
                <w:sz w:val="17"/>
              </w:rPr>
              <w:t>Distribution report.</w:t>
            </w:r>
          </w:p>
        </w:tc>
      </w:tr>
      <w:tr>
        <w:tc>
          <w:tcPr>
            <w:tcW w:type="dxa" w:w="648"/>
            <w:vAlign w:val="center"/>
          </w:tcPr>
          <w:p>
            <w:r/>
            <w:r>
              <w:rPr>
                <w:rFonts w:ascii="Aptos" w:hAnsi="Aptos"/>
                <w:b w:val="0"/>
                <w:sz w:val="17"/>
              </w:rPr>
              <w:t>8</w:t>
            </w:r>
          </w:p>
        </w:tc>
        <w:tc>
          <w:tcPr>
            <w:tcW w:type="dxa" w:w="5112"/>
            <w:vAlign w:val="center"/>
          </w:tcPr>
          <w:p>
            <w:r/>
            <w:r>
              <w:rPr>
                <w:rFonts w:ascii="Aptos" w:hAnsi="Aptos"/>
                <w:b w:val="0"/>
                <w:sz w:val="17"/>
              </w:rPr>
              <w:t>Complete accessibility remediation.</w:t>
            </w:r>
          </w:p>
        </w:tc>
        <w:tc>
          <w:tcPr>
            <w:tcW w:type="dxa" w:w="3888"/>
            <w:vAlign w:val="center"/>
          </w:tcPr>
          <w:p>
            <w:r/>
            <w:r>
              <w:rPr>
                <w:rFonts w:ascii="Aptos" w:hAnsi="Aptos"/>
                <w:b w:val="0"/>
                <w:sz w:val="17"/>
              </w:rPr>
              <w:t>Accessibility report with zero high findings.</w:t>
            </w:r>
          </w:p>
        </w:tc>
      </w:tr>
      <w:tr>
        <w:tc>
          <w:tcPr>
            <w:tcW w:type="dxa" w:w="648"/>
            <w:vAlign w:val="center"/>
            <w:shd w:fill="F3F4F6"/>
          </w:tcPr>
          <w:p>
            <w:r/>
            <w:r>
              <w:rPr>
                <w:rFonts w:ascii="Aptos" w:hAnsi="Aptos"/>
                <w:b w:val="0"/>
                <w:sz w:val="17"/>
              </w:rPr>
              <w:t>9</w:t>
            </w:r>
          </w:p>
        </w:tc>
        <w:tc>
          <w:tcPr>
            <w:tcW w:type="dxa" w:w="5112"/>
            <w:vAlign w:val="center"/>
            <w:shd w:fill="F3F4F6"/>
          </w:tcPr>
          <w:p>
            <w:r/>
            <w:r>
              <w:rPr>
                <w:rFonts w:ascii="Aptos" w:hAnsi="Aptos"/>
                <w:b w:val="0"/>
                <w:sz w:val="17"/>
              </w:rPr>
              <w:t>Verify official and dated sources; obtain SME signoff where required.</w:t>
            </w:r>
          </w:p>
        </w:tc>
        <w:tc>
          <w:tcPr>
            <w:tcW w:type="dxa" w:w="3888"/>
            <w:vAlign w:val="center"/>
            <w:shd w:fill="F3F4F6"/>
          </w:tcPr>
          <w:p>
            <w:r/>
            <w:r>
              <w:rPr>
                <w:rFonts w:ascii="Aptos" w:hAnsi="Aptos"/>
                <w:b w:val="0"/>
                <w:sz w:val="17"/>
              </w:rPr>
              <w:t>Source and SME log.</w:t>
            </w:r>
          </w:p>
        </w:tc>
      </w:tr>
      <w:tr>
        <w:tc>
          <w:tcPr>
            <w:tcW w:type="dxa" w:w="648"/>
            <w:vAlign w:val="center"/>
          </w:tcPr>
          <w:p>
            <w:r/>
            <w:r>
              <w:rPr>
                <w:rFonts w:ascii="Aptos" w:hAnsi="Aptos"/>
                <w:b w:val="0"/>
                <w:sz w:val="17"/>
              </w:rPr>
              <w:t>10</w:t>
            </w:r>
          </w:p>
        </w:tc>
        <w:tc>
          <w:tcPr>
            <w:tcW w:type="dxa" w:w="5112"/>
            <w:vAlign w:val="center"/>
          </w:tcPr>
          <w:p>
            <w:r/>
            <w:r>
              <w:rPr>
                <w:rFonts w:ascii="Aptos" w:hAnsi="Aptos"/>
                <w:b w:val="0"/>
                <w:sz w:val="17"/>
              </w:rPr>
              <w:t>Render the DOCX and visually inspect every page.</w:t>
            </w:r>
          </w:p>
        </w:tc>
        <w:tc>
          <w:tcPr>
            <w:tcW w:type="dxa" w:w="3888"/>
            <w:vAlign w:val="center"/>
          </w:tcPr>
          <w:p>
            <w:r/>
            <w:r>
              <w:rPr>
                <w:rFonts w:ascii="Aptos" w:hAnsi="Aptos"/>
                <w:b w:val="0"/>
                <w:sz w:val="17"/>
              </w:rPr>
              <w:t>Rendered-page QA record.</w:t>
            </w:r>
          </w:p>
        </w:tc>
      </w:tr>
      <w:tr>
        <w:tc>
          <w:tcPr>
            <w:tcW w:type="dxa" w:w="648"/>
            <w:vAlign w:val="center"/>
            <w:shd w:fill="F3F4F6"/>
          </w:tcPr>
          <w:p>
            <w:r/>
            <w:r>
              <w:rPr>
                <w:rFonts w:ascii="Aptos" w:hAnsi="Aptos"/>
                <w:b w:val="0"/>
                <w:sz w:val="17"/>
              </w:rPr>
              <w:t>11</w:t>
            </w:r>
          </w:p>
        </w:tc>
        <w:tc>
          <w:tcPr>
            <w:tcW w:type="dxa" w:w="5112"/>
            <w:vAlign w:val="center"/>
            <w:shd w:fill="F3F4F6"/>
          </w:tcPr>
          <w:p>
            <w:r/>
            <w:r>
              <w:rPr>
                <w:rFonts w:ascii="Aptos" w:hAnsi="Aptos"/>
                <w:b w:val="0"/>
                <w:sz w:val="17"/>
              </w:rPr>
              <w:t>Export final DOCX and PDF, scrub metadata, and label v1.0.</w:t>
            </w:r>
          </w:p>
        </w:tc>
        <w:tc>
          <w:tcPr>
            <w:tcW w:type="dxa" w:w="3888"/>
            <w:vAlign w:val="center"/>
            <w:shd w:fill="F3F4F6"/>
          </w:tcPr>
          <w:p>
            <w:r/>
            <w:r>
              <w:rPr>
                <w:rFonts w:ascii="Aptos" w:hAnsi="Aptos"/>
                <w:b w:val="0"/>
                <w:sz w:val="17"/>
              </w:rPr>
              <w:t>Final release package.</w:t>
            </w:r>
          </w:p>
        </w:tc>
      </w:tr>
    </w:tbl>
    <w:p>
      <w:pPr>
        <w:widowControl/>
        <w:spacing w:after="0"/>
      </w:pPr>
    </w:p>
    <w:p>
      <w:pPr>
        <w:pStyle w:val="Heading1"/>
        <w:widowControl/>
        <w:spacing w:before="200" w:after="100"/>
      </w:pPr>
      <w:r>
        <w:t>11. v1.0 Acceptance Checklist</w:t>
      </w:r>
    </w:p>
    <w:p>
      <w:pPr>
        <w:widowControl/>
      </w:pPr>
      <w:r>
        <w:rPr>
          <w:b/>
        </w:rPr>
        <w:t xml:space="preserve">☐ </w:t>
      </w:r>
      <w:r>
        <w:t>Canonical cover title and CTA branding are correct.</w:t>
      </w:r>
    </w:p>
    <w:p>
      <w:pPr>
        <w:widowControl/>
      </w:pPr>
      <w:r>
        <w:rPr>
          <w:b/>
        </w:rPr>
        <w:t xml:space="preserve">☐ </w:t>
      </w:r>
      <w:r>
        <w:t>Student-facing educational, non-affiliation, and no-guarantee notices are present.</w:t>
      </w:r>
    </w:p>
    <w:p>
      <w:pPr>
        <w:widowControl/>
      </w:pPr>
      <w:r>
        <w:rPr>
          <w:b/>
        </w:rPr>
        <w:t xml:space="preserve">☐ </w:t>
      </w:r>
      <w:r>
        <w:t>Exactly 3–5 measurable learning objectives are included.</w:t>
      </w:r>
    </w:p>
    <w:p>
      <w:pPr>
        <w:widowControl/>
      </w:pPr>
      <w:r>
        <w:rPr>
          <w:b/>
        </w:rPr>
        <w:t xml:space="preserve">☐ </w:t>
      </w:r>
      <w:r>
        <w:t>All required CTA exam-preparation chapter sections are present.</w:t>
      </w:r>
    </w:p>
    <w:p>
      <w:pPr>
        <w:widowControl/>
      </w:pPr>
      <w:r>
        <w:rPr>
          <w:b/>
        </w:rPr>
        <w:t xml:space="preserve">☐ </w:t>
      </w:r>
      <w:r>
        <w:t>Chapter Summary contains 4–6 concise bullets.</w:t>
      </w:r>
    </w:p>
    <w:p>
      <w:pPr>
        <w:widowControl/>
      </w:pPr>
      <w:r>
        <w:rPr>
          <w:b/>
        </w:rPr>
        <w:t xml:space="preserve">☐ </w:t>
      </w:r>
      <w:r>
        <w:t>Question count and intended cognitive distribution are correct.</w:t>
      </w:r>
    </w:p>
    <w:p>
      <w:pPr>
        <w:widowControl/>
      </w:pPr>
      <w:r>
        <w:rPr>
          <w:b/>
        </w:rPr>
        <w:t xml:space="preserve">☐ </w:t>
      </w:r>
      <w:r>
        <w:t>Every question has one best answer and full option-by-option rationales.</w:t>
      </w:r>
    </w:p>
    <w:p>
      <w:pPr>
        <w:widowControl/>
      </w:pPr>
      <w:r>
        <w:rPr>
          <w:b/>
        </w:rPr>
        <w:t xml:space="preserve">☐ </w:t>
      </w:r>
      <w:r>
        <w:t>Answer-position distribution passes the integrity standard.</w:t>
      </w:r>
    </w:p>
    <w:p>
      <w:pPr>
        <w:widowControl/>
      </w:pPr>
      <w:r>
        <w:rPr>
          <w:b/>
        </w:rPr>
        <w:t xml:space="preserve">☐ </w:t>
      </w:r>
      <w:r>
        <w:t>No internal development notes, source IDs, file paths, or publication controls remain.</w:t>
      </w:r>
    </w:p>
    <w:p>
      <w:pPr>
        <w:widowControl/>
      </w:pPr>
      <w:r>
        <w:rPr>
          <w:b/>
        </w:rPr>
        <w:t xml:space="preserve">☐ </w:t>
      </w:r>
      <w:r>
        <w:t>Accessibility audit reports zero high-severity findings.</w:t>
      </w:r>
    </w:p>
    <w:p>
      <w:pPr>
        <w:widowControl/>
      </w:pPr>
      <w:r>
        <w:rPr>
          <w:b/>
        </w:rPr>
        <w:t xml:space="preserve">☐ </w:t>
      </w:r>
      <w:r>
        <w:t>Current official sources have been verified and dated.</w:t>
      </w:r>
    </w:p>
    <w:p>
      <w:pPr>
        <w:widowControl/>
      </w:pPr>
      <w:r>
        <w:rPr>
          <w:b/>
        </w:rPr>
        <w:t xml:space="preserve">☐ </w:t>
      </w:r>
      <w:r>
        <w:t>Required legal or clinical SME signoff is recorded.</w:t>
      </w:r>
    </w:p>
    <w:p>
      <w:pPr>
        <w:widowControl/>
      </w:pPr>
      <w:r>
        <w:rPr>
          <w:b/>
        </w:rPr>
        <w:t xml:space="preserve">☐ </w:t>
      </w:r>
      <w:r>
        <w:t>DOCX has been rendered and every page visually reviewed.</w:t>
      </w:r>
    </w:p>
    <w:p>
      <w:pPr>
        <w:widowControl/>
      </w:pPr>
      <w:r>
        <w:rPr>
          <w:b/>
        </w:rPr>
        <w:t xml:space="preserve">☐ </w:t>
      </w:r>
      <w:r>
        <w:t>Final DOCX and PDF match and contain no clipping, overlaps, broken tables, or missing glyphs.</w:t>
      </w:r>
    </w:p>
    <w:p>
      <w:pPr>
        <w:widowControl/>
      </w:pPr>
      <w:r>
        <w:rPr>
          <w:b/>
        </w:rPr>
        <w:t xml:space="preserve">☐ </w:t>
      </w:r>
      <w:r>
        <w:t>Metadata has been scrubbed and the release package is labeled v1.0.</w:t>
      </w:r>
    </w:p>
    <w:p>
      <w:pPr>
        <w:pStyle w:val="Heading1"/>
        <w:widowControl/>
        <w:spacing w:before="200" w:after="100"/>
      </w:pPr>
      <w:r>
        <w:t>12. Portfolio Rollout Order</w:t>
      </w:r>
    </w:p>
    <w:tbl>
      <w:tblPr>
        <w:tblStyle w:val="TableGrid"/>
        <w:tblW w:type="auto" w:w="0"/>
        <w:jc w:val="center"/>
        <w:tblLook w:firstColumn="1" w:firstRow="1" w:lastColumn="0" w:lastRow="0" w:noHBand="0" w:noVBand="1" w:val="04A0"/>
      </w:tblPr>
      <w:tblGrid>
        <w:gridCol w:w="3408"/>
        <w:gridCol w:w="3408"/>
        <w:gridCol w:w="3408"/>
      </w:tblGrid>
      <w:tr>
        <w:tc>
          <w:tcPr>
            <w:tcW w:type="dxa" w:w="1152"/>
            <w:shd w:fill="17324D"/>
            <w:vAlign w:val="center"/>
          </w:tcPr>
          <w:p>
            <w:r/>
            <w:r>
              <w:rPr>
                <w:rFonts w:ascii="Aptos" w:hAnsi="Aptos"/>
                <w:b/>
                <w:color w:val="FFFFFF"/>
                <w:sz w:val="17"/>
              </w:rPr>
              <w:t>Wave</w:t>
            </w:r>
          </w:p>
        </w:tc>
        <w:tc>
          <w:tcPr>
            <w:tcW w:type="dxa" w:w="3168"/>
            <w:shd w:fill="17324D"/>
            <w:vAlign w:val="center"/>
          </w:tcPr>
          <w:p>
            <w:r/>
            <w:r>
              <w:rPr>
                <w:rFonts w:ascii="Aptos" w:hAnsi="Aptos"/>
                <w:b/>
                <w:color w:val="FFFFFF"/>
                <w:sz w:val="17"/>
              </w:rPr>
              <w:t>Scope</w:t>
            </w:r>
          </w:p>
        </w:tc>
        <w:tc>
          <w:tcPr>
            <w:tcW w:type="dxa" w:w="5328"/>
            <w:shd w:fill="17324D"/>
            <w:vAlign w:val="center"/>
          </w:tcPr>
          <w:p>
            <w:r/>
            <w:r>
              <w:rPr>
                <w:rFonts w:ascii="Aptos" w:hAnsi="Aptos"/>
                <w:b/>
                <w:color w:val="FFFFFF"/>
                <w:sz w:val="17"/>
              </w:rPr>
              <w:t>Reason</w:t>
            </w:r>
          </w:p>
        </w:tc>
      </w:tr>
      <w:tr>
        <w:tc>
          <w:tcPr>
            <w:tcW w:type="dxa" w:w="1152"/>
            <w:vAlign w:val="center"/>
            <w:shd w:fill="F3F4F6"/>
          </w:tcPr>
          <w:p>
            <w:r/>
            <w:r>
              <w:rPr>
                <w:rFonts w:ascii="Aptos" w:hAnsi="Aptos"/>
                <w:b w:val="0"/>
                <w:sz w:val="17"/>
              </w:rPr>
              <w:t>Pilot</w:t>
            </w:r>
          </w:p>
        </w:tc>
        <w:tc>
          <w:tcPr>
            <w:tcW w:type="dxa" w:w="3168"/>
            <w:vAlign w:val="center"/>
            <w:shd w:fill="F3F4F6"/>
          </w:tcPr>
          <w:p>
            <w:r/>
            <w:r>
              <w:rPr>
                <w:rFonts w:ascii="Aptos" w:hAnsi="Aptos"/>
                <w:b w:val="0"/>
                <w:sz w:val="17"/>
              </w:rPr>
              <w:t>LMFT WB1 and LCSW WB1</w:t>
            </w:r>
          </w:p>
        </w:tc>
        <w:tc>
          <w:tcPr>
            <w:tcW w:type="dxa" w:w="5328"/>
            <w:vAlign w:val="center"/>
            <w:shd w:fill="F3F4F6"/>
          </w:tcPr>
          <w:p>
            <w:r/>
            <w:r>
              <w:rPr>
                <w:rFonts w:ascii="Aptos" w:hAnsi="Aptos"/>
                <w:b w:val="0"/>
                <w:sz w:val="17"/>
              </w:rPr>
              <w:t>Validate the template, accessibility fixes, and assessment-rebalancing workflow.</w:t>
            </w:r>
          </w:p>
        </w:tc>
      </w:tr>
      <w:tr>
        <w:tc>
          <w:tcPr>
            <w:tcW w:type="dxa" w:w="1152"/>
            <w:vAlign w:val="center"/>
          </w:tcPr>
          <w:p>
            <w:r/>
            <w:r>
              <w:rPr>
                <w:rFonts w:ascii="Aptos" w:hAnsi="Aptos"/>
                <w:b w:val="0"/>
                <w:sz w:val="17"/>
              </w:rPr>
              <w:t>Wave 1</w:t>
            </w:r>
          </w:p>
        </w:tc>
        <w:tc>
          <w:tcPr>
            <w:tcW w:type="dxa" w:w="3168"/>
            <w:vAlign w:val="center"/>
          </w:tcPr>
          <w:p>
            <w:r/>
            <w:r>
              <w:rPr>
                <w:rFonts w:ascii="Aptos" w:hAnsi="Aptos"/>
                <w:b w:val="0"/>
                <w:sz w:val="17"/>
              </w:rPr>
              <w:t>WB2–WB4 in both programs</w:t>
            </w:r>
          </w:p>
        </w:tc>
        <w:tc>
          <w:tcPr>
            <w:tcW w:type="dxa" w:w="5328"/>
            <w:vAlign w:val="center"/>
          </w:tcPr>
          <w:p>
            <w:r/>
            <w:r>
              <w:rPr>
                <w:rFonts w:ascii="Aptos" w:hAnsi="Aptos"/>
                <w:b w:val="0"/>
                <w:sz w:val="17"/>
              </w:rPr>
              <w:t>High assessment and foundational-content use.</w:t>
            </w:r>
          </w:p>
        </w:tc>
      </w:tr>
      <w:tr>
        <w:tc>
          <w:tcPr>
            <w:tcW w:type="dxa" w:w="1152"/>
            <w:vAlign w:val="center"/>
            <w:shd w:fill="F3F4F6"/>
          </w:tcPr>
          <w:p>
            <w:r/>
            <w:r>
              <w:rPr>
                <w:rFonts w:ascii="Aptos" w:hAnsi="Aptos"/>
                <w:b w:val="0"/>
                <w:sz w:val="17"/>
              </w:rPr>
              <w:t>Wave 2</w:t>
            </w:r>
          </w:p>
        </w:tc>
        <w:tc>
          <w:tcPr>
            <w:tcW w:type="dxa" w:w="3168"/>
            <w:vAlign w:val="center"/>
            <w:shd w:fill="F3F4F6"/>
          </w:tcPr>
          <w:p>
            <w:r/>
            <w:r>
              <w:rPr>
                <w:rFonts w:ascii="Aptos" w:hAnsi="Aptos"/>
                <w:b w:val="0"/>
                <w:sz w:val="17"/>
              </w:rPr>
              <w:t>WB5–WB8 in both programs</w:t>
            </w:r>
          </w:p>
        </w:tc>
        <w:tc>
          <w:tcPr>
            <w:tcW w:type="dxa" w:w="5328"/>
            <w:vAlign w:val="center"/>
            <w:shd w:fill="F3F4F6"/>
          </w:tcPr>
          <w:p>
            <w:r/>
            <w:r>
              <w:rPr>
                <w:rFonts w:ascii="Aptos" w:hAnsi="Aptos"/>
                <w:b w:val="0"/>
                <w:sz w:val="17"/>
              </w:rPr>
              <w:t>Diagnosis, crisis, planning, and intervention content.</w:t>
            </w:r>
          </w:p>
        </w:tc>
      </w:tr>
      <w:tr>
        <w:tc>
          <w:tcPr>
            <w:tcW w:type="dxa" w:w="1152"/>
            <w:vAlign w:val="center"/>
          </w:tcPr>
          <w:p>
            <w:r/>
            <w:r>
              <w:rPr>
                <w:rFonts w:ascii="Aptos" w:hAnsi="Aptos"/>
                <w:b w:val="0"/>
                <w:sz w:val="17"/>
              </w:rPr>
              <w:t>Wave 3</w:t>
            </w:r>
          </w:p>
        </w:tc>
        <w:tc>
          <w:tcPr>
            <w:tcW w:type="dxa" w:w="3168"/>
            <w:vAlign w:val="center"/>
          </w:tcPr>
          <w:p>
            <w:r/>
            <w:r>
              <w:rPr>
                <w:rFonts w:ascii="Aptos" w:hAnsi="Aptos"/>
                <w:b w:val="0"/>
                <w:sz w:val="17"/>
              </w:rPr>
              <w:t>WB9–WB12 in both programs</w:t>
            </w:r>
          </w:p>
        </w:tc>
        <w:tc>
          <w:tcPr>
            <w:tcW w:type="dxa" w:w="5328"/>
            <w:vAlign w:val="center"/>
          </w:tcPr>
          <w:p>
            <w:r/>
            <w:r>
              <w:rPr>
                <w:rFonts w:ascii="Aptos" w:hAnsi="Aptos"/>
                <w:b w:val="0"/>
                <w:sz w:val="17"/>
              </w:rPr>
              <w:t>Advanced applications, professional practice, and integrated review.</w:t>
            </w:r>
          </w:p>
        </w:tc>
      </w:tr>
      <w:tr>
        <w:tc>
          <w:tcPr>
            <w:tcW w:type="dxa" w:w="1152"/>
            <w:vAlign w:val="center"/>
            <w:shd w:fill="F3F4F6"/>
          </w:tcPr>
          <w:p>
            <w:r/>
            <w:r>
              <w:rPr>
                <w:rFonts w:ascii="Aptos" w:hAnsi="Aptos"/>
                <w:b w:val="0"/>
                <w:sz w:val="17"/>
              </w:rPr>
              <w:t>Final</w:t>
            </w:r>
          </w:p>
        </w:tc>
        <w:tc>
          <w:tcPr>
            <w:tcW w:type="dxa" w:w="3168"/>
            <w:vAlign w:val="center"/>
            <w:shd w:fill="F3F4F6"/>
          </w:tcPr>
          <w:p>
            <w:r/>
            <w:r>
              <w:rPr>
                <w:rFonts w:ascii="Aptos" w:hAnsi="Aptos"/>
                <w:b w:val="0"/>
                <w:sz w:val="17"/>
              </w:rPr>
              <w:t>Portfolio-wide regression audit</w:t>
            </w:r>
          </w:p>
        </w:tc>
        <w:tc>
          <w:tcPr>
            <w:tcW w:type="dxa" w:w="5328"/>
            <w:vAlign w:val="center"/>
            <w:shd w:fill="F3F4F6"/>
          </w:tcPr>
          <w:p>
            <w:r/>
            <w:r>
              <w:rPr>
                <w:rFonts w:ascii="Aptos" w:hAnsi="Aptos"/>
                <w:b w:val="0"/>
                <w:sz w:val="17"/>
              </w:rPr>
              <w:t>Confirm consistency, links, sources, answer keys, accessibility, and final render quality.</w:t>
            </w:r>
          </w:p>
        </w:tc>
      </w:tr>
    </w:tbl>
    <w:p>
      <w:pPr>
        <w:widowControl/>
        <w:spacing w:after="0"/>
      </w:pPr>
    </w:p>
    <w:tbl>
      <w:tblPr>
        <w:tblW w:type="auto" w:w="0"/>
        <w:jc w:val="center"/>
        <w:tblLook w:firstColumn="1" w:firstRow="1" w:lastColumn="0" w:lastRow="0" w:noHBand="0" w:noVBand="1" w:val="04A0"/>
      </w:tblPr>
      <w:tblGrid>
        <w:gridCol w:w="10224"/>
      </w:tblGrid>
      <w:tr>
        <w:tc>
          <w:tcPr>
            <w:tcW w:type="dxa" w:w="10224"/>
            <w:shd w:fill="E8F5EC"/>
            <w:tcBorders>
              <w:top w:val="single" w:sz="8" w:color="1E7A46"/>
              <w:left w:val="single" w:sz="8" w:color="1E7A46"/>
              <w:bottom w:val="single" w:sz="8" w:color="1E7A46"/>
              <w:right w:val="single" w:sz="8" w:color="1E7A46"/>
            </w:tcBorders>
          </w:tcPr>
          <w:p>
            <w:r>
              <w:rPr>
                <w:b/>
                <w:color w:val="17324D"/>
                <w:sz w:val="21"/>
              </w:rPr>
              <w:t>Immediate Production Decision</w:t>
              <w:br/>
            </w:r>
            <w:r>
              <w:rPr>
                <w:sz w:val="19"/>
              </w:rPr>
              <w:t>Use LMFT Workbook 1 and LCSW Workbook 1 as the pilot pair. Do not revise all 24 simultaneously until the pilot template and QA workflow pass review.</w:t>
            </w:r>
          </w:p>
        </w:tc>
      </w:tr>
    </w:tbl>
    <w:p>
      <w:pPr>
        <w:widowControl/>
        <w:spacing w:after="0"/>
      </w:pPr>
    </w:p>
    <w:p>
      <w:pPr>
        <w:pStyle w:val="Heading1"/>
        <w:widowControl/>
        <w:spacing w:before="200" w:after="100"/>
      </w:pPr>
      <w:r>
        <w:t>Source Basis</w:t>
      </w:r>
    </w:p>
    <w:p>
      <w:pPr>
        <w:widowControl/>
      </w:pPr>
      <w:r>
        <w:rPr>
          <w:b/>
        </w:rPr>
        <w:t xml:space="preserve">Primary internal standard: </w:t>
      </w:r>
      <w:r>
        <w:t>CTA Course Development Standards v1.0, especially the Exam Preparation Program Standards and Assessment Development Standards.</w:t>
      </w:r>
    </w:p>
    <w:p>
      <w:pPr>
        <w:widowControl/>
      </w:pPr>
      <w:r>
        <w:rPr>
          <w:b/>
        </w:rPr>
        <w:t xml:space="preserve">Supporting internal references: </w:t>
      </w:r>
      <w:r>
        <w:t>CTA Master Curriculum Catalog and the 24-Workbook Master QC Audit Report and Matrix.</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CTA Internal Production Standard • Version 1.0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377440" cy="537143"/>
          <wp:docPr id="1" name="Picture 1"/>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2377440" cy="53714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8EB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