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59C9C"/>
          <w:sz w:val="28"/>
        </w:rPr>
        <w:t>CLINICAL TRAINING ACADEMY</w:t>
      </w:r>
    </w:p>
    <w:p>
      <w:pPr>
        <w:pStyle w:val="Title"/>
        <w:jc w:val="center"/>
      </w:pPr>
      <w:r>
        <w:t>LMFT Clinical Comprehensive Simulation</w:t>
      </w:r>
    </w:p>
    <w:p>
      <w:pPr>
        <w:pStyle w:val="Subtitle"/>
        <w:jc w:val="center"/>
      </w:pPr>
      <w:r>
        <w:t>Form A Production Blueprint and Assembly Matrix</w:t>
      </w:r>
    </w:p>
    <w:p>
      <w:pPr>
        <w:jc w:val="center"/>
      </w:pPr>
      <w:r>
        <w:rPr>
          <w:rFonts w:ascii="Arial" w:hAnsi="Arial"/>
          <w:color w:val="202B3C"/>
          <w:sz w:val="22"/>
        </w:rPr>
        <w:t>Version 1.0 • July 25, 2026</w:t>
      </w:r>
    </w:p>
    <w:p>
      <w:pPr>
        <w:spacing w:before="700"/>
        <w:jc w:val="center"/>
      </w:pPr>
      <w:r>
        <w:rPr>
          <w:rFonts w:ascii="Arial" w:hAnsi="Arial"/>
          <w:i/>
          <w:color w:val="4A5564"/>
          <w:sz w:val="22"/>
        </w:rPr>
        <w:t>Controlled production framework for blueprint alignment, exam assembly, answer-key controls, and release review</w:t>
      </w:r>
    </w:p>
    <w:p>
      <w:pPr>
        <w:spacing w:before="2000"/>
        <w:jc w:val="center"/>
      </w:pPr>
      <w:r>
        <w:rPr>
          <w:rFonts w:ascii="Arial" w:hAnsi="Arial"/>
          <w:b/>
          <w:color w:val="17365D"/>
          <w:sz w:val="19"/>
        </w:rPr>
        <w:t>INTERNAL ADMINISTRATIVE RESOURCE</w:t>
      </w:r>
    </w:p>
    <w:p>
      <w:pPr>
        <w:jc w:val="center"/>
      </w:pPr>
      <w:r>
        <w:rPr>
          <w:rFonts w:ascii="Arial" w:hAnsi="Arial"/>
          <w:color w:val="5A6675"/>
          <w:sz w:val="17"/>
        </w:rPr>
        <w:t>Not an official licensing examination. CTA is not affiliated with or endorsed by BBS, Pearson VUE, or ASWB.</w:t>
      </w:r>
    </w:p>
    <w:p>
      <w:r>
        <w:br w:type="page"/>
      </w:r>
    </w:p>
    <w:p>
      <w:pPr>
        <w:pStyle w:val="Heading1"/>
      </w:pPr>
      <w:r>
        <w:t>1. Official Examination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81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Official Structure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Administration</w:t>
            </w:r>
          </w:p>
        </w:tc>
        <w:tc>
          <w:tcPr>
            <w:tcW w:type="dxa" w:w="81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California Board of Behavioral Sciences examination administered through Pearson VUE</w:t>
            </w:r>
          </w:p>
        </w:tc>
      </w:tr>
      <w:tr>
        <w:tc>
          <w:tcPr>
            <w:tcW w:type="dxa" w:w="29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 questions</w:t>
            </w:r>
          </w:p>
        </w:tc>
        <w:tc>
          <w:tcPr>
            <w:tcW w:type="dxa" w:w="813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150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Scored questions</w:t>
            </w:r>
          </w:p>
        </w:tc>
        <w:tc>
          <w:tcPr>
            <w:tcW w:type="dxa" w:w="81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125</w:t>
            </w:r>
          </w:p>
        </w:tc>
      </w:tr>
      <w:tr>
        <w:tc>
          <w:tcPr>
            <w:tcW w:type="dxa" w:w="29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Pretest questions</w:t>
            </w:r>
          </w:p>
        </w:tc>
        <w:tc>
          <w:tcPr>
            <w:tcW w:type="dxa" w:w="813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25, dispersed and not identified on the official exam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Time</w:t>
            </w:r>
          </w:p>
        </w:tc>
        <w:tc>
          <w:tcPr>
            <w:tcW w:type="dxa" w:w="81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240 minutes</w:t>
            </w:r>
          </w:p>
        </w:tc>
      </w:tr>
      <w:tr>
        <w:tc>
          <w:tcPr>
            <w:tcW w:type="dxa" w:w="29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Options</w:t>
            </w:r>
          </w:p>
        </w:tc>
        <w:tc>
          <w:tcPr>
            <w:tcW w:type="dxa" w:w="813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Four options, A–D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Outline</w:t>
            </w:r>
          </w:p>
        </w:tc>
        <w:tc>
          <w:tcPr>
            <w:tcW w:type="dxa" w:w="81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LMFT Written Clinical Examination Outline, effective January 1, 2021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CTA Form A design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Form A will contain 150 questions. The answer-key file will identify the 125 scored-style items and 25 pretest-style items for CTA scoring purposes; the student exam will not label pretest-style items.</w:t>
            </w:r>
          </w:p>
        </w:tc>
        <w:trPr>
          <w:tblHeader/>
        </w:trPr>
      </w:tr>
    </w:tbl>
    <w:p/>
    <w:p>
      <w:pPr>
        <w:pStyle w:val="Heading1"/>
      </w:pPr>
      <w:r>
        <w:t>2. Official Blueprint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44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Official Area</w:t>
            </w:r>
          </w:p>
        </w:tc>
        <w:tc>
          <w:tcPr>
            <w:tcW w:type="dxa" w:w="10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</w:t>
            </w:r>
          </w:p>
        </w:tc>
        <w:tc>
          <w:tcPr>
            <w:tcW w:type="dxa" w:w="136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Form</w:t>
            </w:r>
          </w:p>
        </w:tc>
      </w:tr>
      <w:tr>
        <w:tc>
          <w:tcPr>
            <w:tcW w:type="dxa" w:w="44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1. Clinical Evaluation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27%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34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7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41</w:t>
            </w:r>
          </w:p>
        </w:tc>
      </w:tr>
      <w:tr>
        <w:tc>
          <w:tcPr>
            <w:tcW w:type="dxa" w:w="44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2. Developing a Diagnostic Impression</w:t>
            </w:r>
          </w:p>
        </w:tc>
        <w:tc>
          <w:tcPr>
            <w:tcW w:type="dxa" w:w="10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11%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14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</w:t>
            </w:r>
          </w:p>
        </w:tc>
        <w:tc>
          <w:tcPr>
            <w:tcW w:type="dxa" w:w="136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17</w:t>
            </w:r>
          </w:p>
        </w:tc>
      </w:tr>
      <w:tr>
        <w:tc>
          <w:tcPr>
            <w:tcW w:type="dxa" w:w="44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3. Managing Crisis Situations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11%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14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16</w:t>
            </w:r>
          </w:p>
        </w:tc>
      </w:tr>
      <w:tr>
        <w:tc>
          <w:tcPr>
            <w:tcW w:type="dxa" w:w="44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4. Case Conceptualization and Planning</w:t>
            </w:r>
          </w:p>
        </w:tc>
        <w:tc>
          <w:tcPr>
            <w:tcW w:type="dxa" w:w="10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12%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</w:t>
            </w:r>
          </w:p>
        </w:tc>
        <w:tc>
          <w:tcPr>
            <w:tcW w:type="dxa" w:w="136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18</w:t>
            </w:r>
          </w:p>
        </w:tc>
      </w:tr>
      <w:tr>
        <w:tc>
          <w:tcPr>
            <w:tcW w:type="dxa" w:w="44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5. Treatment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29%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36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7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43</w:t>
            </w:r>
          </w:p>
        </w:tc>
      </w:tr>
      <w:tr>
        <w:tc>
          <w:tcPr>
            <w:tcW w:type="dxa" w:w="44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6. Managing Legal and Ethical Obligations</w:t>
            </w:r>
          </w:p>
        </w:tc>
        <w:tc>
          <w:tcPr>
            <w:tcW w:type="dxa" w:w="10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10%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</w:t>
            </w:r>
          </w:p>
        </w:tc>
        <w:tc>
          <w:tcPr>
            <w:tcW w:type="dxa" w:w="136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</w:t>
            </w:r>
          </w:p>
        </w:tc>
      </w:tr>
      <w:tr>
        <w:tc>
          <w:tcPr>
            <w:tcW w:type="dxa" w:w="44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TOTAL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100%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125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25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150</w:t>
            </w:r>
          </w:p>
        </w:tc>
      </w:tr>
    </w:tbl>
    <w:p/>
    <w:p>
      <w:pPr>
        <w:pStyle w:val="Heading1"/>
      </w:pPr>
      <w:r>
        <w:t>3. Domain-Level Coverage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8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Coverage Themes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Clinical Evaluation</w:t>
            </w:r>
          </w:p>
        </w:tc>
        <w:tc>
          <w:tcPr>
            <w:tcW w:type="dxa" w:w="78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Therapeutic engagement; unit of treatment; mental status; medical and medication factors; substance use; development; culture and identity; trauma; strengths; family and couple dynamics; collateral data; referral and consultation.</w:t>
            </w:r>
          </w:p>
        </w:tc>
      </w:tr>
      <w:tr>
        <w:tc>
          <w:tcPr>
            <w:tcW w:type="dxa" w:w="324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Diagnostic Impression</w:t>
            </w:r>
          </w:p>
        </w:tc>
        <w:tc>
          <w:tcPr>
            <w:tcW w:type="dxa" w:w="784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Provisional and differential diagnosis; DSM-5-TR reasoning; medical and substance-induced conditions; relational problems and other conditions that may be a focus of clinical attention.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Managing Crisis Situations</w:t>
            </w:r>
          </w:p>
        </w:tc>
        <w:tc>
          <w:tcPr>
            <w:tcW w:type="dxa" w:w="78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Suicide and self-harm; danger to others; grave disability; intoxication or withdrawal; abuse and violence; sexual assault; disasters; immigration and discrimination-related crisis; stabilization and resource mobilization.</w:t>
            </w:r>
          </w:p>
        </w:tc>
      </w:tr>
      <w:tr>
        <w:tc>
          <w:tcPr>
            <w:tcW w:type="dxa" w:w="324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Case Conceptualization and Planning</w:t>
            </w:r>
          </w:p>
        </w:tc>
        <w:tc>
          <w:tcPr>
            <w:tcW w:type="dxa" w:w="784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Goals and measurable outcomes; stage of treatment; theory-informed planning; progress monitoring; treatment fit; group planning; client collaboration; referral-source constraints.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Treatment</w:t>
            </w:r>
          </w:p>
        </w:tc>
        <w:tc>
          <w:tcPr>
            <w:tcW w:type="dxa" w:w="78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Theory-consistent interventions; individual, couple, family, and group treatment; trauma and recovery; cultural and developmental adaptation; psychoeducation; referrals; interdisciplinary collaboration; progress, termination, and follow-up.</w:t>
            </w:r>
          </w:p>
        </w:tc>
      </w:tr>
      <w:tr>
        <w:tc>
          <w:tcPr>
            <w:tcW w:type="dxa" w:w="324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Legal and Ethical Obligations</w:t>
            </w:r>
          </w:p>
        </w:tc>
        <w:tc>
          <w:tcPr>
            <w:tcW w:type="dxa" w:w="784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Informed consent; confidentiality; records; technology; boundaries and dual relationships; countertransference; third-party involvement; professional conduct, competence, and client protection.</w:t>
            </w:r>
          </w:p>
        </w:tc>
      </w:tr>
    </w:tbl>
    <w:p/>
    <w:p>
      <w:pPr>
        <w:pStyle w:val="Heading1"/>
      </w:pPr>
      <w:r>
        <w:t>4. Internal Cognitive and Difficulty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 Target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 Target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Direct recognition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15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18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Application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47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9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56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Scenario-based sequencing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46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9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55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Integrated reasoning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17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21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125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25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150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 Target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 Target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Easy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31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37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Moderate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63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13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76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Difficult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31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37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125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25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150</w:t>
            </w:r>
          </w:p>
        </w:tc>
      </w:tr>
    </w:tbl>
    <w:p/>
    <w:p>
      <w:pPr>
        <w:pStyle w:val="Heading1"/>
      </w:pPr>
      <w:r>
        <w:t>5. Answer-Key Controls</w:t>
      </w:r>
    </w:p>
    <w:p>
      <w:pPr>
        <w:pStyle w:val="ListBullet"/>
        <w:ind w:left="288" w:hanging="173"/>
      </w:pPr>
      <w:r>
        <w:t>Scored-style key target: A=32, B=31, C=31, D=31.</w:t>
      </w:r>
    </w:p>
    <w:p>
      <w:pPr>
        <w:pStyle w:val="ListBullet"/>
        <w:ind w:left="288" w:hanging="173"/>
      </w:pPr>
      <w:r>
        <w:t>Pretest-style key target: A=6, B=6, C=6, D=7.</w:t>
      </w:r>
    </w:p>
    <w:p>
      <w:pPr>
        <w:pStyle w:val="ListBullet"/>
        <w:ind w:left="288" w:hanging="173"/>
      </w:pPr>
      <w:r>
        <w:t>Whole-form target: A=38, B=37, C=37, D=38.</w:t>
      </w:r>
    </w:p>
    <w:p>
      <w:pPr>
        <w:pStyle w:val="ListBullet"/>
        <w:ind w:left="288" w:hanging="173"/>
      </w:pPr>
      <w:r>
        <w:t>No more than three identical answer positions in a row.</w:t>
      </w:r>
    </w:p>
    <w:p>
      <w:pPr>
        <w:pStyle w:val="ListBullet"/>
        <w:ind w:left="288" w:hanging="173"/>
      </w:pPr>
      <w:r>
        <w:t>Correct answers will not be rebalanced by relabeling alone; every moved option receives full content and rationale review.</w:t>
      </w:r>
    </w:p>
    <w:p>
      <w:pPr>
        <w:pStyle w:val="Heading1"/>
      </w:pPr>
      <w:r>
        <w:t>6. Form Sequencing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Question Range</w:t>
            </w:r>
          </w:p>
        </w:tc>
        <w:tc>
          <w:tcPr>
            <w:tcW w:type="dxa" w:w="90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1–30</w:t>
            </w:r>
          </w:p>
        </w:tc>
        <w:tc>
          <w:tcPr>
            <w:tcW w:type="dxa" w:w="90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Broad clinical evaluation and early assessment, with mixed legal, diagnostic, and treatment items.</w:t>
            </w:r>
          </w:p>
        </w:tc>
      </w:tr>
      <w:tr>
        <w:tc>
          <w:tcPr>
            <w:tcW w:type="dxa" w:w="208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31–60</w:t>
            </w:r>
          </w:p>
        </w:tc>
        <w:tc>
          <w:tcPr>
            <w:tcW w:type="dxa" w:w="900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Diagnostic, crisis, and treatment-planning emphasis; continued mixing across domains.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61–90</w:t>
            </w:r>
          </w:p>
        </w:tc>
        <w:tc>
          <w:tcPr>
            <w:tcW w:type="dxa" w:w="90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Treatment and integrated relational reasoning; no domain labels in the student form.</w:t>
            </w:r>
          </w:p>
        </w:tc>
      </w:tr>
      <w:tr>
        <w:tc>
          <w:tcPr>
            <w:tcW w:type="dxa" w:w="208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91–120</w:t>
            </w:r>
          </w:p>
        </w:tc>
        <w:tc>
          <w:tcPr>
            <w:tcW w:type="dxa" w:w="900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Higher-density application and difficult sequencing items across all six areas.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121–150</w:t>
            </w:r>
          </w:p>
        </w:tc>
        <w:tc>
          <w:tcPr>
            <w:tcW w:type="dxa" w:w="90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Mixed final block with representative difficulty and no predictable closing pattern.</w:t>
            </w:r>
          </w:p>
        </w:tc>
      </w:tr>
    </w:tbl>
    <w:p/>
    <w:p>
      <w:pPr>
        <w:pStyle w:val="Heading1"/>
      </w:pPr>
      <w:r>
        <w:t>7. Required Student and Administrative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7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Student Exam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150 mixed four-option questions; exam instructions; answer sheet; no rationales or blueprint labels.</w:t>
            </w:r>
          </w:p>
        </w:tc>
      </w:tr>
      <w:tr>
        <w:tc>
          <w:tcPr>
            <w:tcW w:type="dxa" w:w="33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Answer Key and Detailed Rationales</w:t>
            </w:r>
          </w:p>
        </w:tc>
        <w:tc>
          <w:tcPr>
            <w:tcW w:type="dxa" w:w="770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Correct answers; option-by-option explanations; CTA Exam Strategy; official area coding; CTA scored/pretest designation.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Administrative Master Bank / Use Log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Permanent item IDs, source verification, review status, form placement, revisions, exposure, and retirement data.</w:t>
            </w:r>
          </w:p>
        </w:tc>
      </w:tr>
      <w:tr>
        <w:tc>
          <w:tcPr>
            <w:tcW w:type="dxa" w:w="33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Blueprint and QC Report</w:t>
            </w:r>
          </w:p>
        </w:tc>
        <w:tc>
          <w:tcPr>
            <w:tcW w:type="dxa" w:w="770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Counts, weights, cognitive demand, difficulty, answer balance, duplicate review, accessibility, and visual QA results.</w:t>
            </w:r>
          </w:p>
        </w:tc>
      </w:tr>
    </w:tbl>
    <w:p/>
    <w:p>
      <w:pPr>
        <w:pStyle w:val="Heading1"/>
      </w:pPr>
      <w:r>
        <w:t>8. Release Checklist</w:t>
      </w:r>
    </w:p>
    <w:p>
      <w:pPr>
        <w:pStyle w:val="ListBullet"/>
        <w:ind w:left="288" w:hanging="173"/>
      </w:pPr>
      <w:r>
        <w:t>150 total items and 125/25 CTA scored-style/pretest-style design confirmed.</w:t>
      </w:r>
    </w:p>
    <w:p>
      <w:pPr>
        <w:pStyle w:val="ListBullet"/>
        <w:ind w:left="288" w:hanging="173"/>
      </w:pPr>
      <w:r>
        <w:t>Official area weights met within rounding tolerance.</w:t>
      </w:r>
    </w:p>
    <w:p>
      <w:pPr>
        <w:pStyle w:val="ListBullet"/>
        <w:ind w:left="288" w:hanging="173"/>
      </w:pPr>
      <w:r>
        <w:t>All items use four options and one best answer.</w:t>
      </w:r>
    </w:p>
    <w:p>
      <w:pPr>
        <w:pStyle w:val="ListBullet"/>
        <w:ind w:left="288" w:hanging="173"/>
      </w:pPr>
      <w:r>
        <w:t>Clinical safety and sequence reviewed before theory preference.</w:t>
      </w:r>
    </w:p>
    <w:p>
      <w:pPr>
        <w:pStyle w:val="ListBullet"/>
        <w:ind w:left="288" w:hanging="173"/>
      </w:pPr>
      <w:r>
        <w:t>Legal, diagnostic, medication, and specialty statements verified against current sources.</w:t>
      </w:r>
    </w:p>
    <w:p>
      <w:pPr>
        <w:pStyle w:val="ListBullet"/>
        <w:ind w:left="288" w:hanging="173"/>
      </w:pPr>
      <w:r>
        <w:t>No workbook labels, chapter cues, public-sample copying, or near-duplicate items remain.</w:t>
      </w:r>
    </w:p>
    <w:p>
      <w:pPr>
        <w:pStyle w:val="ListBullet"/>
        <w:ind w:left="288" w:hanging="173"/>
      </w:pPr>
      <w:r>
        <w:t>Student exam, rationales, and administrative files contain no comments or tracked changes.</w:t>
      </w:r>
    </w:p>
    <w:p>
      <w:pPr>
        <w:pStyle w:val="ListBullet"/>
        <w:ind w:left="288" w:hanging="173"/>
      </w:pPr>
      <w:r>
        <w:t>Accessibility audit passes and every page is rendered and visually inspected.</w:t>
      </w:r>
    </w:p>
    <w:p>
      <w:pPr>
        <w:pStyle w:val="Heading1"/>
      </w:pPr>
      <w:r>
        <w:t>Source Basis</w:t>
      </w:r>
    </w:p>
    <w:p>
      <w:r>
        <w:t>Official sources reviewed July 25, 2026: California Board of Behavioral Sciences LMFT Clinical Examination resources; Pearson VUE California BBS Candidate Handbook; Pearson VUE LMFT Written Clinical Examination Outline, effective January 1, 2021.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Accuracy reminder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Reverify the candidate handbook and examination outline before publication because exam administration details and official resources can change.</w:t>
            </w:r>
          </w:p>
        </w:tc>
        <w:trPr>
          <w:tblHeader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675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59C9C"/>
        <w:sz w:val="16"/>
      </w:rPr>
      <w:t>CLINICAL TRAINING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9C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b/>
      <w:i/>
      <w:iCs/>
      <w:color w:val="159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Label">
    <w:name w:val="CTA Label"/>
    <w:pPr>
      <w:spacing w:after="40"/>
    </w:pPr>
    <w:rPr>
      <w:rFonts w:ascii="Arial" w:hAnsi="Arial"/>
      <w:b/>
      <w:color w:val="159C9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LMFT Clinical Comprehensive Simulation</dc:title>
  <dc:subject>Form A Production Blueprint and Assembly Matrix</dc:subject>
  <dc:creator>Clinical Training Academy</dc:creator>
  <cp:keywords>LMFT, LCSW, clinical exam, comprehensive simulation, blueprint, exam preparation</cp:keywords>
  <dc:description>Controlled educational production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