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</w:r>
      <w:r>
        <w:drawing>
          <wp:inline xmlns:a="http://schemas.openxmlformats.org/drawingml/2006/main" xmlns:pic="http://schemas.openxmlformats.org/drawingml/2006/picture">
            <wp:extent cx="2103120" cy="1520233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520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/>
        <w:jc w:val="center"/>
      </w:pPr>
      <w:r>
        <w:rPr>
          <w:rFonts w:ascii="Arial" w:hAnsi="Arial"/>
          <w:b/>
          <w:color w:val="2A9D8F"/>
          <w:sz w:val="22"/>
        </w:rPr>
        <w:t>LMFT &amp; LCSW CLINICAL EXAM PREPARATION PROGRAMS</w:t>
      </w:r>
    </w:p>
    <w:p>
      <w:pPr>
        <w:jc w:val="center"/>
      </w:pPr>
      <w:r>
        <w:rPr>
          <w:rFonts w:ascii="Arial" w:hAnsi="Arial"/>
          <w:b/>
          <w:color w:val="1B2A41"/>
          <w:sz w:val="54"/>
        </w:rPr>
        <w:t>Master Question Bank and</w:t>
        <w:br/>
        <w:t>Practice Exam Production Standard</w:t>
      </w:r>
    </w:p>
    <w:p>
      <w:pPr>
        <w:jc w:val="center"/>
      </w:pPr>
      <w:r>
        <w:rPr>
          <w:rFonts w:ascii="Arial" w:hAnsi="Arial"/>
          <w:i/>
          <w:color w:val="4A4A4A"/>
          <w:sz w:val="24"/>
        </w:rPr>
        <w:t>Controlled framework for item development, review, banking, exam assembly, and reuse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2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B2A41"/>
                <w:sz w:val="21"/>
              </w:rPr>
              <w:t>INTERNAL ADMINISTRATIVE RESOURCE</w:t>
            </w:r>
          </w:p>
          <w:p>
            <w:pPr>
              <w:spacing w:after="0"/>
            </w:pPr>
            <w:r>
              <w:rPr>
                <w:rFonts w:ascii="Arial" w:hAnsi="Arial"/>
                <w:color w:val="4A4A4A"/>
                <w:sz w:val="19"/>
              </w:rPr>
              <w:t>This document governs the LMFT Clinical and LCSW/ASWB Clinical master question banks. It is not a student workbook and should not be distributed as an examination-preparation handout.</w:t>
            </w:r>
          </w:p>
        </w:tc>
        <w:trPr>
          <w:tblHeader/>
          <w:cantSplit/>
        </w:trPr>
      </w:tr>
    </w:tbl>
    <w:p>
      <w:pPr>
        <w:spacing w:before="440"/>
        <w:jc w:val="center"/>
      </w:pPr>
      <w:r>
        <w:rPr>
          <w:rFonts w:ascii="Arial" w:hAnsi="Arial"/>
          <w:b/>
          <w:color w:val="1B2A41"/>
          <w:sz w:val="20"/>
        </w:rPr>
        <w:t>Version 1.0 • July 2026</w:t>
      </w:r>
    </w:p>
    <w:p>
      <w:pPr>
        <w:jc w:val="center"/>
      </w:pPr>
      <w:r>
        <w:rPr>
          <w:rFonts w:ascii="Arial" w:hAnsi="Arial"/>
          <w:color w:val="2A9D8F"/>
          <w:sz w:val="20"/>
        </w:rPr>
        <w:t>Clinical Training Academy</w:t>
      </w:r>
    </w:p>
    <w:p>
      <w:r>
        <w:br w:type="page"/>
      </w:r>
    </w:p>
    <w:p>
      <w:pPr>
        <w:pStyle w:val="Heading1"/>
      </w:pPr>
      <w:r>
        <w:t>1. Purpose and Governing Principle</w:t>
      </w:r>
    </w:p>
    <w:p>
      <w:r>
        <w:t>The master question banks are the controlled source of record for all CTA LMFT and LCSW clinical practice exams, cumulative exams, readiness assessments, and full-length simulations. Questions are entered into the bank as they are written, not collected after individual exams are finished.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B2A41"/>
                <w:sz w:val="21"/>
              </w:rPr>
              <w:t>CORE PRODUCTION RULE</w:t>
            </w:r>
          </w:p>
          <w:p>
            <w:pPr>
              <w:spacing w:after="0"/>
            </w:pPr>
            <w:r>
              <w:rPr>
                <w:rFonts w:ascii="Arial" w:hAnsi="Arial"/>
                <w:color w:val="4A4A4A"/>
                <w:sz w:val="19"/>
              </w:rPr>
              <w:t>Write once, code completely, review rigorously, track every use, and assemble multiple exam forms from the controlled bank.</w:t>
            </w:r>
          </w:p>
        </w:tc>
        <w:trPr>
          <w:tblHeader/>
          <w:cantSplit/>
        </w:trPr>
      </w:tr>
    </w:tbl>
    <w:p>
      <w:pPr>
        <w:pStyle w:val="ListBullet"/>
        <w:spacing w:after="60"/>
      </w:pPr>
      <w:r>
        <w:rPr>
          <w:rFonts w:ascii="Arial" w:hAnsi="Arial"/>
          <w:color w:val="4A4A4A"/>
          <w:sz w:val="20"/>
        </w:rPr>
        <w:t>Maintain separate LMFT and LCSW banks. Shared clinical concepts may be cross-referenced, but the items remain profession-specific.</w:t>
      </w:r>
    </w:p>
    <w:p>
      <w:pPr>
        <w:pStyle w:val="ListBullet"/>
        <w:spacing w:after="60"/>
      </w:pPr>
      <w:r>
        <w:rPr>
          <w:rFonts w:ascii="Arial" w:hAnsi="Arial"/>
          <w:color w:val="4A4A4A"/>
          <w:sz w:val="20"/>
        </w:rPr>
        <w:t>Use only original CTA questions. Official and third-party samples may guide style, complexity, and sequencing but may not be copied or lightly rewritten.</w:t>
      </w:r>
    </w:p>
    <w:p>
      <w:pPr>
        <w:pStyle w:val="ListBullet"/>
        <w:spacing w:after="60"/>
      </w:pPr>
      <w:r>
        <w:rPr>
          <w:rFonts w:ascii="Arial" w:hAnsi="Arial"/>
          <w:color w:val="4A4A4A"/>
          <w:sz w:val="20"/>
        </w:rPr>
        <w:t>Every question must have one best answer, plausible distractors, complete option-by-option rationales, and an exam-strategy explanation.</w:t>
      </w:r>
    </w:p>
    <w:p>
      <w:pPr>
        <w:pStyle w:val="ListBullet"/>
        <w:spacing w:after="60"/>
      </w:pPr>
      <w:r>
        <w:rPr>
          <w:rFonts w:ascii="Arial" w:hAnsi="Arial"/>
          <w:color w:val="4A4A4A"/>
          <w:sz w:val="20"/>
        </w:rPr>
        <w:t>All legal, regulatory, medication, diagnostic, and exam-format statements require current-source verification before release.</w:t>
      </w:r>
    </w:p>
    <w:p>
      <w:pPr>
        <w:pStyle w:val="Heading1"/>
      </w:pPr>
      <w:r>
        <w:t>2. Controlled Banks and Deliverables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FB2C8"/>
          <w:left w:val="single" w:sz="4" w:space="0" w:color="9FB2C8"/>
          <w:bottom w:val="single" w:sz="4" w:space="0" w:color="9FB2C8"/>
          <w:right w:val="single" w:sz="4" w:space="0" w:color="9FB2C8"/>
          <w:insideH w:val="single" w:sz="4" w:space="0" w:color="9FB2C8"/>
          <w:insideV w:val="single" w:sz="4" w:space="0" w:color="9FB2C8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center"/>
            <w:shd w:fill="1B2A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Controlled Resource</w:t>
            </w:r>
          </w:p>
        </w:tc>
        <w:tc>
          <w:tcPr>
            <w:tcW w:type="dxa" w:w="3389"/>
            <w:vAlign w:val="center"/>
            <w:shd w:fill="1B2A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389"/>
            <w:vAlign w:val="center"/>
            <w:shd w:fill="1B2A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Student Facing?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CTA LMFT Clinical Master Question Bank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Stores all original California LMFT Clinical items and metadata.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CTA LCSW Clinical Master Question Bank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Stores all original 2026 ASWB Clinical items and metadata.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Workbook Practice Exam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Fifty-question exam assessing one workbook.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Answer Key and Detailed Rationales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Correct answers, option-by-option rationales, and strategy guidance.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Exam Assembly and Use Log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Tracks forms, placements, revisions, exposure, and retirement.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Blueprint and QC Report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Confirms content, difficulty, format, answer balance, and review status.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No</w:t>
            </w:r>
          </w:p>
        </w:tc>
      </w:tr>
    </w:tbl>
    <w:p>
      <w:pPr>
        <w:pStyle w:val="Heading1"/>
      </w:pPr>
      <w:r>
        <w:t>3. Controlling Source Hierarchy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FB2C8"/>
          <w:left w:val="single" w:sz="4" w:space="0" w:color="9FB2C8"/>
          <w:bottom w:val="single" w:sz="4" w:space="0" w:color="9FB2C8"/>
          <w:right w:val="single" w:sz="4" w:space="0" w:color="9FB2C8"/>
          <w:insideH w:val="single" w:sz="4" w:space="0" w:color="9FB2C8"/>
          <w:insideV w:val="single" w:sz="4" w:space="0" w:color="9FB2C8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41"/>
            <w:vAlign w:val="center"/>
            <w:shd w:fill="1B2A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Program</w:t>
            </w:r>
          </w:p>
        </w:tc>
        <w:tc>
          <w:tcPr>
            <w:tcW w:type="dxa" w:w="2541"/>
            <w:vAlign w:val="center"/>
            <w:shd w:fill="1B2A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Controlling Blueprint</w:t>
            </w:r>
          </w:p>
        </w:tc>
        <w:tc>
          <w:tcPr>
            <w:tcW w:type="dxa" w:w="2541"/>
            <w:vAlign w:val="center"/>
            <w:shd w:fill="1B2A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Secondary Controls</w:t>
            </w:r>
          </w:p>
        </w:tc>
        <w:tc>
          <w:tcPr>
            <w:tcW w:type="dxa" w:w="2541"/>
            <w:vAlign w:val="center"/>
            <w:shd w:fill="1B2A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Sample Use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LMFT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Current California BBS/Pearson VUE LMFT Written Clinical Examination Outline and Candidate Handbook.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Current California law, BBS resources, professional standards, and verified clinical references.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Official LMFT samples guide vignette length, four-option structure, and task wording only.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LCSW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ASWB Examination Guidebook for exams administered on or after August 3, 2026; 2026 Clinical content outline.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Current jurisdictional law when a question expressly requires it, NASW/ASWB standards, DSM-5-TR, and verified clinical references.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ASWB samples guide applied-knowledge coding, three-/four-option format, and reasoning demands only.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B2A41"/>
                <w:sz w:val="21"/>
              </w:rPr>
              <w:t>SOURCE CURRENCY</w:t>
            </w:r>
          </w:p>
          <w:p>
            <w:pPr>
              <w:spacing w:after="0"/>
            </w:pPr>
            <w:r>
              <w:rPr>
                <w:rFonts w:ascii="Arial" w:hAnsi="Arial"/>
                <w:color w:val="4A4A4A"/>
                <w:sz w:val="19"/>
              </w:rPr>
              <w:t>The exam date determines which ASWB blueprint applies. CTA’s LCSW clinical bank is designed for the 2026 blueprint used beginning August 3, 2026: 122 total questions, 110 scored, 12 unscored, three content areas, and a four-hour limit. Current official sources must be rechecked before publication or major revision.</w:t>
            </w:r>
          </w:p>
        </w:tc>
        <w:trPr>
          <w:tblHeader/>
          <w:cantSplit/>
        </w:trPr>
      </w:tr>
    </w:tbl>
    <w:p>
      <w:pPr>
        <w:pStyle w:val="Heading1"/>
      </w:pPr>
      <w:r>
        <w:t>4. Blueprint Controls</w:t>
      </w:r>
    </w:p>
    <w:p>
      <w:pPr>
        <w:pStyle w:val="Heading2"/>
      </w:pPr>
      <w:r>
        <w:t>4.1 LMFT Clinical Bank</w:t>
      </w:r>
    </w:p>
    <w:p>
      <w:r>
        <w:t>Each LMFT item must be coded to the current California outline at the most specific available level: examination area, section, task statement, and associated knowledge statement. The bank must preserve the systemic and relational lens while following safety, legal, medical, assessment, planning, intervention, and evaluation sequence.</w:t>
      </w:r>
    </w:p>
    <w:p>
      <w:pPr>
        <w:pStyle w:val="ListBullet"/>
        <w:spacing w:after="60"/>
      </w:pPr>
      <w:r>
        <w:rPr>
          <w:rFonts w:ascii="Arial" w:hAnsi="Arial"/>
          <w:color w:val="4A4A4A"/>
          <w:sz w:val="20"/>
        </w:rPr>
        <w:t>Use four answer options unless a future official outline or handbook changes the item structure.</w:t>
      </w:r>
    </w:p>
    <w:p>
      <w:pPr>
        <w:pStyle w:val="ListBullet"/>
        <w:spacing w:after="60"/>
      </w:pPr>
      <w:r>
        <w:rPr>
          <w:rFonts w:ascii="Arial" w:hAnsi="Arial"/>
          <w:color w:val="4A4A4A"/>
          <w:sz w:val="20"/>
        </w:rPr>
        <w:t>Include clinical evaluation, crisis management, treatment planning, treatment, law, and ethics in comprehensive forms according to the official blueprint weighting.</w:t>
      </w:r>
    </w:p>
    <w:p>
      <w:pPr>
        <w:pStyle w:val="ListBullet"/>
        <w:spacing w:after="60"/>
      </w:pPr>
      <w:r>
        <w:rPr>
          <w:rFonts w:ascii="Arial" w:hAnsi="Arial"/>
          <w:color w:val="4A4A4A"/>
          <w:sz w:val="20"/>
        </w:rPr>
        <w:t>Do not force a couple or family intervention when individual assessment, medical evaluation, risk response, or another prior action is required.</w:t>
      </w:r>
    </w:p>
    <w:p>
      <w:pPr>
        <w:pStyle w:val="Heading2"/>
      </w:pPr>
      <w:r>
        <w:t>4.2 LCSW Clinical Bank — 2026 ASWB Blueprint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FB2C8"/>
          <w:left w:val="single" w:sz="4" w:space="0" w:color="9FB2C8"/>
          <w:bottom w:val="single" w:sz="4" w:space="0" w:color="9FB2C8"/>
          <w:right w:val="single" w:sz="4" w:space="0" w:color="9FB2C8"/>
          <w:insideH w:val="single" w:sz="4" w:space="0" w:color="9FB2C8"/>
          <w:insideV w:val="single" w:sz="4" w:space="0" w:color="9FB2C8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41"/>
            <w:vAlign w:val="center"/>
            <w:shd w:fill="1B2A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Content Area</w:t>
            </w:r>
          </w:p>
        </w:tc>
        <w:tc>
          <w:tcPr>
            <w:tcW w:type="dxa" w:w="2541"/>
            <w:vAlign w:val="center"/>
            <w:shd w:fill="1B2A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Official Weight</w:t>
            </w:r>
          </w:p>
        </w:tc>
        <w:tc>
          <w:tcPr>
            <w:tcW w:type="dxa" w:w="2541"/>
            <w:vAlign w:val="center"/>
            <w:shd w:fill="1B2A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Approx. Scored Items on 110</w:t>
            </w:r>
          </w:p>
        </w:tc>
        <w:tc>
          <w:tcPr>
            <w:tcW w:type="dxa" w:w="2541"/>
            <w:vAlign w:val="center"/>
            <w:shd w:fill="1B2A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Bank Coding Requirement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I. Values and Ethics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36%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About 40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Code competency and applied knowledge statement.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II. Assessment and Planning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32%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About 35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Code assessment concept, method/technique, or planning practice.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III. Intervention and Practice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32%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About 35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Code practice concept, method/technique, evaluation/research, or supervision/administration.</w:t>
            </w:r>
          </w:p>
        </w:tc>
      </w:tr>
    </w:tbl>
    <w:p>
      <w:pPr>
        <w:pStyle w:val="ListBullet"/>
        <w:spacing w:after="60"/>
      </w:pPr>
      <w:r>
        <w:rPr>
          <w:rFonts w:ascii="Arial" w:hAnsi="Arial"/>
          <w:color w:val="4A4A4A"/>
          <w:sz w:val="20"/>
        </w:rPr>
        <w:t>Use a mixture of three- and four-option items, with more three-option items across LCSW forms.</w:t>
      </w:r>
    </w:p>
    <w:p>
      <w:pPr>
        <w:pStyle w:val="ListBullet"/>
        <w:spacing w:after="60"/>
      </w:pPr>
      <w:r>
        <w:rPr>
          <w:rFonts w:ascii="Arial" w:hAnsi="Arial"/>
          <w:color w:val="4A4A4A"/>
          <w:sz w:val="20"/>
        </w:rPr>
        <w:t>Emphasize application and professional reasoning rather than isolated recall.</w:t>
      </w:r>
    </w:p>
    <w:p>
      <w:pPr>
        <w:pStyle w:val="ListBullet"/>
        <w:spacing w:after="60"/>
      </w:pPr>
      <w:r>
        <w:rPr>
          <w:rFonts w:ascii="Arial" w:hAnsi="Arial"/>
          <w:color w:val="4A4A4A"/>
          <w:sz w:val="20"/>
        </w:rPr>
        <w:t>A workbook-specific exam may concentrate on the workbook topic; cumulative and full-length forms must match the official blueprint weighting.</w:t>
      </w:r>
    </w:p>
    <w:p>
      <w:pPr>
        <w:pStyle w:val="Heading1"/>
      </w:pPr>
      <w:r>
        <w:t>5. Required Master Item Record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FB2C8"/>
          <w:left w:val="single" w:sz="4" w:space="0" w:color="9FB2C8"/>
          <w:bottom w:val="single" w:sz="4" w:space="0" w:color="9FB2C8"/>
          <w:right w:val="single" w:sz="4" w:space="0" w:color="9FB2C8"/>
          <w:insideH w:val="single" w:sz="4" w:space="0" w:color="9FB2C8"/>
          <w:insideV w:val="single" w:sz="4" w:space="0" w:color="9FB2C8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vAlign w:val="center"/>
            <w:shd w:fill="1B2A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083"/>
            <w:vAlign w:val="center"/>
            <w:shd w:fill="1B2A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Required Entry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Master Item ID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Permanent unique ID; never reused after retirement.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Program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LMFT or LCSW.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Workbook / Chapter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Source workbook and chapter or instructional section.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Blueprint Area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Official content area/domain.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Competency / Section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Official competency, section, or task statement.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Applied Knowledge / KSA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Most specific official statement tested.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Primary Concept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Single main concept that determines the key.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Secondary Concept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Optional supporting concept.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Cognitive Type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Recall, Application, Scenario, or Integrated Reasoning.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Difficulty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Easy, Moderate, or Difficult; provisional until performance data exist.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Decision Word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FIRST, NEXT, BEST, MOST, INITIAL, PRIMARY, or none.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Stem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Complete item stem and vignette.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Options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Three or four answer choices, as applicable.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Correct Answer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Letter and full answer text.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Rationales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One rationale for every option.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CTA Exam Strategy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Specific clue, sequence, or elimination principle.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Source Record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Official/clinical sources and verification date.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Review Status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Draft, content reviewed, legal reviewed, psychometric reviewed, approved, revised, retired.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Exam Use History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Every form, placement, date, and exposure count.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Revision History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Date, editor, change, reason, and reapproval status.</w:t>
            </w:r>
          </w:p>
        </w:tc>
      </w:tr>
    </w:tbl>
    <w:p>
      <w:pPr>
        <w:pStyle w:val="Heading1"/>
      </w:pPr>
      <w:r>
        <w:t>6. Identification and Versioning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FB2C8"/>
          <w:left w:val="single" w:sz="4" w:space="0" w:color="9FB2C8"/>
          <w:bottom w:val="single" w:sz="4" w:space="0" w:color="9FB2C8"/>
          <w:right w:val="single" w:sz="4" w:space="0" w:color="9FB2C8"/>
          <w:insideH w:val="single" w:sz="4" w:space="0" w:color="9FB2C8"/>
          <w:insideV w:val="single" w:sz="4" w:space="0" w:color="9FB2C8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center"/>
            <w:shd w:fill="1B2A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Identifier</w:t>
            </w:r>
          </w:p>
        </w:tc>
        <w:tc>
          <w:tcPr>
            <w:tcW w:type="dxa" w:w="3389"/>
            <w:vAlign w:val="center"/>
            <w:shd w:fill="1B2A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3389"/>
            <w:vAlign w:val="center"/>
            <w:shd w:fill="1B2A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Master Item ID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[PROGRAM]-MQB-W[##]-[####]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LMFT-MQB-W01-0001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Student Exam Item ID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[PROGRAM]-WB[##]-PE[##]-Q[###]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LCSW-WB01-PE01-Q001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Comprehensive Form ID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[PROGRAM]-FULL-[FORM]-v[#.#]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LCSW-FULL-A-v1.0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Revision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Major changes alter v1.0 to v2.0; minor approved edits alter v1.0 to v1.1.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LMFT-MQB-W01-0001 v1.1</w:t>
            </w:r>
          </w:p>
        </w:tc>
      </w:tr>
    </w:tbl>
    <w:p>
      <w:pPr>
        <w:pStyle w:val="ListBullet"/>
        <w:spacing w:after="60"/>
      </w:pPr>
      <w:r>
        <w:rPr>
          <w:rFonts w:ascii="Arial" w:hAnsi="Arial"/>
          <w:color w:val="4A4A4A"/>
          <w:sz w:val="20"/>
        </w:rPr>
        <w:t>The permanent Master Item ID remains unchanged when the question appears on different exams.</w:t>
      </w:r>
    </w:p>
    <w:p>
      <w:pPr>
        <w:pStyle w:val="ListBullet"/>
        <w:spacing w:after="60"/>
      </w:pPr>
      <w:r>
        <w:rPr>
          <w:rFonts w:ascii="Arial" w:hAnsi="Arial"/>
          <w:color w:val="4A4A4A"/>
          <w:sz w:val="20"/>
        </w:rPr>
        <w:t>Student numbering reflects placement on a particular form and may change when a new form is assembled.</w:t>
      </w:r>
    </w:p>
    <w:p>
      <w:pPr>
        <w:pStyle w:val="ListBullet"/>
        <w:spacing w:after="60"/>
      </w:pPr>
      <w:r>
        <w:rPr>
          <w:rFonts w:ascii="Arial" w:hAnsi="Arial"/>
          <w:color w:val="4A4A4A"/>
          <w:sz w:val="20"/>
        </w:rPr>
        <w:t>Retired IDs are never recycled.</w:t>
      </w:r>
    </w:p>
    <w:p>
      <w:pPr>
        <w:pStyle w:val="Heading1"/>
      </w:pPr>
      <w:r>
        <w:t>7. Fifty-Question Workbook Practice Exam Standard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FB2C8"/>
          <w:left w:val="single" w:sz="4" w:space="0" w:color="9FB2C8"/>
          <w:bottom w:val="single" w:sz="4" w:space="0" w:color="9FB2C8"/>
          <w:right w:val="single" w:sz="4" w:space="0" w:color="9FB2C8"/>
          <w:insideH w:val="single" w:sz="4" w:space="0" w:color="9FB2C8"/>
          <w:insideV w:val="single" w:sz="4" w:space="0" w:color="9FB2C8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center"/>
            <w:shd w:fill="1B2A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3389"/>
            <w:vAlign w:val="center"/>
            <w:shd w:fill="1B2A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Target Count</w:t>
            </w:r>
          </w:p>
        </w:tc>
        <w:tc>
          <w:tcPr>
            <w:tcW w:type="dxa" w:w="3389"/>
            <w:vAlign w:val="center"/>
            <w:shd w:fill="1B2A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Knowledge and Recall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10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Confirm recognition of high-yield terms, structures, and principles.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Application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15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Apply one clear principle to a defined situation.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Scenario-Based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20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Sequence clinical decisions within realistic vignettes.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Integrated Clinical Reasoning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5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Combine multiple concepts while preserving one best answer.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Total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50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Assess the complete workbook proportionally.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FB2C8"/>
          <w:left w:val="single" w:sz="4" w:space="0" w:color="9FB2C8"/>
          <w:bottom w:val="single" w:sz="4" w:space="0" w:color="9FB2C8"/>
          <w:right w:val="single" w:sz="4" w:space="0" w:color="9FB2C8"/>
          <w:insideH w:val="single" w:sz="4" w:space="0" w:color="9FB2C8"/>
          <w:insideV w:val="single" w:sz="4" w:space="0" w:color="9FB2C8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center"/>
            <w:shd w:fill="1B2A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3389"/>
            <w:vAlign w:val="center"/>
            <w:shd w:fill="1B2A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Target Count</w:t>
            </w:r>
          </w:p>
        </w:tc>
        <w:tc>
          <w:tcPr>
            <w:tcW w:type="dxa" w:w="3389"/>
            <w:vAlign w:val="center"/>
            <w:shd w:fill="1B2A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Characteristics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Easy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15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Direct but meaningful; limited inference; high-yield foundational content.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Moderate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25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Plausible distractors; application or sequencing required.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Difficult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10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Competing priorities, missing information, subtle timing, or integrated reasoning.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B2A41"/>
                <w:sz w:val="21"/>
              </w:rPr>
              <w:t>WORKBOOK EXAM RULE</w:t>
            </w:r>
          </w:p>
          <w:p>
            <w:pPr>
              <w:spacing w:after="0"/>
            </w:pPr>
            <w:r>
              <w:rPr>
                <w:rFonts w:ascii="Arial" w:hAnsi="Arial"/>
                <w:color w:val="4A4A4A"/>
                <w:sz w:val="19"/>
              </w:rPr>
              <w:t>The 50-question exam assesses mastery of the workbook. It does not need to reproduce the full licensing-exam blueprint. The comprehensive practice exams will be assembled later from the complete bank using official blueprint weights.</w:t>
            </w:r>
          </w:p>
        </w:tc>
        <w:trPr>
          <w:tblHeader/>
          <w:cantSplit/>
        </w:trPr>
      </w:tr>
    </w:tbl>
    <w:p>
      <w:pPr>
        <w:pStyle w:val="Heading1"/>
      </w:pPr>
      <w:r>
        <w:t>8. Option and Answer-Key Controls</w:t>
      </w:r>
    </w:p>
    <w:p>
      <w:pPr>
        <w:pStyle w:val="Heading2"/>
      </w:pPr>
      <w:r>
        <w:t>8.1 LMFT Forms</w:t>
      </w:r>
    </w:p>
    <w:p>
      <w:pPr>
        <w:pStyle w:val="ListBullet"/>
        <w:spacing w:after="60"/>
      </w:pPr>
      <w:r>
        <w:rPr>
          <w:rFonts w:ascii="Arial" w:hAnsi="Arial"/>
          <w:color w:val="4A4A4A"/>
          <w:sz w:val="20"/>
        </w:rPr>
        <w:t>Use four options, A–D.</w:t>
      </w:r>
    </w:p>
    <w:p>
      <w:pPr>
        <w:pStyle w:val="ListBullet"/>
        <w:spacing w:after="60"/>
      </w:pPr>
      <w:r>
        <w:rPr>
          <w:rFonts w:ascii="Arial" w:hAnsi="Arial"/>
          <w:color w:val="4A4A4A"/>
          <w:sz w:val="20"/>
        </w:rPr>
        <w:t>Target 12–13 correct answers in each position across 50 questions.</w:t>
      </w:r>
    </w:p>
    <w:p>
      <w:pPr>
        <w:pStyle w:val="ListBullet"/>
        <w:spacing w:after="60"/>
      </w:pPr>
      <w:r>
        <w:rPr>
          <w:rFonts w:ascii="Arial" w:hAnsi="Arial"/>
          <w:color w:val="4A4A4A"/>
          <w:sz w:val="20"/>
        </w:rPr>
        <w:t>Do not allow more than three identical answer positions in a row without documented review.</w:t>
      </w:r>
    </w:p>
    <w:p>
      <w:pPr>
        <w:pStyle w:val="ListBullet"/>
        <w:spacing w:after="60"/>
      </w:pPr>
      <w:r>
        <w:rPr>
          <w:rFonts w:ascii="Arial" w:hAnsi="Arial"/>
          <w:color w:val="4A4A4A"/>
          <w:sz w:val="20"/>
        </w:rPr>
        <w:t>Rebalancing requires full stem, option, and rationale review; never relabel choices mechanically.</w:t>
      </w:r>
    </w:p>
    <w:p>
      <w:pPr>
        <w:pStyle w:val="Heading2"/>
      </w:pPr>
      <w:r>
        <w:t>8.2 LCSW Forms</w:t>
      </w:r>
    </w:p>
    <w:p>
      <w:pPr>
        <w:pStyle w:val="ListBullet"/>
        <w:spacing w:after="60"/>
      </w:pPr>
      <w:r>
        <w:rPr>
          <w:rFonts w:ascii="Arial" w:hAnsi="Arial"/>
          <w:color w:val="4A4A4A"/>
          <w:sz w:val="20"/>
        </w:rPr>
        <w:t>Use both three-option and four-option questions, with a target of approximately 60% three-option and 40% four-option items unless later official guidance supports a different internal mix.</w:t>
      </w:r>
    </w:p>
    <w:p>
      <w:pPr>
        <w:pStyle w:val="ListBullet"/>
        <w:spacing w:after="60"/>
      </w:pPr>
      <w:r>
        <w:rPr>
          <w:rFonts w:ascii="Arial" w:hAnsi="Arial"/>
          <w:color w:val="4A4A4A"/>
          <w:sz w:val="20"/>
        </w:rPr>
        <w:t>Balance A, B, and C across the entire form. Distribute D proportionally and evenly among four-option items.</w:t>
      </w:r>
    </w:p>
    <w:p>
      <w:pPr>
        <w:pStyle w:val="ListBullet"/>
        <w:spacing w:after="60"/>
      </w:pPr>
      <w:r>
        <w:rPr>
          <w:rFonts w:ascii="Arial" w:hAnsi="Arial"/>
          <w:color w:val="4A4A4A"/>
          <w:sz w:val="20"/>
        </w:rPr>
        <w:t>Avoid predictable sequences, repeated key wording, and an answer-position pattern that can be guessed independently of content.</w:t>
      </w:r>
    </w:p>
    <w:p>
      <w:pPr>
        <w:pStyle w:val="Heading1"/>
      </w:pPr>
      <w:r>
        <w:t>9. Stem and Vignette Standard</w:t>
      </w:r>
    </w:p>
    <w:p>
      <w:pPr>
        <w:pStyle w:val="ListBullet"/>
        <w:spacing w:after="60"/>
      </w:pPr>
      <w:r>
        <w:rPr>
          <w:rFonts w:ascii="Arial" w:hAnsi="Arial"/>
          <w:color w:val="4A4A4A"/>
          <w:sz w:val="20"/>
        </w:rPr>
        <w:t>Test one clearly identifiable decision. Integrated items may involve several facts, but one concept must control the key.</w:t>
      </w:r>
    </w:p>
    <w:p>
      <w:pPr>
        <w:pStyle w:val="ListBullet"/>
        <w:spacing w:after="60"/>
      </w:pPr>
      <w:r>
        <w:rPr>
          <w:rFonts w:ascii="Arial" w:hAnsi="Arial"/>
          <w:color w:val="4A4A4A"/>
          <w:sz w:val="20"/>
        </w:rPr>
        <w:t>State only facts necessary to make the decision. Include realistic demographic and contextual information only when clinically relevant.</w:t>
      </w:r>
    </w:p>
    <w:p>
      <w:pPr>
        <w:pStyle w:val="ListBullet"/>
        <w:spacing w:after="60"/>
      </w:pPr>
      <w:r>
        <w:rPr>
          <w:rFonts w:ascii="Arial" w:hAnsi="Arial"/>
          <w:color w:val="4A4A4A"/>
          <w:sz w:val="20"/>
        </w:rPr>
        <w:t>Use neutral, respectful, person-centered language and avoid stereotypes, microaggressions, unnecessary pathology, and tokenized identities.</w:t>
      </w:r>
    </w:p>
    <w:p>
      <w:pPr>
        <w:pStyle w:val="ListBullet"/>
        <w:spacing w:after="60"/>
      </w:pPr>
      <w:r>
        <w:rPr>
          <w:rFonts w:ascii="Arial" w:hAnsi="Arial"/>
          <w:color w:val="4A4A4A"/>
          <w:sz w:val="20"/>
        </w:rPr>
        <w:t>Use FIRST, NEXT, BEST, MOST appropriate, initially, or PRIMARY only when the qualifier materially controls the answer.</w:t>
      </w:r>
    </w:p>
    <w:p>
      <w:pPr>
        <w:pStyle w:val="ListBullet"/>
        <w:spacing w:after="60"/>
      </w:pPr>
      <w:r>
        <w:rPr>
          <w:rFonts w:ascii="Arial" w:hAnsi="Arial"/>
          <w:color w:val="4A4A4A"/>
          <w:sz w:val="20"/>
        </w:rPr>
        <w:t>Do not hide essential legal or clinical facts, require mind reading, or make the candidate assume unstated consent, safety, authority, or diagnosis.</w:t>
      </w:r>
    </w:p>
    <w:p>
      <w:pPr>
        <w:pStyle w:val="ListBullet"/>
        <w:spacing w:after="60"/>
      </w:pPr>
      <w:r>
        <w:rPr>
          <w:rFonts w:ascii="Arial" w:hAnsi="Arial"/>
          <w:color w:val="4A4A4A"/>
          <w:sz w:val="20"/>
        </w:rPr>
        <w:t>Avoid trick wording, double negatives, “all/none of the above,” absolutes that reveal distractors, and trivia unrelated to safe entry-level practice.</w:t>
      </w:r>
    </w:p>
    <w:p>
      <w:pPr>
        <w:pStyle w:val="Heading1"/>
      </w:pPr>
      <w:r>
        <w:t>10. Distractor Standard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FB2C8"/>
          <w:left w:val="single" w:sz="4" w:space="0" w:color="9FB2C8"/>
          <w:bottom w:val="single" w:sz="4" w:space="0" w:color="9FB2C8"/>
          <w:right w:val="single" w:sz="4" w:space="0" w:color="9FB2C8"/>
          <w:insideH w:val="single" w:sz="4" w:space="0" w:color="9FB2C8"/>
          <w:insideV w:val="single" w:sz="4" w:space="0" w:color="9FB2C8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vAlign w:val="center"/>
            <w:shd w:fill="1B2A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Strong Distractor Type</w:t>
            </w:r>
          </w:p>
        </w:tc>
        <w:tc>
          <w:tcPr>
            <w:tcW w:type="dxa" w:w="5083"/>
            <w:vAlign w:val="center"/>
            <w:shd w:fill="1B2A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Mistimed action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Clinically plausible, but occurs too early or too late.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Unsupported assumption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Requires information the vignette does not provide.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Wrong task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Addresses a different question than the one asked.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Overreaction / underreaction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Uses excessive or insufficient intensity for the facts.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Incomplete response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Addresses one part of the problem but omits the controlling priority.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Theory mismatch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Uses an intervention inconsistent with the named formulation or modality.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Autonomy / role error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Overrides client choice, exceeds scope, or confuses professional roles.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B2A41"/>
                <w:sz w:val="21"/>
              </w:rPr>
              <w:t>DISTRACTOR TEST</w:t>
            </w:r>
          </w:p>
          <w:p>
            <w:pPr>
              <w:spacing w:after="0"/>
            </w:pPr>
            <w:r>
              <w:rPr>
                <w:rFonts w:ascii="Arial" w:hAnsi="Arial"/>
                <w:color w:val="4A4A4A"/>
                <w:sz w:val="19"/>
              </w:rPr>
              <w:t>A distractor should be attractive for a specific, teachable reason. If it is obviously absurd, insulting, unsafe without nuance, or unrelated to the stem, replace it.</w:t>
            </w:r>
          </w:p>
        </w:tc>
        <w:trPr>
          <w:tblHeader/>
          <w:cantSplit/>
        </w:trPr>
      </w:tr>
    </w:tbl>
    <w:p>
      <w:pPr>
        <w:pStyle w:val="Heading1"/>
      </w:pPr>
      <w:r>
        <w:t>11. Rationale and Teaching Standard</w:t>
      </w:r>
    </w:p>
    <w:p>
      <w:pPr>
        <w:pStyle w:val="ListNumber"/>
        <w:spacing w:after="60"/>
      </w:pPr>
      <w:r>
        <w:rPr>
          <w:rFonts w:ascii="Arial" w:hAnsi="Arial"/>
          <w:color w:val="4A4A4A"/>
          <w:sz w:val="20"/>
        </w:rPr>
        <w:t>State the correct answer by letter and full text.</w:t>
      </w:r>
    </w:p>
    <w:p>
      <w:pPr>
        <w:pStyle w:val="ListNumber"/>
        <w:spacing w:after="60"/>
      </w:pPr>
      <w:r>
        <w:rPr>
          <w:rFonts w:ascii="Arial" w:hAnsi="Arial"/>
          <w:color w:val="4A4A4A"/>
          <w:sz w:val="20"/>
        </w:rPr>
        <w:t>Explain why the keyed option is best for the exact task, stage, facts, and blueprint concept.</w:t>
      </w:r>
    </w:p>
    <w:p>
      <w:pPr>
        <w:pStyle w:val="ListNumber"/>
        <w:spacing w:after="60"/>
      </w:pPr>
      <w:r>
        <w:rPr>
          <w:rFonts w:ascii="Arial" w:hAnsi="Arial"/>
          <w:color w:val="4A4A4A"/>
          <w:sz w:val="20"/>
        </w:rPr>
        <w:t>Explain separately why each distractor is weaker; identify timing, missing information, scope, autonomy, theory, intensity, or task mismatch.</w:t>
      </w:r>
    </w:p>
    <w:p>
      <w:pPr>
        <w:pStyle w:val="ListNumber"/>
        <w:spacing w:after="60"/>
      </w:pPr>
      <w:r>
        <w:rPr>
          <w:rFonts w:ascii="Arial" w:hAnsi="Arial"/>
          <w:color w:val="4A4A4A"/>
          <w:sz w:val="20"/>
        </w:rPr>
        <w:t>Provide a concise CTA Exam Strategy that helps the learner recognize the reasoning pattern without merely restating the answer.</w:t>
      </w:r>
    </w:p>
    <w:p>
      <w:pPr>
        <w:pStyle w:val="ListNumber"/>
        <w:spacing w:after="60"/>
      </w:pPr>
      <w:r>
        <w:rPr>
          <w:rFonts w:ascii="Arial" w:hAnsi="Arial"/>
          <w:color w:val="4A4A4A"/>
          <w:sz w:val="20"/>
        </w:rPr>
        <w:t>Avoid claiming that an answer is “always” correct when the result depends on jurisdiction, setting, policy, capacity, consent, or additional facts.</w:t>
      </w:r>
    </w:p>
    <w:p>
      <w:pPr>
        <w:pStyle w:val="Heading1"/>
      </w:pPr>
      <w:r>
        <w:t>12. Item Development and Approval Workflow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FB2C8"/>
          <w:left w:val="single" w:sz="4" w:space="0" w:color="9FB2C8"/>
          <w:bottom w:val="single" w:sz="4" w:space="0" w:color="9FB2C8"/>
          <w:right w:val="single" w:sz="4" w:space="0" w:color="9FB2C8"/>
          <w:insideH w:val="single" w:sz="4" w:space="0" w:color="9FB2C8"/>
          <w:insideV w:val="single" w:sz="4" w:space="0" w:color="9FB2C8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center"/>
            <w:shd w:fill="1B2A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3389"/>
            <w:vAlign w:val="center"/>
            <w:shd w:fill="1B2A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Required Action</w:t>
            </w:r>
          </w:p>
        </w:tc>
        <w:tc>
          <w:tcPr>
            <w:tcW w:type="dxa" w:w="3389"/>
            <w:vAlign w:val="center"/>
            <w:shd w:fill="1B2A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Status Label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1. Blueprint assignment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Select workbook objective and most specific official statement before drafting.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Planned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2. Drafting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Write stem, options, key, rationales, and strategy.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Draft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3. Internal content review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Confirm one best answer, sequencing, competence, and clarity.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Content Reviewed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4. Source verification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Verify controlling sources and currency date.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Source Verified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5. Specialty review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Obtain legal, clinical, cultural, medication, diagnostic, or research review as applicable.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SME Reviewed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6. Assessment review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Check difficulty, cognitive demand, distractors, answer position, and overlap.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Assessment Reviewed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7. Form assembly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Place approved items according to form specifications.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Form Assigned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8. Render and release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Inspect student exam and rationale documents page by page.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Released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9. Performance review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Evaluate learner data when available and revise or retire weak items.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Monitored</w:t>
            </w:r>
          </w:p>
        </w:tc>
      </w:tr>
    </w:tbl>
    <w:p>
      <w:pPr>
        <w:pStyle w:val="Heading1"/>
      </w:pPr>
      <w:r>
        <w:t>13. Duplicate, Exposure, and Reuse Controls</w:t>
      </w:r>
    </w:p>
    <w:p>
      <w:pPr>
        <w:pStyle w:val="ListBullet"/>
        <w:spacing w:after="60"/>
      </w:pPr>
      <w:r>
        <w:rPr>
          <w:rFonts w:ascii="Arial" w:hAnsi="Arial"/>
          <w:color w:val="4A4A4A"/>
          <w:sz w:val="20"/>
        </w:rPr>
        <w:t>Run exact and semantic duplicate checks before approving each new batch.</w:t>
      </w:r>
    </w:p>
    <w:p>
      <w:pPr>
        <w:pStyle w:val="ListBullet"/>
        <w:spacing w:after="60"/>
      </w:pPr>
      <w:r>
        <w:rPr>
          <w:rFonts w:ascii="Arial" w:hAnsi="Arial"/>
          <w:color w:val="4A4A4A"/>
          <w:sz w:val="20"/>
        </w:rPr>
        <w:t>Questions testing the same concept may coexist only when the vignettes, decisions, distractors, and teaching value are meaningfully distinct.</w:t>
      </w:r>
    </w:p>
    <w:p>
      <w:pPr>
        <w:pStyle w:val="ListBullet"/>
        <w:spacing w:after="60"/>
      </w:pPr>
      <w:r>
        <w:rPr>
          <w:rFonts w:ascii="Arial" w:hAnsi="Arial"/>
          <w:color w:val="4A4A4A"/>
          <w:sz w:val="20"/>
        </w:rPr>
        <w:t>Track every appearance in a workbook exam, cumulative exam, final simulation, quiz, marketing sample, or instructor demonstration.</w:t>
      </w:r>
    </w:p>
    <w:p>
      <w:pPr>
        <w:pStyle w:val="ListBullet"/>
        <w:spacing w:after="60"/>
      </w:pPr>
      <w:r>
        <w:rPr>
          <w:rFonts w:ascii="Arial" w:hAnsi="Arial"/>
          <w:color w:val="4A4A4A"/>
          <w:sz w:val="20"/>
        </w:rPr>
        <w:t>Do not place the same item on two forms marketed as separate comprehensive practice exams unless overlap is disclosed and intentionally limited.</w:t>
      </w:r>
    </w:p>
    <w:p>
      <w:pPr>
        <w:pStyle w:val="ListBullet"/>
        <w:spacing w:after="60"/>
      </w:pPr>
      <w:r>
        <w:rPr>
          <w:rFonts w:ascii="Arial" w:hAnsi="Arial"/>
          <w:color w:val="4A4A4A"/>
          <w:sz w:val="20"/>
        </w:rPr>
        <w:t>Retire or revise items that become outdated, overexposed, ambiguous, legally stale, or psychometrically weak.</w:t>
      </w:r>
    </w:p>
    <w:p>
      <w:pPr>
        <w:pStyle w:val="Heading1"/>
      </w:pPr>
      <w:r>
        <w:t>14. Exam Assembly Rules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FB2C8"/>
          <w:left w:val="single" w:sz="4" w:space="0" w:color="9FB2C8"/>
          <w:bottom w:val="single" w:sz="4" w:space="0" w:color="9FB2C8"/>
          <w:right w:val="single" w:sz="4" w:space="0" w:color="9FB2C8"/>
          <w:insideH w:val="single" w:sz="4" w:space="0" w:color="9FB2C8"/>
          <w:insideV w:val="single" w:sz="4" w:space="0" w:color="9FB2C8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vAlign w:val="center"/>
            <w:shd w:fill="1B2A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Exam Type</w:t>
            </w:r>
          </w:p>
        </w:tc>
        <w:tc>
          <w:tcPr>
            <w:tcW w:type="dxa" w:w="5083"/>
            <w:vAlign w:val="center"/>
            <w:shd w:fill="1B2A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Assembly Rule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Workbook Practice Exam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Fifty approved items mapped proportionally to that workbook’s objectives and sections.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Cumulative Review Exam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Approved items sampled across selected workbooks with controlled overlap and increasing integration.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Full-Length LMFT Simulation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Assembled to current California LMFT blueprint, item count, option format, and timing.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Full-Length LCSW Simulation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Assembled to the 2026 ASWB Clinical blueprint: 36% Values and Ethics, 32% Assessment and Planning, 32% Intervention and Practice; internal student simulations may use only scored-style items while clearly explaining the official 12 unscored items.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Alternate Form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Equivalent blueprint, difficulty, cognitive demand, and content coverage with minimized item overlap.</w:t>
            </w:r>
          </w:p>
        </w:tc>
      </w:tr>
    </w:tbl>
    <w:p>
      <w:pPr>
        <w:pStyle w:val="Heading1"/>
      </w:pPr>
      <w:r>
        <w:t>15. Required Quality-Control Reports</w:t>
      </w:r>
    </w:p>
    <w:p>
      <w:pPr>
        <w:pStyle w:val="ListBullet"/>
        <w:spacing w:after="60"/>
      </w:pPr>
      <w:r>
        <w:rPr>
          <w:rFonts w:ascii="Arial" w:hAnsi="Arial"/>
          <w:color w:val="4A4A4A"/>
          <w:sz w:val="20"/>
        </w:rPr>
        <w:t>Question-count and cognitive-distribution report.</w:t>
      </w:r>
    </w:p>
    <w:p>
      <w:pPr>
        <w:pStyle w:val="ListBullet"/>
        <w:spacing w:after="60"/>
      </w:pPr>
      <w:r>
        <w:rPr>
          <w:rFonts w:ascii="Arial" w:hAnsi="Arial"/>
          <w:color w:val="4A4A4A"/>
          <w:sz w:val="20"/>
        </w:rPr>
        <w:t>Blueprint and learning-objective coverage matrix.</w:t>
      </w:r>
    </w:p>
    <w:p>
      <w:pPr>
        <w:pStyle w:val="ListBullet"/>
        <w:spacing w:after="60"/>
      </w:pPr>
      <w:r>
        <w:rPr>
          <w:rFonts w:ascii="Arial" w:hAnsi="Arial"/>
          <w:color w:val="4A4A4A"/>
          <w:sz w:val="20"/>
        </w:rPr>
        <w:t>Difficulty distribution and integrated-reasoning report.</w:t>
      </w:r>
    </w:p>
    <w:p>
      <w:pPr>
        <w:pStyle w:val="ListBullet"/>
        <w:spacing w:after="60"/>
      </w:pPr>
      <w:r>
        <w:rPr>
          <w:rFonts w:ascii="Arial" w:hAnsi="Arial"/>
          <w:color w:val="4A4A4A"/>
          <w:sz w:val="20"/>
        </w:rPr>
        <w:t>Answer-position and sequence audit.</w:t>
      </w:r>
    </w:p>
    <w:p>
      <w:pPr>
        <w:pStyle w:val="ListBullet"/>
        <w:spacing w:after="60"/>
      </w:pPr>
      <w:r>
        <w:rPr>
          <w:rFonts w:ascii="Arial" w:hAnsi="Arial"/>
          <w:color w:val="4A4A4A"/>
          <w:sz w:val="20"/>
        </w:rPr>
        <w:t>Three-option/four-option distribution report for LCSW forms.</w:t>
      </w:r>
    </w:p>
    <w:p>
      <w:pPr>
        <w:pStyle w:val="ListBullet"/>
        <w:spacing w:after="60"/>
      </w:pPr>
      <w:r>
        <w:rPr>
          <w:rFonts w:ascii="Arial" w:hAnsi="Arial"/>
          <w:color w:val="4A4A4A"/>
          <w:sz w:val="20"/>
        </w:rPr>
        <w:t>Duplicate and near-duplicate report.</w:t>
      </w:r>
    </w:p>
    <w:p>
      <w:pPr>
        <w:pStyle w:val="ListBullet"/>
        <w:spacing w:after="60"/>
      </w:pPr>
      <w:r>
        <w:rPr>
          <w:rFonts w:ascii="Arial" w:hAnsi="Arial"/>
          <w:color w:val="4A4A4A"/>
          <w:sz w:val="20"/>
        </w:rPr>
        <w:t>Source-verification and currency report.</w:t>
      </w:r>
    </w:p>
    <w:p>
      <w:pPr>
        <w:pStyle w:val="ListBullet"/>
        <w:spacing w:after="60"/>
      </w:pPr>
      <w:r>
        <w:rPr>
          <w:rFonts w:ascii="Arial" w:hAnsi="Arial"/>
          <w:color w:val="4A4A4A"/>
          <w:sz w:val="20"/>
        </w:rPr>
        <w:t>Accessibility, comments, tracked-changes, metadata, and visual-render report.</w:t>
      </w:r>
    </w:p>
    <w:p>
      <w:pPr>
        <w:pStyle w:val="Heading1"/>
      </w:pPr>
      <w:r>
        <w:t>16. Master Item Record Template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FB2C8"/>
          <w:left w:val="single" w:sz="4" w:space="0" w:color="9FB2C8"/>
          <w:bottom w:val="single" w:sz="4" w:space="0" w:color="9FB2C8"/>
          <w:right w:val="single" w:sz="4" w:space="0" w:color="9FB2C8"/>
          <w:insideH w:val="single" w:sz="4" w:space="0" w:color="9FB2C8"/>
          <w:insideV w:val="single" w:sz="4" w:space="0" w:color="9FB2C8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vAlign w:val="center"/>
            <w:shd w:fill="1B2A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083"/>
            <w:vAlign w:val="center"/>
            <w:shd w:fill="1B2A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Master Item ID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Program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Workbook / Section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Blueprint Area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Competency / Task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Applied Knowledge / KSA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Primary Concept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Secondary Concept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Cognitive Type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Difficulty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Decision Word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Stem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Option A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Option B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Option C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Option D / N-A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Correct Answer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Rationales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CTA Exam Strategy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Sources / Verified Date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Review Status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Exam Use History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Revision History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</w:tr>
    </w:tbl>
    <w:p>
      <w:pPr>
        <w:pStyle w:val="Heading1"/>
      </w:pPr>
      <w:r>
        <w:t>17. Exam Use History Template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FB2C8"/>
          <w:left w:val="single" w:sz="4" w:space="0" w:color="9FB2C8"/>
          <w:bottom w:val="single" w:sz="4" w:space="0" w:color="9FB2C8"/>
          <w:right w:val="single" w:sz="4" w:space="0" w:color="9FB2C8"/>
          <w:insideH w:val="single" w:sz="4" w:space="0" w:color="9FB2C8"/>
          <w:insideV w:val="single" w:sz="4" w:space="0" w:color="9FB2C8"/>
        </w:tblBorders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tblHeader w:val="true"/>
          <w:cantSplit/>
        </w:trPr>
        <w:tc>
          <w:tcPr>
            <w:tcW w:type="dxa" w:w="1452"/>
            <w:vAlign w:val="center"/>
            <w:shd w:fill="1B2A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Master Item ID</w:t>
            </w:r>
          </w:p>
        </w:tc>
        <w:tc>
          <w:tcPr>
            <w:tcW w:type="dxa" w:w="1452"/>
            <w:vAlign w:val="center"/>
            <w:shd w:fill="1B2A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Form ID</w:t>
            </w:r>
          </w:p>
        </w:tc>
        <w:tc>
          <w:tcPr>
            <w:tcW w:type="dxa" w:w="1452"/>
            <w:vAlign w:val="center"/>
            <w:shd w:fill="1B2A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Student Q#</w:t>
            </w:r>
          </w:p>
        </w:tc>
        <w:tc>
          <w:tcPr>
            <w:tcW w:type="dxa" w:w="1452"/>
            <w:vAlign w:val="center"/>
            <w:shd w:fill="1B2A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Use Date</w:t>
            </w:r>
          </w:p>
        </w:tc>
        <w:tc>
          <w:tcPr>
            <w:tcW w:type="dxa" w:w="1452"/>
            <w:vAlign w:val="center"/>
            <w:shd w:fill="1B2A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Exposure Type</w:t>
            </w:r>
          </w:p>
        </w:tc>
        <w:tc>
          <w:tcPr>
            <w:tcW w:type="dxa" w:w="1452"/>
            <w:vAlign w:val="center"/>
            <w:shd w:fill="1B2A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452"/>
            <w:vAlign w:val="center"/>
            <w:shd w:fill="1B2A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Outcome / Notes</w:t>
            </w:r>
          </w:p>
        </w:tc>
      </w:tr>
      <w:tr>
        <w:trPr>
          <w:cantSplit/>
        </w:trPr>
        <w:tc>
          <w:tcPr>
            <w:tcW w:type="dxa" w:w="14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  <w:tc>
          <w:tcPr>
            <w:tcW w:type="dxa" w:w="14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  <w:tc>
          <w:tcPr>
            <w:tcW w:type="dxa" w:w="14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  <w:tc>
          <w:tcPr>
            <w:tcW w:type="dxa" w:w="14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  <w:tc>
          <w:tcPr>
            <w:tcW w:type="dxa" w:w="14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  <w:tc>
          <w:tcPr>
            <w:tcW w:type="dxa" w:w="14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  <w:tc>
          <w:tcPr>
            <w:tcW w:type="dxa" w:w="14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  <w:tc>
          <w:tcPr>
            <w:tcW w:type="dxa" w:w="14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  <w:tc>
          <w:tcPr>
            <w:tcW w:type="dxa" w:w="14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  <w:tc>
          <w:tcPr>
            <w:tcW w:type="dxa" w:w="14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  <w:tc>
          <w:tcPr>
            <w:tcW w:type="dxa" w:w="14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  <w:tc>
          <w:tcPr>
            <w:tcW w:type="dxa" w:w="14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  <w:tc>
          <w:tcPr>
            <w:tcW w:type="dxa" w:w="14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</w:tr>
      <w:tr>
        <w:trPr>
          <w:cantSplit/>
        </w:trPr>
        <w:tc>
          <w:tcPr>
            <w:tcW w:type="dxa" w:w="14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  <w:tc>
          <w:tcPr>
            <w:tcW w:type="dxa" w:w="14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  <w:tc>
          <w:tcPr>
            <w:tcW w:type="dxa" w:w="14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  <w:tc>
          <w:tcPr>
            <w:tcW w:type="dxa" w:w="14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  <w:tc>
          <w:tcPr>
            <w:tcW w:type="dxa" w:w="14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  <w:tc>
          <w:tcPr>
            <w:tcW w:type="dxa" w:w="14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  <w:tc>
          <w:tcPr>
            <w:tcW w:type="dxa" w:w="14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</w:tr>
    </w:tbl>
    <w:p>
      <w:pPr>
        <w:pStyle w:val="Heading1"/>
      </w:pPr>
      <w:r>
        <w:t>18. Release Checklist</w:t>
      </w:r>
    </w:p>
    <w:p>
      <w:pPr>
        <w:spacing w:after="60"/>
      </w:pPr>
      <w:r>
        <w:rPr>
          <w:rFonts w:ascii="Arial" w:hAnsi="Arial"/>
          <w:color w:val="4A4A4A"/>
          <w:sz w:val="19"/>
        </w:rPr>
        <w:t>☐  All questions are original and mapped to the intended workbook and official blueprint.</w:t>
      </w:r>
    </w:p>
    <w:p>
      <w:pPr>
        <w:spacing w:after="60"/>
      </w:pPr>
      <w:r>
        <w:rPr>
          <w:rFonts w:ascii="Arial" w:hAnsi="Arial"/>
          <w:color w:val="4A4A4A"/>
          <w:sz w:val="19"/>
        </w:rPr>
        <w:t>☐  Every item has one best answer and complete option-by-option rationales.</w:t>
      </w:r>
    </w:p>
    <w:p>
      <w:pPr>
        <w:spacing w:after="60"/>
      </w:pPr>
      <w:r>
        <w:rPr>
          <w:rFonts w:ascii="Arial" w:hAnsi="Arial"/>
          <w:color w:val="4A4A4A"/>
          <w:sz w:val="19"/>
        </w:rPr>
        <w:t>☐  Question type, difficulty, decision word, and source verification are recorded.</w:t>
      </w:r>
    </w:p>
    <w:p>
      <w:pPr>
        <w:spacing w:after="60"/>
      </w:pPr>
      <w:r>
        <w:rPr>
          <w:rFonts w:ascii="Arial" w:hAnsi="Arial"/>
          <w:color w:val="4A4A4A"/>
          <w:sz w:val="19"/>
        </w:rPr>
        <w:t>☐  Answer-key distribution and sequence pass the applicable LMFT or LCSW standard.</w:t>
      </w:r>
    </w:p>
    <w:p>
      <w:pPr>
        <w:spacing w:after="60"/>
      </w:pPr>
      <w:r>
        <w:rPr>
          <w:rFonts w:ascii="Arial" w:hAnsi="Arial"/>
          <w:color w:val="4A4A4A"/>
          <w:sz w:val="19"/>
        </w:rPr>
        <w:t>☐  LCSW option-count distribution reflects the 2026 mixed three-/four-option format.</w:t>
      </w:r>
    </w:p>
    <w:p>
      <w:pPr>
        <w:spacing w:after="60"/>
      </w:pPr>
      <w:r>
        <w:rPr>
          <w:rFonts w:ascii="Arial" w:hAnsi="Arial"/>
          <w:color w:val="4A4A4A"/>
          <w:sz w:val="19"/>
        </w:rPr>
        <w:t>☐  No duplicate, near-duplicate, or sample-derived items remain.</w:t>
      </w:r>
    </w:p>
    <w:p>
      <w:pPr>
        <w:spacing w:after="60"/>
      </w:pPr>
      <w:r>
        <w:rPr>
          <w:rFonts w:ascii="Arial" w:hAnsi="Arial"/>
          <w:color w:val="4A4A4A"/>
          <w:sz w:val="19"/>
        </w:rPr>
        <w:t>☐  Legal, medication, diagnostic, cultural, and specialty content received appropriate review.</w:t>
      </w:r>
    </w:p>
    <w:p>
      <w:pPr>
        <w:spacing w:after="60"/>
      </w:pPr>
      <w:r>
        <w:rPr>
          <w:rFonts w:ascii="Arial" w:hAnsi="Arial"/>
          <w:color w:val="4A4A4A"/>
          <w:sz w:val="19"/>
        </w:rPr>
        <w:t>☐  No internal notes appear in student-facing exam or rationale documents.</w:t>
      </w:r>
    </w:p>
    <w:p>
      <w:pPr>
        <w:spacing w:after="60"/>
      </w:pPr>
      <w:r>
        <w:rPr>
          <w:rFonts w:ascii="Arial" w:hAnsi="Arial"/>
          <w:color w:val="4A4A4A"/>
          <w:sz w:val="19"/>
        </w:rPr>
        <w:t>☐  Accessibility audits pass; comments and tracked changes are absent.</w:t>
      </w:r>
    </w:p>
    <w:p>
      <w:pPr>
        <w:spacing w:after="60"/>
      </w:pPr>
      <w:r>
        <w:rPr>
          <w:rFonts w:ascii="Arial" w:hAnsi="Arial"/>
          <w:color w:val="4A4A4A"/>
          <w:sz w:val="19"/>
        </w:rPr>
        <w:t>☐  Every page of each final Word document has been rendered and visually inspected.</w:t>
      </w:r>
    </w:p>
    <w:p>
      <w:pPr>
        <w:spacing w:after="60"/>
      </w:pPr>
      <w:r>
        <w:rPr>
          <w:rFonts w:ascii="Arial" w:hAnsi="Arial"/>
          <w:color w:val="4A4A4A"/>
          <w:sz w:val="19"/>
        </w:rPr>
        <w:t>☐  Exam use history and bank status are updated before release.</w:t>
      </w:r>
    </w:p>
    <w:p>
      <w:pPr>
        <w:pStyle w:val="Heading1"/>
        <w:keepNext/>
        <w:spacing w:before="120" w:after="60"/>
      </w:pPr>
      <w:r>
        <w:rPr>
          <w:sz w:val="28"/>
        </w:rPr>
        <w:t>Source Basis</w:t>
      </w:r>
    </w:p>
    <w:p>
      <w:pPr>
        <w:spacing w:before="0" w:after="60" w:line="240" w:lineRule="auto"/>
      </w:pPr>
      <w:r>
        <w:rPr>
          <w:sz w:val="18"/>
        </w:rPr>
        <w:t>Primary internal controls: CTA Course Development Standards v1.0 and CTA Exam Preparation Workbook Global Revision and Production Standard v1.0.</w:t>
      </w:r>
    </w:p>
    <w:p>
      <w:pPr>
        <w:spacing w:before="0" w:after="60" w:line="240" w:lineRule="auto"/>
      </w:pPr>
      <w:r>
        <w:rPr>
          <w:sz w:val="18"/>
        </w:rPr>
        <w:t>Primary external controls: California Board of Behavioral Sciences and Pearson VUE LMFT Clinical Examination resources; Association of Social Work Boards Examination Guidebook for examinations administered on or after August 3, 2026. Official sources were reviewed July 24, 2026.</w:t>
      </w:r>
    </w:p>
    <w:p>
      <w:pPr>
        <w:spacing w:before="0" w:after="60" w:line="240" w:lineRule="auto"/>
      </w:pPr>
      <w:r>
        <w:rPr>
          <w:sz w:val="18"/>
        </w:rPr>
        <w:t>This internal resource does not reproduce secure examination content. Official sample questions are used only to study public item-writing characteristics. CTA is not affiliated with, endorsed by, or sponsored by BBS, Pearson VUE, ASWB, or other licensing or testing organizations.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A4A4A"/>
        <w:sz w:val="15"/>
      </w:rPr>
      <w:t xml:space="preserve">Clinical Training Academy • Internal Administrative Resource • 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1B2A41"/>
        <w:sz w:val="15"/>
      </w:rPr>
      <w:t>CTA LMFT/LCSW Master Question Bank • Internal Production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4A4A4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B2A4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A9D8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B2A4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B2A4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LMFT and LCSW Master Question Bank and Practice Exam Production Standard</dc:title>
  <dc:subject>Internal assessment development and question bank controls</dc:subject>
  <dc:creator>Clinical Training Academy</dc:creator>
  <cp:keywords>LMFT, LCSW, ASWB, practice exam, master question bank, assessment development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