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011680" cy="1454136"/>
            <wp:docPr id="1" name="Picture 1" descr="Image: image2.png"/>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011680" cy="1454136"/>
                    </a:xfrm>
                    <a:prstGeom prst="rect"/>
                  </pic:spPr>
                </pic:pic>
              </a:graphicData>
            </a:graphic>
          </wp:inline>
        </w:drawing>
      </w:r>
    </w:p>
    <w:p>
      <w:pPr>
        <w:spacing w:after="80"/>
        <w:jc w:val="center"/>
      </w:pPr>
      <w:r>
        <w:rPr>
          <w:rFonts w:ascii="Arial" w:hAnsi="Arial"/>
          <w:b/>
          <w:i w:val="0"/>
          <w:color w:val="159C9C"/>
          <w:sz w:val="21"/>
        </w:rPr>
        <w:t>LPCC NCMHCE EXAM PREPARATION PROGRAM</w:t>
      </w:r>
    </w:p>
    <w:p>
      <w:pPr>
        <w:spacing w:after="160"/>
        <w:jc w:val="center"/>
      </w:pPr>
      <w:r>
        <w:rPr>
          <w:rFonts w:ascii="Arial" w:hAnsi="Arial"/>
          <w:b/>
          <w:i w:val="0"/>
          <w:color w:val="17365D"/>
          <w:sz w:val="30"/>
        </w:rPr>
        <w:t>Student Workbook</w:t>
      </w:r>
    </w:p>
    <w:p>
      <w:pPr>
        <w:spacing w:after="80"/>
        <w:jc w:val="center"/>
      </w:pPr>
      <w:r>
        <w:rPr>
          <w:rFonts w:ascii="Arial" w:hAnsi="Arial"/>
          <w:b/>
          <w:i w:val="0"/>
          <w:color w:val="159C9C"/>
          <w:sz w:val="24"/>
        </w:rPr>
        <w:t>CTA LPCC Workbook 12</w:t>
      </w:r>
    </w:p>
    <w:p>
      <w:pPr>
        <w:spacing w:after="200"/>
        <w:jc w:val="center"/>
      </w:pPr>
      <w:r>
        <w:rPr>
          <w:rFonts w:ascii="Arial" w:hAnsi="Arial"/>
          <w:b/>
          <w:i w:val="0"/>
          <w:color w:val="17365D"/>
          <w:sz w:val="38"/>
        </w:rPr>
        <w:t>California Legal, Ethical, Documentation, Technology, and Professional Practice</w:t>
      </w:r>
    </w:p>
    <w:p>
      <w:pPr>
        <w:spacing w:after="360"/>
        <w:jc w:val="center"/>
      </w:pPr>
      <w:r>
        <w:rPr>
          <w:rFonts w:ascii="Arial" w:hAnsi="Arial"/>
          <w:b w:val="0"/>
          <w:i/>
          <w:color w:val="4B5563"/>
          <w:sz w:val="20"/>
        </w:rPr>
        <w:t>How to identify controlling authority, protect client information, respond to legal duties, use technology responsibly, and document professional decisions that are accurate, ethical, and defensible.</w:t>
      </w:r>
    </w:p>
    <w:p>
      <w:pPr>
        <w:spacing w:after="60"/>
        <w:jc w:val="center"/>
      </w:pPr>
      <w:r>
        <w:rPr>
          <w:rFonts w:ascii="Arial" w:hAnsi="Arial"/>
          <w:b/>
          <w:i w:val="0"/>
          <w:color w:val="17365D"/>
          <w:sz w:val="19"/>
        </w:rPr>
        <w:t>Version 1.0 - July 2026</w:t>
      </w:r>
    </w:p>
    <w:p>
      <w:pPr>
        <w:spacing w:after="40"/>
        <w:jc w:val="center"/>
      </w:pPr>
      <w:r>
        <w:rPr>
          <w:rFonts w:ascii="Arial" w:hAnsi="Arial"/>
          <w:b/>
          <w:i w:val="0"/>
          <w:color w:val="159C9C"/>
          <w:sz w:val="20"/>
        </w:rPr>
        <w:t>Clinical Training Academy</w:t>
      </w:r>
    </w:p>
    <w:p>
      <w:pPr>
        <w:spacing w:after="160"/>
        <w:jc w:val="center"/>
      </w:pPr>
      <w:r>
        <w:rPr>
          <w:rFonts w:ascii="Arial" w:hAnsi="Arial"/>
          <w:b w:val="0"/>
          <w:i w:val="0"/>
          <w:color w:val="4B5563"/>
          <w:sz w:val="17"/>
        </w:rPr>
        <w:t>Editable Word workbook | Self-paced study | Educational use</w:t>
      </w:r>
    </w:p>
    <w:p>
      <w:r>
        <w:br w:type="page"/>
      </w:r>
    </w:p>
    <w:p>
      <w:pPr>
        <w:pStyle w:val="Heading1"/>
        <w:keepNext/>
      </w:pPr>
      <w:r>
        <w:t>How to Use This Workbook</w:t>
      </w:r>
    </w:p>
    <w:p>
      <w:pPr>
        <w:spacing w:after="100"/>
      </w:pPr>
      <w:r>
        <w:rPr>
          <w:rFonts w:ascii="Arial" w:hAnsi="Arial"/>
          <w:b w:val="0"/>
          <w:i w:val="0"/>
          <w:color w:val="1F2937"/>
          <w:sz w:val="19"/>
        </w:rPr>
        <w:t>Workbook 12 integrates the legal, ethical, documentation, technology, and professional-practice decisions that appear throughout the NCMHCE. The exam usually does not reward the most dramatic response, the broadest disclosure, or the action that merely feels protective. It rewards the counselor who identifies the governing issue, respects client rights, acts within scope, uses consultation appropriately, documents the reasoning, and preserves safety and continuity.</w:t>
      </w:r>
    </w:p>
    <w:tbl>
      <w:tblPr>
        <w:tblW w:type="auto" w:w="0"/>
        <w:jc w:val="center"/>
        <w:tblLook w:firstColumn="1" w:firstRow="1" w:lastColumn="0" w:lastRow="0" w:noHBand="0" w:noVBand="1" w:val="04A0"/>
      </w:tblPr>
      <w:tblGrid>
        <w:gridCol w:w="10282"/>
      </w:tblGrid>
      <w:tr>
        <w:tc>
          <w:tcPr>
            <w:tcW w:type="dxa" w:w="10282"/>
            <w:shd w:fill="E8F4F4"/>
            <w:tcBorders>
              <w:top w:val="single" w:sz="8" w:color="159C9C"/>
              <w:left w:val="single" w:sz="8" w:color="159C9C"/>
              <w:bottom w:val="single" w:sz="8" w:color="159C9C"/>
              <w:right w:val="single" w:sz="8" w:color="159C9C"/>
            </w:tcBorders>
            <w:tcMar>
              <w:top w:w="90" w:type="dxa"/>
              <w:start w:w="120" w:type="dxa"/>
              <w:bottom w:w="90" w:type="dxa"/>
              <w:end w:w="120" w:type="dxa"/>
            </w:tcMar>
          </w:tcPr>
          <w:p>
            <w:pPr>
              <w:spacing w:after="40"/>
            </w:pPr>
            <w:r>
              <w:rPr>
                <w:rFonts w:ascii="Arial" w:hAnsi="Arial"/>
                <w:b/>
                <w:color w:val="17365D"/>
                <w:sz w:val="19"/>
              </w:rPr>
              <w:t>LEARN -&gt; APPLY -&gt; ANALYZE -&gt; REMEDIATE</w:t>
            </w:r>
          </w:p>
          <w:p>
            <w:pPr>
              <w:spacing w:after="0"/>
            </w:pPr>
            <w:r>
              <w:rPr>
                <w:rFonts w:ascii="Arial" w:hAnsi="Arial"/>
                <w:color w:val="1F2937"/>
                <w:sz w:val="18"/>
              </w:rPr>
              <w:t>Study one chapter at a time. Use each decision tool before looking at the worked examples. Complete the cumulative case, answer all ten knowledge-check questions, and write one corrected professional-practice rule for every missed or low-confidence item.</w:t>
            </w:r>
          </w:p>
        </w:tc>
      </w:tr>
    </w:tbl>
    <w:p>
      <w:pPr>
        <w:spacing w:after="0"/>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7365D"/>
            <w:vAlign w:val="center"/>
            <w:tcMar>
              <w:top w:w="70" w:type="dxa"/>
              <w:start w:w="75" w:type="dxa"/>
              <w:bottom w:w="70" w:type="dxa"/>
              <w:end w:w="75" w:type="dxa"/>
            </w:tcMar>
          </w:tcPr>
          <w:p>
            <w:pPr>
              <w:jc w:val="center"/>
            </w:pPr>
            <w:r>
              <w:rPr>
                <w:rFonts w:ascii="Arial" w:hAnsi="Arial"/>
                <w:b/>
                <w:color w:val="FFFFFF"/>
                <w:sz w:val="16"/>
              </w:rPr>
              <w:t>Current NCMHCE Alignment</w:t>
            </w:r>
          </w:p>
        </w:tc>
        <w:tc>
          <w:tcPr>
            <w:tcW w:type="dxa" w:w="5141"/>
            <w:shd w:fill="17365D"/>
            <w:vAlign w:val="center"/>
            <w:tcMar>
              <w:top w:w="70" w:type="dxa"/>
              <w:start w:w="75" w:type="dxa"/>
              <w:bottom w:w="70" w:type="dxa"/>
              <w:end w:w="75" w:type="dxa"/>
            </w:tcMar>
          </w:tcPr>
          <w:p>
            <w:pPr>
              <w:jc w:val="center"/>
            </w:pPr>
            <w:r>
              <w:rPr>
                <w:rFonts w:ascii="Arial" w:hAnsi="Arial"/>
                <w:b/>
                <w:color w:val="FFFFFF"/>
                <w:sz w:val="16"/>
              </w:rPr>
              <w:t>Primary Emphasis</w:t>
            </w:r>
          </w:p>
        </w:tc>
      </w:tr>
      <w:tr>
        <w:tc>
          <w:tcPr>
            <w:tcW w:type="dxa" w:w="5141"/>
            <w:tcMar>
              <w:top w:w="55" w:type="dxa"/>
              <w:start w:w="70" w:type="dxa"/>
              <w:bottom w:w="55" w:type="dxa"/>
              <w:end w:w="70" w:type="dxa"/>
            </w:tcMar>
          </w:tcPr>
          <w:p>
            <w:r>
              <w:rPr>
                <w:rFonts w:ascii="Arial" w:hAnsi="Arial"/>
                <w:color w:val="1F2937"/>
                <w:sz w:val="16"/>
              </w:rPr>
              <w:t>Professional Practice and Ethics</w:t>
            </w:r>
          </w:p>
        </w:tc>
        <w:tc>
          <w:tcPr>
            <w:tcW w:type="dxa" w:w="5141"/>
            <w:tcMar>
              <w:top w:w="55" w:type="dxa"/>
              <w:start w:w="70" w:type="dxa"/>
              <w:bottom w:w="55" w:type="dxa"/>
              <w:end w:w="70" w:type="dxa"/>
            </w:tcMar>
          </w:tcPr>
          <w:p>
            <w:r>
              <w:rPr>
                <w:rFonts w:ascii="Arial" w:hAnsi="Arial"/>
                <w:color w:val="1F2937"/>
                <w:sz w:val="16"/>
              </w:rPr>
              <w:t>Legal and ethical counseling practice, informed consent, confidentiality, records, boundaries, competence, technology, and documentation</w:t>
            </w:r>
          </w:p>
        </w:tc>
      </w:tr>
      <w:tr>
        <w:tc>
          <w:tcPr>
            <w:tcW w:type="dxa" w:w="5141"/>
            <w:tcMar>
              <w:top w:w="55" w:type="dxa"/>
              <w:start w:w="70" w:type="dxa"/>
              <w:bottom w:w="55" w:type="dxa"/>
              <w:end w:w="70" w:type="dxa"/>
            </w:tcMar>
            <w:shd w:fill="F8FAFC"/>
          </w:tcPr>
          <w:p>
            <w:r>
              <w:rPr>
                <w:rFonts w:ascii="Arial" w:hAnsi="Arial"/>
                <w:color w:val="1F2937"/>
                <w:sz w:val="16"/>
              </w:rPr>
              <w:t>Treatment Planning</w:t>
            </w:r>
          </w:p>
        </w:tc>
        <w:tc>
          <w:tcPr>
            <w:tcW w:type="dxa" w:w="5141"/>
            <w:tcMar>
              <w:top w:w="55" w:type="dxa"/>
              <w:start w:w="70" w:type="dxa"/>
              <w:bottom w:w="55" w:type="dxa"/>
              <w:end w:w="70" w:type="dxa"/>
            </w:tcMar>
            <w:shd w:fill="F8FAFC"/>
          </w:tcPr>
          <w:p>
            <w:r>
              <w:rPr>
                <w:rFonts w:ascii="Arial" w:hAnsi="Arial"/>
                <w:color w:val="1F2937"/>
                <w:sz w:val="16"/>
              </w:rPr>
              <w:t>Fees, service agreements, continuity, termination, emergency planning, and defensible care transitions</w:t>
            </w:r>
          </w:p>
        </w:tc>
      </w:tr>
      <w:tr>
        <w:tc>
          <w:tcPr>
            <w:tcW w:type="dxa" w:w="5141"/>
            <w:tcMar>
              <w:top w:w="55" w:type="dxa"/>
              <w:start w:w="70" w:type="dxa"/>
              <w:bottom w:w="55" w:type="dxa"/>
              <w:end w:w="70" w:type="dxa"/>
            </w:tcMar>
          </w:tcPr>
          <w:p>
            <w:r>
              <w:rPr>
                <w:rFonts w:ascii="Arial" w:hAnsi="Arial"/>
                <w:color w:val="1F2937"/>
                <w:sz w:val="16"/>
              </w:rPr>
              <w:t>Counseling Skills and Interventions</w:t>
            </w:r>
          </w:p>
        </w:tc>
        <w:tc>
          <w:tcPr>
            <w:tcW w:type="dxa" w:w="5141"/>
            <w:tcMar>
              <w:top w:w="55" w:type="dxa"/>
              <w:start w:w="70" w:type="dxa"/>
              <w:bottom w:w="55" w:type="dxa"/>
              <w:end w:w="70" w:type="dxa"/>
            </w:tcMar>
          </w:tcPr>
          <w:p>
            <w:r>
              <w:rPr>
                <w:rFonts w:ascii="Arial" w:hAnsi="Arial"/>
                <w:color w:val="1F2937"/>
                <w:sz w:val="16"/>
              </w:rPr>
              <w:t>Clear explanation of rights and limits, collaborative responses, and ethical use of electronic services</w:t>
            </w:r>
          </w:p>
        </w:tc>
      </w:tr>
      <w:tr>
        <w:tc>
          <w:tcPr>
            <w:tcW w:type="dxa" w:w="5141"/>
            <w:tcMar>
              <w:top w:w="55" w:type="dxa"/>
              <w:start w:w="70" w:type="dxa"/>
              <w:bottom w:w="55" w:type="dxa"/>
              <w:end w:w="70" w:type="dxa"/>
            </w:tcMar>
            <w:shd w:fill="F8FAFC"/>
          </w:tcPr>
          <w:p>
            <w:r>
              <w:rPr>
                <w:rFonts w:ascii="Arial" w:hAnsi="Arial"/>
                <w:color w:val="1F2937"/>
                <w:sz w:val="16"/>
              </w:rPr>
              <w:t>Core Counseling Attributes</w:t>
            </w:r>
          </w:p>
        </w:tc>
        <w:tc>
          <w:tcPr>
            <w:tcW w:type="dxa" w:w="5141"/>
            <w:tcMar>
              <w:top w:w="55" w:type="dxa"/>
              <w:start w:w="70" w:type="dxa"/>
              <w:bottom w:w="55" w:type="dxa"/>
              <w:end w:w="70" w:type="dxa"/>
            </w:tcMar>
            <w:shd w:fill="F8FAFC"/>
          </w:tcPr>
          <w:p>
            <w:r>
              <w:rPr>
                <w:rFonts w:ascii="Arial" w:hAnsi="Arial"/>
                <w:color w:val="1F2937"/>
                <w:sz w:val="16"/>
              </w:rPr>
              <w:t>Integrity, transparency, humility, consultation, accountability, and responsiveness to client welfare</w:t>
            </w:r>
          </w:p>
        </w:tc>
      </w:tr>
    </w:tbl>
    <w:p>
      <w:pPr>
        <w:spacing w:after="0"/>
      </w:pPr>
    </w:p>
    <w:tbl>
      <w:tblPr>
        <w:tblW w:type="auto" w:w="0"/>
        <w:jc w:val="center"/>
        <w:tblLook w:firstColumn="1" w:firstRow="1" w:lastColumn="0" w:lastRow="0" w:noHBand="0" w:noVBand="1" w:val="04A0"/>
      </w:tblPr>
      <w:tblGrid>
        <w:gridCol w:w="10282"/>
      </w:tblGrid>
      <w:tr>
        <w:tc>
          <w:tcPr>
            <w:tcW w:type="dxa" w:w="10282"/>
            <w:shd w:fill="EAF0F7"/>
            <w:tcBorders>
              <w:top w:val="single" w:sz="8" w:color="159C9C"/>
              <w:left w:val="single" w:sz="8" w:color="159C9C"/>
              <w:bottom w:val="single" w:sz="8" w:color="159C9C"/>
              <w:right w:val="single" w:sz="8" w:color="159C9C"/>
            </w:tcBorders>
            <w:tcMar>
              <w:top w:w="90" w:type="dxa"/>
              <w:start w:w="120" w:type="dxa"/>
              <w:bottom w:w="90" w:type="dxa"/>
              <w:end w:w="120" w:type="dxa"/>
            </w:tcMar>
          </w:tcPr>
          <w:p>
            <w:pPr>
              <w:spacing w:after="40"/>
            </w:pPr>
            <w:r>
              <w:rPr>
                <w:rFonts w:ascii="Arial" w:hAnsi="Arial"/>
                <w:b/>
                <w:color w:val="17365D"/>
                <w:sz w:val="19"/>
              </w:rPr>
              <w:t>JULY 2027 BRIDGE</w:t>
            </w:r>
          </w:p>
          <w:p>
            <w:pPr>
              <w:spacing w:after="0"/>
            </w:pPr>
            <w:r>
              <w:rPr>
                <w:rFonts w:ascii="Arial" w:hAnsi="Arial"/>
                <w:color w:val="1F2937"/>
                <w:sz w:val="18"/>
              </w:rPr>
              <w:t>This workbook is the primary preparation resource for the Legal and Ethical Compliance domain and also supports Indirect Client Care, Treatment Planning and Continuity of Care, and Professional Development and Counselor Self-Awareness in the July 1, 2027 NCMHCE specifications.</w:t>
            </w:r>
          </w:p>
        </w:tc>
      </w:tr>
    </w:tbl>
    <w:p>
      <w:pPr>
        <w:spacing w:after="0"/>
      </w:pPr>
    </w:p>
    <w:tbl>
      <w:tblPr>
        <w:tblW w:type="auto" w:w="0"/>
        <w:jc w:val="center"/>
        <w:tblLook w:firstColumn="1" w:firstRow="1" w:lastColumn="0" w:lastRow="0" w:noHBand="0" w:noVBand="1" w:val="04A0"/>
      </w:tblPr>
      <w:tblGrid>
        <w:gridCol w:w="10282"/>
      </w:tblGrid>
      <w:tr>
        <w:tc>
          <w:tcPr>
            <w:tcW w:type="dxa" w:w="10282"/>
            <w:shd w:fill="FFF4D6"/>
            <w:tcBorders>
              <w:top w:val="single" w:sz="8" w:color="C99500"/>
              <w:left w:val="single" w:sz="8" w:color="C99500"/>
              <w:bottom w:val="single" w:sz="8" w:color="C99500"/>
              <w:right w:val="single" w:sz="8" w:color="C99500"/>
            </w:tcBorders>
            <w:tcMar>
              <w:top w:w="90" w:type="dxa"/>
              <w:start w:w="120" w:type="dxa"/>
              <w:bottom w:w="90" w:type="dxa"/>
              <w:end w:w="120" w:type="dxa"/>
            </w:tcMar>
          </w:tcPr>
          <w:p>
            <w:pPr>
              <w:spacing w:after="40"/>
            </w:pPr>
            <w:r>
              <w:rPr>
                <w:rFonts w:ascii="Arial" w:hAnsi="Arial"/>
                <w:b/>
                <w:color w:val="17365D"/>
                <w:sz w:val="19"/>
              </w:rPr>
              <w:t>CALIFORNIA AUTHORITY CONTROL</w:t>
            </w:r>
          </w:p>
          <w:p>
            <w:pPr>
              <w:spacing w:after="0"/>
            </w:pPr>
            <w:r>
              <w:rPr>
                <w:rFonts w:ascii="Arial" w:hAnsi="Arial"/>
                <w:color w:val="1F2937"/>
                <w:sz w:val="18"/>
              </w:rPr>
              <w:t>For California-specific questions, use current statutes, regulations, and Board of Behavioral Sciences requirements before relying on a general ethics rule, workplace habit, or personal preference. Ethics often adds protection and professional judgment, but it does not erase a controlling legal duty.</w:t>
            </w:r>
          </w:p>
        </w:tc>
      </w:tr>
    </w:tbl>
    <w:p>
      <w:pPr>
        <w:spacing w:after="0"/>
      </w:pPr>
    </w:p>
    <w:tbl>
      <w:tblPr>
        <w:tblW w:type="auto" w:w="0"/>
        <w:jc w:val="center"/>
        <w:tblLook w:firstColumn="1" w:firstRow="1" w:lastColumn="0" w:lastRow="0" w:noHBand="0" w:noVBand="1" w:val="04A0"/>
      </w:tblPr>
      <w:tblGrid>
        <w:gridCol w:w="10282"/>
      </w:tblGrid>
      <w:tr>
        <w:tc>
          <w:tcPr>
            <w:tcW w:type="dxa" w:w="10282"/>
            <w:shd w:fill="F2F4F6"/>
            <w:tcBorders>
              <w:top w:val="single" w:sz="8" w:color="9CA3AF"/>
              <w:left w:val="single" w:sz="8" w:color="9CA3AF"/>
              <w:bottom w:val="single" w:sz="8" w:color="9CA3AF"/>
              <w:right w:val="single" w:sz="8" w:color="9CA3AF"/>
            </w:tcBorders>
            <w:tcMar>
              <w:top w:w="90" w:type="dxa"/>
              <w:start w:w="120" w:type="dxa"/>
              <w:bottom w:w="90" w:type="dxa"/>
              <w:end w:w="120" w:type="dxa"/>
            </w:tcMar>
          </w:tcPr>
          <w:p>
            <w:pPr>
              <w:spacing w:after="40"/>
            </w:pPr>
            <w:r>
              <w:rPr>
                <w:rFonts w:ascii="Arial" w:hAnsi="Arial"/>
                <w:b/>
                <w:color w:val="17365D"/>
                <w:sz w:val="19"/>
              </w:rPr>
              <w:t>EDUCATIONAL AND LEGAL-UPDATE NOTICE</w:t>
            </w:r>
          </w:p>
          <w:p>
            <w:pPr>
              <w:spacing w:after="0"/>
            </w:pPr>
            <w:r>
              <w:rPr>
                <w:rFonts w:ascii="Arial" w:hAnsi="Arial"/>
                <w:color w:val="1F2937"/>
                <w:sz w:val="18"/>
              </w:rPr>
              <w:t>This workbook is an educational exam-preparation resource, not legal advice. California statutes, regulations, board guidance, federal privacy rules, and technology requirements change. Candidates and clinicians should verify current official sources and obtain supervision, consultation, or legal guidance when a real case requires it.</w:t>
            </w:r>
          </w:p>
        </w:tc>
      </w:tr>
    </w:tbl>
    <w:p>
      <w:pPr>
        <w:spacing w:after="0"/>
      </w:pPr>
    </w:p>
    <w:p>
      <w:pPr>
        <w:pStyle w:val="Heading2"/>
        <w:keepNext/>
      </w:pPr>
      <w:r>
        <w:t>Learning Objectives</w:t>
      </w:r>
    </w:p>
    <w:p>
      <w:pPr>
        <w:pStyle w:val="ListBullet"/>
        <w:spacing w:after="56"/>
      </w:pPr>
      <w:r>
        <w:t>Determine the controlling source of authority in a legal or ethical counseling problem and select a response consistent with scope, competence, client welfare, and consultation needs.</w:t>
      </w:r>
    </w:p>
    <w:p>
      <w:pPr>
        <w:pStyle w:val="ListBullet"/>
        <w:spacing w:after="56"/>
      </w:pPr>
      <w:r>
        <w:t>Distinguish confidentiality, privacy, privilege, authorization, record access, and minimum-necessary disclosure decisions.</w:t>
      </w:r>
    </w:p>
    <w:p>
      <w:pPr>
        <w:pStyle w:val="ListBullet"/>
        <w:spacing w:after="56"/>
      </w:pPr>
      <w:r>
        <w:t>Identify mandated-reporting, duty-to-protect, third-party, subpoena, and court-related triggers and sequence the counselor response appropriately.</w:t>
      </w:r>
    </w:p>
    <w:p>
      <w:pPr>
        <w:pStyle w:val="ListBullet"/>
        <w:spacing w:after="56"/>
      </w:pPr>
      <w:r>
        <w:t>Evaluate telehealth, electronic communication, social media, artificial intelligence, and electronic-record practices for jurisdiction, consent, privacy, security, human oversight, and clinical fit.</w:t>
      </w:r>
    </w:p>
    <w:p>
      <w:pPr>
        <w:pStyle w:val="ListBullet"/>
        <w:spacing w:after="56"/>
      </w:pPr>
      <w:r>
        <w:t>Create accurate documentation, billing, emergency, termination, continuity, and risk-management responses without altering records, overstating services, or abandoning client needs.</w:t>
      </w:r>
    </w:p>
    <w:p>
      <w:r>
        <w:br w:type="page"/>
      </w:r>
    </w:p>
    <w:p>
      <w:pPr>
        <w:pStyle w:val="Heading1"/>
        <w:keepNext/>
      </w:pPr>
      <w:r>
        <w:t>Workbook Roadmap</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17365D"/>
            <w:vAlign w:val="center"/>
            <w:tcMar>
              <w:top w:w="70" w:type="dxa"/>
              <w:start w:w="75" w:type="dxa"/>
              <w:bottom w:w="70" w:type="dxa"/>
              <w:end w:w="75" w:type="dxa"/>
            </w:tcMar>
          </w:tcPr>
          <w:p>
            <w:pPr>
              <w:jc w:val="center"/>
            </w:pPr>
            <w:r>
              <w:rPr>
                <w:rFonts w:ascii="Arial" w:hAnsi="Arial"/>
                <w:b/>
                <w:color w:val="FFFFFF"/>
                <w:sz w:val="16"/>
              </w:rPr>
              <w:t>Chapter</w:t>
            </w:r>
          </w:p>
        </w:tc>
        <w:tc>
          <w:tcPr>
            <w:tcW w:type="dxa" w:w="3427"/>
            <w:shd w:fill="17365D"/>
            <w:vAlign w:val="center"/>
            <w:tcMar>
              <w:top w:w="70" w:type="dxa"/>
              <w:start w:w="75" w:type="dxa"/>
              <w:bottom w:w="70" w:type="dxa"/>
              <w:end w:w="75" w:type="dxa"/>
            </w:tcMar>
          </w:tcPr>
          <w:p>
            <w:pPr>
              <w:jc w:val="center"/>
            </w:pPr>
            <w:r>
              <w:rPr>
                <w:rFonts w:ascii="Arial" w:hAnsi="Arial"/>
                <w:b/>
                <w:color w:val="FFFFFF"/>
                <w:sz w:val="16"/>
              </w:rPr>
              <w:t>Focus</w:t>
            </w:r>
          </w:p>
        </w:tc>
        <w:tc>
          <w:tcPr>
            <w:tcW w:type="dxa" w:w="3427"/>
            <w:shd w:fill="17365D"/>
            <w:vAlign w:val="center"/>
            <w:tcMar>
              <w:top w:w="70" w:type="dxa"/>
              <w:start w:w="75" w:type="dxa"/>
              <w:bottom w:w="70" w:type="dxa"/>
              <w:end w:w="75" w:type="dxa"/>
            </w:tcMar>
          </w:tcPr>
          <w:p>
            <w:pPr>
              <w:jc w:val="center"/>
            </w:pPr>
            <w:r>
              <w:rPr>
                <w:rFonts w:ascii="Arial" w:hAnsi="Arial"/>
                <w:b/>
                <w:color w:val="FFFFFF"/>
                <w:sz w:val="16"/>
              </w:rPr>
              <w:t>Primary Tool</w:t>
            </w:r>
          </w:p>
        </w:tc>
      </w:tr>
      <w:tr>
        <w:tc>
          <w:tcPr>
            <w:tcW w:type="dxa" w:w="3427"/>
            <w:tcMar>
              <w:top w:w="55" w:type="dxa"/>
              <w:start w:w="70" w:type="dxa"/>
              <w:bottom w:w="55" w:type="dxa"/>
              <w:end w:w="70" w:type="dxa"/>
            </w:tcMar>
          </w:tcPr>
          <w:p>
            <w:r>
              <w:rPr>
                <w:rFonts w:ascii="Arial" w:hAnsi="Arial"/>
                <w:color w:val="1F2937"/>
                <w:sz w:val="16"/>
              </w:rPr>
              <w:t>1</w:t>
            </w:r>
          </w:p>
        </w:tc>
        <w:tc>
          <w:tcPr>
            <w:tcW w:type="dxa" w:w="3427"/>
            <w:tcMar>
              <w:top w:w="55" w:type="dxa"/>
              <w:start w:w="70" w:type="dxa"/>
              <w:bottom w:w="55" w:type="dxa"/>
              <w:end w:w="70" w:type="dxa"/>
            </w:tcMar>
          </w:tcPr>
          <w:p>
            <w:r>
              <w:rPr>
                <w:rFonts w:ascii="Arial" w:hAnsi="Arial"/>
                <w:color w:val="1F2937"/>
                <w:sz w:val="16"/>
              </w:rPr>
              <w:t>Authority hierarchy, ethics, scope, and competence</w:t>
            </w:r>
          </w:p>
        </w:tc>
        <w:tc>
          <w:tcPr>
            <w:tcW w:type="dxa" w:w="3427"/>
            <w:tcMar>
              <w:top w:w="55" w:type="dxa"/>
              <w:start w:w="70" w:type="dxa"/>
              <w:bottom w:w="55" w:type="dxa"/>
              <w:end w:w="70" w:type="dxa"/>
            </w:tcMar>
          </w:tcPr>
          <w:p>
            <w:r>
              <w:rPr>
                <w:rFonts w:ascii="Arial" w:hAnsi="Arial"/>
                <w:color w:val="1F2937"/>
                <w:sz w:val="16"/>
              </w:rPr>
              <w:t>LAYER</w:t>
            </w:r>
          </w:p>
        </w:tc>
      </w:tr>
      <w:tr>
        <w:tc>
          <w:tcPr>
            <w:tcW w:type="dxa" w:w="3427"/>
            <w:tcMar>
              <w:top w:w="55" w:type="dxa"/>
              <w:start w:w="70" w:type="dxa"/>
              <w:bottom w:w="55" w:type="dxa"/>
              <w:end w:w="70" w:type="dxa"/>
            </w:tcMar>
            <w:shd w:fill="F8FAFC"/>
          </w:tcPr>
          <w:p>
            <w:r>
              <w:rPr>
                <w:rFonts w:ascii="Arial" w:hAnsi="Arial"/>
                <w:color w:val="1F2937"/>
                <w:sz w:val="16"/>
              </w:rPr>
              <w:t>2</w:t>
            </w:r>
          </w:p>
        </w:tc>
        <w:tc>
          <w:tcPr>
            <w:tcW w:type="dxa" w:w="3427"/>
            <w:tcMar>
              <w:top w:w="55" w:type="dxa"/>
              <w:start w:w="70" w:type="dxa"/>
              <w:bottom w:w="55" w:type="dxa"/>
              <w:end w:w="70" w:type="dxa"/>
            </w:tcMar>
            <w:shd w:fill="F8FAFC"/>
          </w:tcPr>
          <w:p>
            <w:r>
              <w:rPr>
                <w:rFonts w:ascii="Arial" w:hAnsi="Arial"/>
                <w:color w:val="1F2937"/>
                <w:sz w:val="16"/>
              </w:rPr>
              <w:t>Consent, confidentiality, privilege, records, and access</w:t>
            </w:r>
          </w:p>
        </w:tc>
        <w:tc>
          <w:tcPr>
            <w:tcW w:type="dxa" w:w="3427"/>
            <w:tcMar>
              <w:top w:w="55" w:type="dxa"/>
              <w:start w:w="70" w:type="dxa"/>
              <w:bottom w:w="55" w:type="dxa"/>
              <w:end w:w="70" w:type="dxa"/>
            </w:tcMar>
            <w:shd w:fill="F8FAFC"/>
          </w:tcPr>
          <w:p>
            <w:r>
              <w:rPr>
                <w:rFonts w:ascii="Arial" w:hAnsi="Arial"/>
                <w:color w:val="1F2937"/>
                <w:sz w:val="16"/>
              </w:rPr>
              <w:t>PRIVACY</w:t>
            </w:r>
          </w:p>
        </w:tc>
      </w:tr>
      <w:tr>
        <w:tc>
          <w:tcPr>
            <w:tcW w:type="dxa" w:w="3427"/>
            <w:tcMar>
              <w:top w:w="55" w:type="dxa"/>
              <w:start w:w="70" w:type="dxa"/>
              <w:bottom w:w="55" w:type="dxa"/>
              <w:end w:w="70" w:type="dxa"/>
            </w:tcMar>
          </w:tcPr>
          <w:p>
            <w:r>
              <w:rPr>
                <w:rFonts w:ascii="Arial" w:hAnsi="Arial"/>
                <w:color w:val="1F2937"/>
                <w:sz w:val="16"/>
              </w:rPr>
              <w:t>3</w:t>
            </w:r>
          </w:p>
        </w:tc>
        <w:tc>
          <w:tcPr>
            <w:tcW w:type="dxa" w:w="3427"/>
            <w:tcMar>
              <w:top w:w="55" w:type="dxa"/>
              <w:start w:w="70" w:type="dxa"/>
              <w:bottom w:w="55" w:type="dxa"/>
              <w:end w:w="70" w:type="dxa"/>
            </w:tcMar>
          </w:tcPr>
          <w:p>
            <w:r>
              <w:rPr>
                <w:rFonts w:ascii="Arial" w:hAnsi="Arial"/>
                <w:color w:val="1F2937"/>
                <w:sz w:val="16"/>
              </w:rPr>
              <w:t>Mandated duties, third parties, subpoenas, and court involvement</w:t>
            </w:r>
          </w:p>
        </w:tc>
        <w:tc>
          <w:tcPr>
            <w:tcW w:type="dxa" w:w="3427"/>
            <w:tcMar>
              <w:top w:w="55" w:type="dxa"/>
              <w:start w:w="70" w:type="dxa"/>
              <w:bottom w:w="55" w:type="dxa"/>
              <w:end w:w="70" w:type="dxa"/>
            </w:tcMar>
          </w:tcPr>
          <w:p>
            <w:r>
              <w:rPr>
                <w:rFonts w:ascii="Arial" w:hAnsi="Arial"/>
                <w:color w:val="1F2937"/>
                <w:sz w:val="16"/>
              </w:rPr>
              <w:t>TRIGGER</w:t>
            </w:r>
          </w:p>
        </w:tc>
      </w:tr>
      <w:tr>
        <w:tc>
          <w:tcPr>
            <w:tcW w:type="dxa" w:w="3427"/>
            <w:tcMar>
              <w:top w:w="55" w:type="dxa"/>
              <w:start w:w="70" w:type="dxa"/>
              <w:bottom w:w="55" w:type="dxa"/>
              <w:end w:w="70" w:type="dxa"/>
            </w:tcMar>
            <w:shd w:fill="F8FAFC"/>
          </w:tcPr>
          <w:p>
            <w:r>
              <w:rPr>
                <w:rFonts w:ascii="Arial" w:hAnsi="Arial"/>
                <w:color w:val="1F2937"/>
                <w:sz w:val="16"/>
              </w:rPr>
              <w:t>4</w:t>
            </w:r>
          </w:p>
        </w:tc>
        <w:tc>
          <w:tcPr>
            <w:tcW w:type="dxa" w:w="3427"/>
            <w:tcMar>
              <w:top w:w="55" w:type="dxa"/>
              <w:start w:w="70" w:type="dxa"/>
              <w:bottom w:w="55" w:type="dxa"/>
              <w:end w:w="70" w:type="dxa"/>
            </w:tcMar>
            <w:shd w:fill="F8FAFC"/>
          </w:tcPr>
          <w:p>
            <w:r>
              <w:rPr>
                <w:rFonts w:ascii="Arial" w:hAnsi="Arial"/>
                <w:color w:val="1F2937"/>
                <w:sz w:val="16"/>
              </w:rPr>
              <w:t>Telehealth, electronic communication, social media, AI, and EHRs</w:t>
            </w:r>
          </w:p>
        </w:tc>
        <w:tc>
          <w:tcPr>
            <w:tcW w:type="dxa" w:w="3427"/>
            <w:tcMar>
              <w:top w:w="55" w:type="dxa"/>
              <w:start w:w="70" w:type="dxa"/>
              <w:bottom w:w="55" w:type="dxa"/>
              <w:end w:w="70" w:type="dxa"/>
            </w:tcMar>
            <w:shd w:fill="F8FAFC"/>
          </w:tcPr>
          <w:p>
            <w:r>
              <w:rPr>
                <w:rFonts w:ascii="Arial" w:hAnsi="Arial"/>
                <w:color w:val="1F2937"/>
                <w:sz w:val="16"/>
              </w:rPr>
              <w:t>TECH</w:t>
            </w:r>
          </w:p>
        </w:tc>
      </w:tr>
      <w:tr>
        <w:tc>
          <w:tcPr>
            <w:tcW w:type="dxa" w:w="3427"/>
            <w:tcMar>
              <w:top w:w="55" w:type="dxa"/>
              <w:start w:w="70" w:type="dxa"/>
              <w:bottom w:w="55" w:type="dxa"/>
              <w:end w:w="70" w:type="dxa"/>
            </w:tcMar>
          </w:tcPr>
          <w:p>
            <w:r>
              <w:rPr>
                <w:rFonts w:ascii="Arial" w:hAnsi="Arial"/>
                <w:color w:val="1F2937"/>
                <w:sz w:val="16"/>
              </w:rPr>
              <w:t>5</w:t>
            </w:r>
          </w:p>
        </w:tc>
        <w:tc>
          <w:tcPr>
            <w:tcW w:type="dxa" w:w="3427"/>
            <w:tcMar>
              <w:top w:w="55" w:type="dxa"/>
              <w:start w:w="70" w:type="dxa"/>
              <w:bottom w:w="55" w:type="dxa"/>
              <w:end w:w="70" w:type="dxa"/>
            </w:tcMar>
          </w:tcPr>
          <w:p>
            <w:r>
              <w:rPr>
                <w:rFonts w:ascii="Arial" w:hAnsi="Arial"/>
                <w:color w:val="1F2937"/>
                <w:sz w:val="16"/>
              </w:rPr>
              <w:t>Billing, documentation integrity, emergency planning, continuity, and risk management</w:t>
            </w:r>
          </w:p>
        </w:tc>
        <w:tc>
          <w:tcPr>
            <w:tcW w:type="dxa" w:w="3427"/>
            <w:tcMar>
              <w:top w:w="55" w:type="dxa"/>
              <w:start w:w="70" w:type="dxa"/>
              <w:bottom w:w="55" w:type="dxa"/>
              <w:end w:w="70" w:type="dxa"/>
            </w:tcMar>
          </w:tcPr>
          <w:p>
            <w:r>
              <w:rPr>
                <w:rFonts w:ascii="Arial" w:hAnsi="Arial"/>
                <w:color w:val="1F2937"/>
                <w:sz w:val="16"/>
              </w:rPr>
              <w:t>DEFEND</w:t>
            </w:r>
          </w:p>
        </w:tc>
      </w:tr>
    </w:tbl>
    <w:p>
      <w:pPr>
        <w:spacing w:after="0"/>
      </w:pPr>
    </w:p>
    <w:p>
      <w:pPr>
        <w:pStyle w:val="Heading2"/>
        <w:keepNext/>
      </w:pPr>
      <w:r>
        <w:t>Authority and Decision Sequence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7365D"/>
            <w:vAlign w:val="center"/>
            <w:tcMar>
              <w:top w:w="70" w:type="dxa"/>
              <w:start w:w="75" w:type="dxa"/>
              <w:bottom w:w="70" w:type="dxa"/>
              <w:end w:w="75" w:type="dxa"/>
            </w:tcMar>
          </w:tcPr>
          <w:p>
            <w:pPr>
              <w:jc w:val="center"/>
            </w:pPr>
            <w:r>
              <w:rPr>
                <w:rFonts w:ascii="Arial" w:hAnsi="Arial"/>
                <w:b/>
                <w:color w:val="FFFFFF"/>
                <w:sz w:val="15"/>
              </w:rPr>
              <w:t>Question</w:t>
            </w:r>
          </w:p>
        </w:tc>
        <w:tc>
          <w:tcPr>
            <w:tcW w:type="dxa" w:w="5141"/>
            <w:shd w:fill="17365D"/>
            <w:vAlign w:val="center"/>
            <w:tcMar>
              <w:top w:w="70" w:type="dxa"/>
              <w:start w:w="75" w:type="dxa"/>
              <w:bottom w:w="70" w:type="dxa"/>
              <w:end w:w="75" w:type="dxa"/>
            </w:tcMar>
          </w:tcPr>
          <w:p>
            <w:pPr>
              <w:jc w:val="center"/>
            </w:pPr>
            <w:r>
              <w:rPr>
                <w:rFonts w:ascii="Arial" w:hAnsi="Arial"/>
                <w:b/>
                <w:color w:val="FFFFFF"/>
                <w:sz w:val="15"/>
              </w:rPr>
              <w:t>Ask Before Acting</w:t>
            </w:r>
          </w:p>
        </w:tc>
      </w:tr>
      <w:tr>
        <w:tc>
          <w:tcPr>
            <w:tcW w:type="dxa" w:w="5141"/>
            <w:tcMar>
              <w:top w:w="55" w:type="dxa"/>
              <w:start w:w="70" w:type="dxa"/>
              <w:bottom w:w="55" w:type="dxa"/>
              <w:end w:w="70" w:type="dxa"/>
            </w:tcMar>
          </w:tcPr>
          <w:p>
            <w:r>
              <w:rPr>
                <w:rFonts w:ascii="Arial" w:hAnsi="Arial"/>
                <w:color w:val="1F2937"/>
                <w:sz w:val="15"/>
              </w:rPr>
              <w:t>What is the task?</w:t>
            </w:r>
          </w:p>
        </w:tc>
        <w:tc>
          <w:tcPr>
            <w:tcW w:type="dxa" w:w="5141"/>
            <w:tcMar>
              <w:top w:w="55" w:type="dxa"/>
              <w:start w:w="70" w:type="dxa"/>
              <w:bottom w:w="55" w:type="dxa"/>
              <w:end w:w="70" w:type="dxa"/>
            </w:tcMar>
          </w:tcPr>
          <w:p>
            <w:r>
              <w:rPr>
                <w:rFonts w:ascii="Arial" w:hAnsi="Arial"/>
                <w:color w:val="1F2937"/>
                <w:sz w:val="15"/>
              </w:rPr>
              <w:t>Is the stem asking about law, ethics, confidentiality, records, technology, billing, documentation, or risk management?</w:t>
            </w:r>
          </w:p>
        </w:tc>
      </w:tr>
      <w:tr>
        <w:tc>
          <w:tcPr>
            <w:tcW w:type="dxa" w:w="5141"/>
            <w:tcMar>
              <w:top w:w="55" w:type="dxa"/>
              <w:start w:w="70" w:type="dxa"/>
              <w:bottom w:w="55" w:type="dxa"/>
              <w:end w:w="70" w:type="dxa"/>
            </w:tcMar>
            <w:shd w:fill="F8FAFC"/>
          </w:tcPr>
          <w:p>
            <w:r>
              <w:rPr>
                <w:rFonts w:ascii="Arial" w:hAnsi="Arial"/>
                <w:color w:val="1F2937"/>
                <w:sz w:val="15"/>
              </w:rPr>
              <w:t>What controls?</w:t>
            </w:r>
          </w:p>
        </w:tc>
        <w:tc>
          <w:tcPr>
            <w:tcW w:type="dxa" w:w="5141"/>
            <w:tcMar>
              <w:top w:w="55" w:type="dxa"/>
              <w:start w:w="70" w:type="dxa"/>
              <w:bottom w:w="55" w:type="dxa"/>
              <w:end w:w="70" w:type="dxa"/>
            </w:tcMar>
            <w:shd w:fill="F8FAFC"/>
          </w:tcPr>
          <w:p>
            <w:r>
              <w:rPr>
                <w:rFonts w:ascii="Arial" w:hAnsi="Arial"/>
                <w:color w:val="1F2937"/>
                <w:sz w:val="15"/>
              </w:rPr>
              <w:t>Which statute, regulation, board rule, court order, ethics standard, policy, or clinical standard applies?</w:t>
            </w:r>
          </w:p>
        </w:tc>
      </w:tr>
      <w:tr>
        <w:tc>
          <w:tcPr>
            <w:tcW w:type="dxa" w:w="5141"/>
            <w:tcMar>
              <w:top w:w="55" w:type="dxa"/>
              <w:start w:w="70" w:type="dxa"/>
              <w:bottom w:w="55" w:type="dxa"/>
              <w:end w:w="70" w:type="dxa"/>
            </w:tcMar>
          </w:tcPr>
          <w:p>
            <w:r>
              <w:rPr>
                <w:rFonts w:ascii="Arial" w:hAnsi="Arial"/>
                <w:color w:val="1F2937"/>
                <w:sz w:val="15"/>
              </w:rPr>
              <w:t>Who has authority?</w:t>
            </w:r>
          </w:p>
        </w:tc>
        <w:tc>
          <w:tcPr>
            <w:tcW w:type="dxa" w:w="5141"/>
            <w:tcMar>
              <w:top w:w="55" w:type="dxa"/>
              <w:start w:w="70" w:type="dxa"/>
              <w:bottom w:w="55" w:type="dxa"/>
              <w:end w:w="70" w:type="dxa"/>
            </w:tcMar>
          </w:tcPr>
          <w:p>
            <w:r>
              <w:rPr>
                <w:rFonts w:ascii="Arial" w:hAnsi="Arial"/>
                <w:color w:val="1F2937"/>
                <w:sz w:val="15"/>
              </w:rPr>
              <w:t>Who is the client, privilege holder, legal representative, authorizing party, mandated recipient, or decision-maker?</w:t>
            </w:r>
          </w:p>
        </w:tc>
      </w:tr>
      <w:tr>
        <w:tc>
          <w:tcPr>
            <w:tcW w:type="dxa" w:w="5141"/>
            <w:tcMar>
              <w:top w:w="55" w:type="dxa"/>
              <w:start w:w="70" w:type="dxa"/>
              <w:bottom w:w="55" w:type="dxa"/>
              <w:end w:w="70" w:type="dxa"/>
            </w:tcMar>
            <w:shd w:fill="F8FAFC"/>
          </w:tcPr>
          <w:p>
            <w:r>
              <w:rPr>
                <w:rFonts w:ascii="Arial" w:hAnsi="Arial"/>
                <w:color w:val="1F2937"/>
                <w:sz w:val="15"/>
              </w:rPr>
              <w:t>What is necessary now?</w:t>
            </w:r>
          </w:p>
        </w:tc>
        <w:tc>
          <w:tcPr>
            <w:tcW w:type="dxa" w:w="5141"/>
            <w:tcMar>
              <w:top w:w="55" w:type="dxa"/>
              <w:start w:w="70" w:type="dxa"/>
              <w:bottom w:w="55" w:type="dxa"/>
              <w:end w:w="70" w:type="dxa"/>
            </w:tcMar>
            <w:shd w:fill="F8FAFC"/>
          </w:tcPr>
          <w:p>
            <w:r>
              <w:rPr>
                <w:rFonts w:ascii="Arial" w:hAnsi="Arial"/>
                <w:color w:val="1F2937"/>
                <w:sz w:val="15"/>
              </w:rPr>
              <w:t>What action is required, permitted, prohibited, or premature at this stage?</w:t>
            </w:r>
          </w:p>
        </w:tc>
      </w:tr>
      <w:tr>
        <w:tc>
          <w:tcPr>
            <w:tcW w:type="dxa" w:w="5141"/>
            <w:tcMar>
              <w:top w:w="55" w:type="dxa"/>
              <w:start w:w="70" w:type="dxa"/>
              <w:bottom w:w="55" w:type="dxa"/>
              <w:end w:w="70" w:type="dxa"/>
            </w:tcMar>
          </w:tcPr>
          <w:p>
            <w:r>
              <w:rPr>
                <w:rFonts w:ascii="Arial" w:hAnsi="Arial"/>
                <w:color w:val="1F2937"/>
                <w:sz w:val="15"/>
              </w:rPr>
              <w:t>What must be documented?</w:t>
            </w:r>
          </w:p>
        </w:tc>
        <w:tc>
          <w:tcPr>
            <w:tcW w:type="dxa" w:w="5141"/>
            <w:tcMar>
              <w:top w:w="55" w:type="dxa"/>
              <w:start w:w="70" w:type="dxa"/>
              <w:bottom w:w="55" w:type="dxa"/>
              <w:end w:w="70" w:type="dxa"/>
            </w:tcMar>
          </w:tcPr>
          <w:p>
            <w:r>
              <w:rPr>
                <w:rFonts w:ascii="Arial" w:hAnsi="Arial"/>
                <w:color w:val="1F2937"/>
                <w:sz w:val="15"/>
              </w:rPr>
              <w:t>Record facts, assessment, authority, consultation, action, communication, and follow-up without defensiveness or alteration.</w:t>
            </w:r>
          </w:p>
        </w:tc>
      </w:tr>
    </w:tbl>
    <w:p>
      <w:pPr>
        <w:spacing w:after="0"/>
      </w:pPr>
    </w:p>
    <w:tbl>
      <w:tblPr>
        <w:tblW w:type="auto" w:w="0"/>
        <w:jc w:val="center"/>
        <w:tblLook w:firstColumn="1" w:firstRow="1" w:lastColumn="0" w:lastRow="0" w:noHBand="0" w:noVBand="1" w:val="04A0"/>
      </w:tblPr>
      <w:tblGrid>
        <w:gridCol w:w="10282"/>
      </w:tblGrid>
      <w:tr>
        <w:tc>
          <w:tcPr>
            <w:tcW w:type="dxa" w:w="10282"/>
            <w:shd w:fill="EAF0F7"/>
            <w:tcBorders>
              <w:top w:val="single" w:sz="8" w:color="159C9C"/>
              <w:left w:val="single" w:sz="8" w:color="159C9C"/>
              <w:bottom w:val="single" w:sz="8" w:color="159C9C"/>
              <w:right w:val="single" w:sz="8" w:color="159C9C"/>
            </w:tcBorders>
            <w:tcMar>
              <w:top w:w="90" w:type="dxa"/>
              <w:start w:w="120" w:type="dxa"/>
              <w:bottom w:w="90" w:type="dxa"/>
              <w:end w:w="120" w:type="dxa"/>
            </w:tcMar>
          </w:tcPr>
          <w:p>
            <w:pPr>
              <w:spacing w:after="40"/>
            </w:pPr>
            <w:r>
              <w:rPr>
                <w:rFonts w:ascii="Arial" w:hAnsi="Arial"/>
                <w:b/>
                <w:color w:val="17365D"/>
                <w:sz w:val="19"/>
              </w:rPr>
              <w:t>EXAM RULE</w:t>
            </w:r>
          </w:p>
          <w:p>
            <w:pPr>
              <w:spacing w:after="0"/>
            </w:pPr>
            <w:r>
              <w:rPr>
                <w:rFonts w:ascii="Arial" w:hAnsi="Arial"/>
                <w:color w:val="1F2937"/>
                <w:sz w:val="18"/>
              </w:rPr>
              <w:t>Do not treat legal and ethical questions as vocabulary tests. Translate the facts into a professional decision: what must the counselor do first, what may the counselor disclose, what must remain protected, and what must happen next?</w:t>
            </w:r>
          </w:p>
        </w:tc>
      </w:tr>
    </w:tbl>
    <w:p>
      <w:pPr>
        <w:spacing w:after="0"/>
      </w:pPr>
    </w:p>
    <w:p>
      <w:r>
        <w:br w:type="page"/>
      </w:r>
    </w:p>
    <w:tbl>
      <w:tblPr>
        <w:tblW w:type="auto" w:w="0"/>
        <w:jc w:val="center"/>
        <w:tblLook w:firstColumn="1" w:firstRow="1" w:lastColumn="0" w:lastRow="0" w:noHBand="0" w:noVBand="1" w:val="04A0"/>
      </w:tblPr>
      <w:tblGrid>
        <w:gridCol w:w="10282"/>
      </w:tblGrid>
      <w:tr>
        <w:tc>
          <w:tcPr>
            <w:tcW w:type="dxa" w:w="10282"/>
            <w:shd w:fill="17365D"/>
            <w:tcBorders>
              <w:top w:val="single" w:sz="4" w:color="17365D"/>
              <w:left w:val="single" w:sz="4" w:color="17365D"/>
              <w:bottom w:val="single" w:sz="4" w:color="17365D"/>
              <w:right w:val="single" w:sz="4" w:color="17365D"/>
            </w:tcBorders>
            <w:tcMar>
              <w:top w:w="120" w:type="dxa"/>
              <w:start w:w="140" w:type="dxa"/>
              <w:bottom w:w="120" w:type="dxa"/>
              <w:end w:w="140" w:type="dxa"/>
            </w:tcMar>
          </w:tcPr>
          <w:p>
            <w:pPr>
              <w:jc w:val="center"/>
            </w:pPr>
            <w:r>
              <w:rPr>
                <w:rFonts w:ascii="Arial" w:hAnsi="Arial"/>
                <w:b/>
                <w:color w:val="159C9C"/>
                <w:sz w:val="20"/>
              </w:rPr>
              <w:t>CHAPTER 1</w:t>
            </w:r>
          </w:p>
          <w:p>
            <w:pPr>
              <w:jc w:val="center"/>
            </w:pPr>
            <w:r>
              <w:rPr>
                <w:rFonts w:ascii="Arial" w:hAnsi="Arial"/>
                <w:b/>
                <w:color w:val="FFFFFF"/>
                <w:sz w:val="34"/>
              </w:rPr>
              <w:t>Authority Hierarchy, Ethics, Scope, and Competence</w:t>
            </w:r>
          </w:p>
        </w:tc>
      </w:tr>
      <w:tr>
        <w:tc>
          <w:tcPr>
            <w:tcW w:type="dxa" w:w="10282"/>
            <w:shd w:fill="E8F4F4"/>
            <w:tcBorders>
              <w:top w:val="single" w:sz="4" w:color="17365D"/>
              <w:left w:val="single" w:sz="4" w:color="17365D"/>
              <w:bottom w:val="single" w:sz="4" w:color="17365D"/>
              <w:right w:val="single" w:sz="4" w:color="17365D"/>
            </w:tcBorders>
            <w:tcMar>
              <w:top w:w="120" w:type="dxa"/>
              <w:start w:w="140" w:type="dxa"/>
              <w:bottom w:w="120" w:type="dxa"/>
              <w:end w:w="140" w:type="dxa"/>
            </w:tcMar>
          </w:tcPr>
          <w:p>
            <w:r>
              <w:rPr>
                <w:rFonts w:ascii="Arial" w:hAnsi="Arial"/>
                <w:b/>
                <w:color w:val="17365D"/>
                <w:sz w:val="18"/>
              </w:rPr>
              <w:t xml:space="preserve">BIG IDEA  </w:t>
            </w:r>
            <w:r>
              <w:rPr>
                <w:rFonts w:ascii="Arial" w:hAnsi="Arial"/>
                <w:color w:val="1F2937"/>
                <w:sz w:val="18"/>
              </w:rPr>
              <w:t>Start with the exact issue and the controlling authority; then apply ethics, scope, competence, consultation, and client-welfare reasoning.</w:t>
            </w:r>
          </w:p>
        </w:tc>
      </w:tr>
    </w:tbl>
    <w:p>
      <w:pPr>
        <w:spacing w:after="0"/>
      </w:pPr>
    </w:p>
    <w:p>
      <w:pPr>
        <w:spacing w:after="100"/>
      </w:pPr>
      <w:r>
        <w:rPr>
          <w:rFonts w:ascii="Arial" w:hAnsi="Arial"/>
          <w:b w:val="0"/>
          <w:i w:val="0"/>
          <w:color w:val="1F2937"/>
          <w:sz w:val="19"/>
        </w:rPr>
        <w:t>Legal and ethical problems become confusing when candidates mix different sources of authority. A statute may require an action. An ethics code may guide professional judgment. An agency policy may organize workflow. A supervisor or attorney may clarify application. The counselor must identify which source controls the specific decision and avoid assuming that one source answers every question.</w:t>
      </w:r>
    </w:p>
    <w:p>
      <w:pPr>
        <w:pStyle w:val="Heading2"/>
        <w:keepNext/>
      </w:pPr>
      <w:r>
        <w:t>The LAYER Authority Tool</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7365D"/>
            <w:vAlign w:val="center"/>
            <w:tcMar>
              <w:top w:w="70" w:type="dxa"/>
              <w:start w:w="75" w:type="dxa"/>
              <w:bottom w:w="70" w:type="dxa"/>
              <w:end w:w="75" w:type="dxa"/>
            </w:tcMar>
          </w:tcPr>
          <w:p>
            <w:pPr>
              <w:jc w:val="center"/>
            </w:pPr>
            <w:r>
              <w:rPr>
                <w:rFonts w:ascii="Arial" w:hAnsi="Arial"/>
                <w:b/>
                <w:color w:val="FFFFFF"/>
                <w:sz w:val="16"/>
              </w:rPr>
              <w:t>Step</w:t>
            </w:r>
          </w:p>
        </w:tc>
        <w:tc>
          <w:tcPr>
            <w:tcW w:type="dxa" w:w="5141"/>
            <w:shd w:fill="17365D"/>
            <w:vAlign w:val="center"/>
            <w:tcMar>
              <w:top w:w="70" w:type="dxa"/>
              <w:start w:w="75" w:type="dxa"/>
              <w:bottom w:w="70" w:type="dxa"/>
              <w:end w:w="75" w:type="dxa"/>
            </w:tcMar>
          </w:tcPr>
          <w:p>
            <w:pPr>
              <w:jc w:val="center"/>
            </w:pPr>
            <w:r>
              <w:rPr>
                <w:rFonts w:ascii="Arial" w:hAnsi="Arial"/>
                <w:b/>
                <w:color w:val="FFFFFF"/>
                <w:sz w:val="16"/>
              </w:rPr>
              <w:t>Question to Ask</w:t>
            </w:r>
          </w:p>
        </w:tc>
      </w:tr>
      <w:tr>
        <w:tc>
          <w:tcPr>
            <w:tcW w:type="dxa" w:w="5141"/>
            <w:tcMar>
              <w:top w:w="55" w:type="dxa"/>
              <w:start w:w="70" w:type="dxa"/>
              <w:bottom w:w="55" w:type="dxa"/>
              <w:end w:w="70" w:type="dxa"/>
            </w:tcMar>
          </w:tcPr>
          <w:p>
            <w:r>
              <w:rPr>
                <w:rFonts w:ascii="Arial" w:hAnsi="Arial"/>
                <w:color w:val="1F2937"/>
                <w:sz w:val="16"/>
              </w:rPr>
              <w:t>L - Locate the exact issue</w:t>
            </w:r>
          </w:p>
        </w:tc>
        <w:tc>
          <w:tcPr>
            <w:tcW w:type="dxa" w:w="5141"/>
            <w:tcMar>
              <w:top w:w="55" w:type="dxa"/>
              <w:start w:w="70" w:type="dxa"/>
              <w:bottom w:w="55" w:type="dxa"/>
              <w:end w:w="70" w:type="dxa"/>
            </w:tcMar>
          </w:tcPr>
          <w:p>
            <w:r>
              <w:rPr>
                <w:rFonts w:ascii="Arial" w:hAnsi="Arial"/>
                <w:color w:val="1F2937"/>
                <w:sz w:val="16"/>
              </w:rPr>
              <w:t>What right, duty, risk, or professional standard is actually being tested?</w:t>
            </w:r>
          </w:p>
        </w:tc>
      </w:tr>
      <w:tr>
        <w:tc>
          <w:tcPr>
            <w:tcW w:type="dxa" w:w="5141"/>
            <w:tcMar>
              <w:top w:w="55" w:type="dxa"/>
              <w:start w:w="70" w:type="dxa"/>
              <w:bottom w:w="55" w:type="dxa"/>
              <w:end w:w="70" w:type="dxa"/>
            </w:tcMar>
            <w:shd w:fill="F8FAFC"/>
          </w:tcPr>
          <w:p>
            <w:r>
              <w:rPr>
                <w:rFonts w:ascii="Arial" w:hAnsi="Arial"/>
                <w:color w:val="1F2937"/>
                <w:sz w:val="16"/>
              </w:rPr>
              <w:t>A - Ascertain authority</w:t>
            </w:r>
          </w:p>
        </w:tc>
        <w:tc>
          <w:tcPr>
            <w:tcW w:type="dxa" w:w="5141"/>
            <w:tcMar>
              <w:top w:w="55" w:type="dxa"/>
              <w:start w:w="70" w:type="dxa"/>
              <w:bottom w:w="55" w:type="dxa"/>
              <w:end w:w="70" w:type="dxa"/>
            </w:tcMar>
            <w:shd w:fill="F8FAFC"/>
          </w:tcPr>
          <w:p>
            <w:r>
              <w:rPr>
                <w:rFonts w:ascii="Arial" w:hAnsi="Arial"/>
                <w:color w:val="1F2937"/>
                <w:sz w:val="16"/>
              </w:rPr>
              <w:t>What current law, regulation, board rule, ethics standard, court directive, or policy applies?</w:t>
            </w:r>
          </w:p>
        </w:tc>
      </w:tr>
      <w:tr>
        <w:tc>
          <w:tcPr>
            <w:tcW w:type="dxa" w:w="5141"/>
            <w:tcMar>
              <w:top w:w="55" w:type="dxa"/>
              <w:start w:w="70" w:type="dxa"/>
              <w:bottom w:w="55" w:type="dxa"/>
              <w:end w:w="70" w:type="dxa"/>
            </w:tcMar>
          </w:tcPr>
          <w:p>
            <w:r>
              <w:rPr>
                <w:rFonts w:ascii="Arial" w:hAnsi="Arial"/>
                <w:color w:val="1F2937"/>
                <w:sz w:val="16"/>
              </w:rPr>
              <w:t>Y - Your role and limits</w:t>
            </w:r>
          </w:p>
        </w:tc>
        <w:tc>
          <w:tcPr>
            <w:tcW w:type="dxa" w:w="5141"/>
            <w:tcMar>
              <w:top w:w="55" w:type="dxa"/>
              <w:start w:w="70" w:type="dxa"/>
              <w:bottom w:w="55" w:type="dxa"/>
              <w:end w:w="70" w:type="dxa"/>
            </w:tcMar>
          </w:tcPr>
          <w:p>
            <w:r>
              <w:rPr>
                <w:rFonts w:ascii="Arial" w:hAnsi="Arial"/>
                <w:color w:val="1F2937"/>
                <w:sz w:val="16"/>
              </w:rPr>
              <w:t>What is the counselor authorized and competent to do? Is supervision, consultation, or referral needed?</w:t>
            </w:r>
          </w:p>
        </w:tc>
      </w:tr>
      <w:tr>
        <w:tc>
          <w:tcPr>
            <w:tcW w:type="dxa" w:w="5141"/>
            <w:tcMar>
              <w:top w:w="55" w:type="dxa"/>
              <w:start w:w="70" w:type="dxa"/>
              <w:bottom w:w="55" w:type="dxa"/>
              <w:end w:w="70" w:type="dxa"/>
            </w:tcMar>
            <w:shd w:fill="F8FAFC"/>
          </w:tcPr>
          <w:p>
            <w:r>
              <w:rPr>
                <w:rFonts w:ascii="Arial" w:hAnsi="Arial"/>
                <w:color w:val="1F2937"/>
                <w:sz w:val="16"/>
              </w:rPr>
              <w:t>E - Ethical and clinical effects</w:t>
            </w:r>
          </w:p>
        </w:tc>
        <w:tc>
          <w:tcPr>
            <w:tcW w:type="dxa" w:w="5141"/>
            <w:tcMar>
              <w:top w:w="55" w:type="dxa"/>
              <w:start w:w="70" w:type="dxa"/>
              <w:bottom w:w="55" w:type="dxa"/>
              <w:end w:w="70" w:type="dxa"/>
            </w:tcMar>
            <w:shd w:fill="F8FAFC"/>
          </w:tcPr>
          <w:p>
            <w:r>
              <w:rPr>
                <w:rFonts w:ascii="Arial" w:hAnsi="Arial"/>
                <w:color w:val="1F2937"/>
                <w:sz w:val="16"/>
              </w:rPr>
              <w:t>How do autonomy, beneficence, nonmaleficence, justice, fidelity, and cultural context affect the response?</w:t>
            </w:r>
          </w:p>
        </w:tc>
      </w:tr>
      <w:tr>
        <w:tc>
          <w:tcPr>
            <w:tcW w:type="dxa" w:w="5141"/>
            <w:tcMar>
              <w:top w:w="55" w:type="dxa"/>
              <w:start w:w="70" w:type="dxa"/>
              <w:bottom w:w="55" w:type="dxa"/>
              <w:end w:w="70" w:type="dxa"/>
            </w:tcMar>
          </w:tcPr>
          <w:p>
            <w:r>
              <w:rPr>
                <w:rFonts w:ascii="Arial" w:hAnsi="Arial"/>
                <w:color w:val="1F2937"/>
                <w:sz w:val="16"/>
              </w:rPr>
              <w:t>R - Respond and record</w:t>
            </w:r>
          </w:p>
        </w:tc>
        <w:tc>
          <w:tcPr>
            <w:tcW w:type="dxa" w:w="5141"/>
            <w:tcMar>
              <w:top w:w="55" w:type="dxa"/>
              <w:start w:w="70" w:type="dxa"/>
              <w:bottom w:w="55" w:type="dxa"/>
              <w:end w:w="70" w:type="dxa"/>
            </w:tcMar>
          </w:tcPr>
          <w:p>
            <w:r>
              <w:rPr>
                <w:rFonts w:ascii="Arial" w:hAnsi="Arial"/>
                <w:color w:val="1F2937"/>
                <w:sz w:val="16"/>
              </w:rPr>
              <w:t>Take the least premature compliant action, communicate clearly, document, and arrange follow-up.</w:t>
            </w:r>
          </w:p>
        </w:tc>
      </w:tr>
    </w:tbl>
    <w:p>
      <w:pPr>
        <w:spacing w:after="0"/>
      </w:pPr>
    </w:p>
    <w:p>
      <w:pPr>
        <w:pStyle w:val="Heading2"/>
        <w:keepNext/>
      </w:pPr>
      <w:r>
        <w:t>Practical Authority Hierarchy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7365D"/>
            <w:vAlign w:val="center"/>
            <w:tcMar>
              <w:top w:w="70" w:type="dxa"/>
              <w:start w:w="75" w:type="dxa"/>
              <w:bottom w:w="70" w:type="dxa"/>
              <w:end w:w="75" w:type="dxa"/>
            </w:tcMar>
          </w:tcPr>
          <w:p>
            <w:pPr>
              <w:jc w:val="center"/>
            </w:pPr>
            <w:r>
              <w:rPr>
                <w:rFonts w:ascii="Arial" w:hAnsi="Arial"/>
                <w:b/>
                <w:color w:val="FFFFFF"/>
                <w:sz w:val="15"/>
              </w:rPr>
              <w:t>Level</w:t>
            </w:r>
          </w:p>
        </w:tc>
        <w:tc>
          <w:tcPr>
            <w:tcW w:type="dxa" w:w="5141"/>
            <w:shd w:fill="17365D"/>
            <w:vAlign w:val="center"/>
            <w:tcMar>
              <w:top w:w="70" w:type="dxa"/>
              <w:start w:w="75" w:type="dxa"/>
              <w:bottom w:w="70" w:type="dxa"/>
              <w:end w:w="75" w:type="dxa"/>
            </w:tcMar>
          </w:tcPr>
          <w:p>
            <w:pPr>
              <w:jc w:val="center"/>
            </w:pPr>
            <w:r>
              <w:rPr>
                <w:rFonts w:ascii="Arial" w:hAnsi="Arial"/>
                <w:b/>
                <w:color w:val="FFFFFF"/>
                <w:sz w:val="15"/>
              </w:rPr>
              <w:t>Use</w:t>
            </w:r>
          </w:p>
        </w:tc>
      </w:tr>
      <w:tr>
        <w:tc>
          <w:tcPr>
            <w:tcW w:type="dxa" w:w="5141"/>
            <w:tcMar>
              <w:top w:w="55" w:type="dxa"/>
              <w:start w:w="70" w:type="dxa"/>
              <w:bottom w:w="55" w:type="dxa"/>
              <w:end w:w="70" w:type="dxa"/>
            </w:tcMar>
          </w:tcPr>
          <w:p>
            <w:r>
              <w:rPr>
                <w:rFonts w:ascii="Arial" w:hAnsi="Arial"/>
                <w:color w:val="1F2937"/>
                <w:sz w:val="15"/>
              </w:rPr>
              <w:t>1. Applicable law and regulation</w:t>
            </w:r>
          </w:p>
        </w:tc>
        <w:tc>
          <w:tcPr>
            <w:tcW w:type="dxa" w:w="5141"/>
            <w:tcMar>
              <w:top w:w="55" w:type="dxa"/>
              <w:start w:w="70" w:type="dxa"/>
              <w:bottom w:w="55" w:type="dxa"/>
              <w:end w:w="70" w:type="dxa"/>
            </w:tcMar>
          </w:tcPr>
          <w:p>
            <w:r>
              <w:rPr>
                <w:rFonts w:ascii="Arial" w:hAnsi="Arial"/>
                <w:color w:val="1F2937"/>
                <w:sz w:val="15"/>
              </w:rPr>
              <w:t>Defines mandatory, permitted, and prohibited conduct.</w:t>
            </w:r>
          </w:p>
        </w:tc>
      </w:tr>
      <w:tr>
        <w:tc>
          <w:tcPr>
            <w:tcW w:type="dxa" w:w="5141"/>
            <w:tcMar>
              <w:top w:w="55" w:type="dxa"/>
              <w:start w:w="70" w:type="dxa"/>
              <w:bottom w:w="55" w:type="dxa"/>
              <w:end w:w="70" w:type="dxa"/>
            </w:tcMar>
            <w:shd w:fill="F8FAFC"/>
          </w:tcPr>
          <w:p>
            <w:r>
              <w:rPr>
                <w:rFonts w:ascii="Arial" w:hAnsi="Arial"/>
                <w:color w:val="1F2937"/>
                <w:sz w:val="15"/>
              </w:rPr>
              <w:t>2. Licensing-board requirements</w:t>
            </w:r>
          </w:p>
        </w:tc>
        <w:tc>
          <w:tcPr>
            <w:tcW w:type="dxa" w:w="5141"/>
            <w:tcMar>
              <w:top w:w="55" w:type="dxa"/>
              <w:start w:w="70" w:type="dxa"/>
              <w:bottom w:w="55" w:type="dxa"/>
              <w:end w:w="70" w:type="dxa"/>
            </w:tcMar>
            <w:shd w:fill="F8FAFC"/>
          </w:tcPr>
          <w:p>
            <w:r>
              <w:rPr>
                <w:rFonts w:ascii="Arial" w:hAnsi="Arial"/>
                <w:color w:val="1F2937"/>
                <w:sz w:val="15"/>
              </w:rPr>
              <w:t>Applies profession-specific scope, notice, record, telehealth, advertising, supervision, and disciplinary standards.</w:t>
            </w:r>
          </w:p>
        </w:tc>
      </w:tr>
      <w:tr>
        <w:tc>
          <w:tcPr>
            <w:tcW w:type="dxa" w:w="5141"/>
            <w:tcMar>
              <w:top w:w="55" w:type="dxa"/>
              <w:start w:w="70" w:type="dxa"/>
              <w:bottom w:w="55" w:type="dxa"/>
              <w:end w:w="70" w:type="dxa"/>
            </w:tcMar>
          </w:tcPr>
          <w:p>
            <w:r>
              <w:rPr>
                <w:rFonts w:ascii="Arial" w:hAnsi="Arial"/>
                <w:color w:val="1F2937"/>
                <w:sz w:val="15"/>
              </w:rPr>
              <w:t>3. Court order or legal process</w:t>
            </w:r>
          </w:p>
        </w:tc>
        <w:tc>
          <w:tcPr>
            <w:tcW w:type="dxa" w:w="5141"/>
            <w:tcMar>
              <w:top w:w="55" w:type="dxa"/>
              <w:start w:w="70" w:type="dxa"/>
              <w:bottom w:w="55" w:type="dxa"/>
              <w:end w:w="70" w:type="dxa"/>
            </w:tcMar>
          </w:tcPr>
          <w:p>
            <w:r>
              <w:rPr>
                <w:rFonts w:ascii="Arial" w:hAnsi="Arial"/>
                <w:color w:val="1F2937"/>
                <w:sz w:val="15"/>
              </w:rPr>
              <w:t>May create specific obligations; distinguish an order from a request or subpoena.</w:t>
            </w:r>
          </w:p>
        </w:tc>
      </w:tr>
      <w:tr>
        <w:tc>
          <w:tcPr>
            <w:tcW w:type="dxa" w:w="5141"/>
            <w:tcMar>
              <w:top w:w="55" w:type="dxa"/>
              <w:start w:w="70" w:type="dxa"/>
              <w:bottom w:w="55" w:type="dxa"/>
              <w:end w:w="70" w:type="dxa"/>
            </w:tcMar>
            <w:shd w:fill="F8FAFC"/>
          </w:tcPr>
          <w:p>
            <w:r>
              <w:rPr>
                <w:rFonts w:ascii="Arial" w:hAnsi="Arial"/>
                <w:color w:val="1F2937"/>
                <w:sz w:val="15"/>
              </w:rPr>
              <w:t>4. Ethical standards</w:t>
            </w:r>
          </w:p>
        </w:tc>
        <w:tc>
          <w:tcPr>
            <w:tcW w:type="dxa" w:w="5141"/>
            <w:tcMar>
              <w:top w:w="55" w:type="dxa"/>
              <w:start w:w="70" w:type="dxa"/>
              <w:bottom w:w="55" w:type="dxa"/>
              <w:end w:w="70" w:type="dxa"/>
            </w:tcMar>
            <w:shd w:fill="F8FAFC"/>
          </w:tcPr>
          <w:p>
            <w:r>
              <w:rPr>
                <w:rFonts w:ascii="Arial" w:hAnsi="Arial"/>
                <w:color w:val="1F2937"/>
                <w:sz w:val="15"/>
              </w:rPr>
              <w:t>Guide professional conduct, conflict resolution, competence, boundaries, technology, and client welfare.</w:t>
            </w:r>
          </w:p>
        </w:tc>
      </w:tr>
      <w:tr>
        <w:tc>
          <w:tcPr>
            <w:tcW w:type="dxa" w:w="5141"/>
            <w:tcMar>
              <w:top w:w="55" w:type="dxa"/>
              <w:start w:w="70" w:type="dxa"/>
              <w:bottom w:w="55" w:type="dxa"/>
              <w:end w:w="70" w:type="dxa"/>
            </w:tcMar>
          </w:tcPr>
          <w:p>
            <w:r>
              <w:rPr>
                <w:rFonts w:ascii="Arial" w:hAnsi="Arial"/>
                <w:color w:val="1F2937"/>
                <w:sz w:val="15"/>
              </w:rPr>
              <w:t>5. Agency and payer policy</w:t>
            </w:r>
          </w:p>
        </w:tc>
        <w:tc>
          <w:tcPr>
            <w:tcW w:type="dxa" w:w="5141"/>
            <w:tcMar>
              <w:top w:w="55" w:type="dxa"/>
              <w:start w:w="70" w:type="dxa"/>
              <w:bottom w:w="55" w:type="dxa"/>
              <w:end w:w="70" w:type="dxa"/>
            </w:tcMar>
          </w:tcPr>
          <w:p>
            <w:r>
              <w:rPr>
                <w:rFonts w:ascii="Arial" w:hAnsi="Arial"/>
                <w:color w:val="1F2937"/>
                <w:sz w:val="15"/>
              </w:rPr>
              <w:t>Controls workflow only when consistent with higher authority and clinical obligations.</w:t>
            </w:r>
          </w:p>
        </w:tc>
      </w:tr>
      <w:tr>
        <w:tc>
          <w:tcPr>
            <w:tcW w:type="dxa" w:w="5141"/>
            <w:tcMar>
              <w:top w:w="55" w:type="dxa"/>
              <w:start w:w="70" w:type="dxa"/>
              <w:bottom w:w="55" w:type="dxa"/>
              <w:end w:w="70" w:type="dxa"/>
            </w:tcMar>
            <w:shd w:fill="F8FAFC"/>
          </w:tcPr>
          <w:p>
            <w:r>
              <w:rPr>
                <w:rFonts w:ascii="Arial" w:hAnsi="Arial"/>
                <w:color w:val="1F2937"/>
                <w:sz w:val="15"/>
              </w:rPr>
              <w:t>6. Consultation and professional judgment</w:t>
            </w:r>
          </w:p>
        </w:tc>
        <w:tc>
          <w:tcPr>
            <w:tcW w:type="dxa" w:w="5141"/>
            <w:tcMar>
              <w:top w:w="55" w:type="dxa"/>
              <w:start w:w="70" w:type="dxa"/>
              <w:bottom w:w="55" w:type="dxa"/>
              <w:end w:w="70" w:type="dxa"/>
            </w:tcMar>
            <w:shd w:fill="F8FAFC"/>
          </w:tcPr>
          <w:p>
            <w:r>
              <w:rPr>
                <w:rFonts w:ascii="Arial" w:hAnsi="Arial"/>
                <w:color w:val="1F2937"/>
                <w:sz w:val="15"/>
              </w:rPr>
              <w:t>Clarifies application; it does not transfer the counselor’s responsibility.</w:t>
            </w:r>
          </w:p>
        </w:tc>
      </w:tr>
    </w:tbl>
    <w:p>
      <w:pPr>
        <w:spacing w:after="0"/>
      </w:pPr>
    </w:p>
    <w:p>
      <w:pPr>
        <w:pStyle w:val="Heading2"/>
        <w:keepNext/>
      </w:pPr>
      <w:r>
        <w:t>High-Yield California LPCC Controls</w:t>
      </w:r>
    </w:p>
    <w:p>
      <w:pPr>
        <w:pStyle w:val="ListBullet"/>
        <w:spacing w:after="56"/>
      </w:pPr>
      <w:r>
        <w:t>California LPCC scope includes counseling interventions and assessment activities for counseling goals, but excludes certain specialized testing and requires referral when a need exceeds the counselor’s education, training, or experience.</w:t>
      </w:r>
    </w:p>
    <w:p>
      <w:pPr>
        <w:pStyle w:val="ListBullet"/>
        <w:spacing w:after="56"/>
      </w:pPr>
      <w:r>
        <w:t>A license or registration does not establish competence for every population, modality, assessment, technology, or forensic role.</w:t>
      </w:r>
    </w:p>
    <w:p>
      <w:pPr>
        <w:pStyle w:val="ListBullet"/>
        <w:spacing w:after="56"/>
      </w:pPr>
      <w:r>
        <w:t>California defines multiple forms of unprofessional conduct, including gross negligence or incompetence, misrepresentation, practice beyond scope, breach of confidentiality, failure to disclose fees, referral compensation, false or misleading advertising, telehealth noncompliance, and willful violation of patient-record access law.</w:t>
      </w:r>
    </w:p>
    <w:p>
      <w:pPr>
        <w:pStyle w:val="ListBullet"/>
        <w:spacing w:after="56"/>
      </w:pPr>
      <w:r>
        <w:t>Client welfare and truthful representation remain central when marketing, accepting a case, using credentials, supervising, or selecting technology.</w:t>
      </w:r>
    </w:p>
    <w:tbl>
      <w:tblPr>
        <w:tblW w:type="auto" w:w="0"/>
        <w:jc w:val="center"/>
        <w:tblLook w:firstColumn="1" w:firstRow="1" w:lastColumn="0" w:lastRow="0" w:noHBand="0" w:noVBand="1" w:val="04A0"/>
      </w:tblPr>
      <w:tblGrid>
        <w:gridCol w:w="10282"/>
      </w:tblGrid>
      <w:tr>
        <w:tc>
          <w:tcPr>
            <w:tcW w:type="dxa" w:w="10282"/>
            <w:shd w:fill="FBE9E7"/>
            <w:tcBorders>
              <w:top w:val="single" w:sz="8" w:color="C94A3A"/>
              <w:left w:val="single" w:sz="8" w:color="C94A3A"/>
              <w:bottom w:val="single" w:sz="8" w:color="C94A3A"/>
              <w:right w:val="single" w:sz="8" w:color="C94A3A"/>
            </w:tcBorders>
            <w:tcMar>
              <w:top w:w="90" w:type="dxa"/>
              <w:start w:w="120" w:type="dxa"/>
              <w:bottom w:w="90" w:type="dxa"/>
              <w:end w:w="120" w:type="dxa"/>
            </w:tcMar>
          </w:tcPr>
          <w:p>
            <w:pPr>
              <w:spacing w:after="40"/>
            </w:pPr>
            <w:r>
              <w:rPr>
                <w:rFonts w:ascii="Arial" w:hAnsi="Arial"/>
                <w:b/>
                <w:color w:val="17365D"/>
                <w:sz w:val="19"/>
              </w:rPr>
              <w:t>COMMON TRAP</w:t>
            </w:r>
          </w:p>
          <w:p>
            <w:pPr>
              <w:spacing w:after="0"/>
            </w:pPr>
            <w:r>
              <w:rPr>
                <w:rFonts w:ascii="Arial" w:hAnsi="Arial"/>
                <w:color w:val="1F2937"/>
                <w:sz w:val="18"/>
              </w:rPr>
              <w:t>“My supervisor told me to” or “agency policy says so” is not enough when a higher legal or ethical duty controls. Consultation improves decision-making but does not erase individual professional responsibility.</w:t>
            </w:r>
          </w:p>
        </w:tc>
      </w:tr>
    </w:tbl>
    <w:p>
      <w:pPr>
        <w:spacing w:after="0"/>
      </w:pPr>
    </w:p>
    <w:p>
      <w:pPr>
        <w:pStyle w:val="Heading2"/>
        <w:keepNext/>
      </w:pPr>
      <w:r>
        <w:t>LAYER Practice Worksheet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7365D"/>
            <w:vAlign w:val="center"/>
            <w:tcMar>
              <w:top w:w="70" w:type="dxa"/>
              <w:start w:w="75" w:type="dxa"/>
              <w:bottom w:w="70" w:type="dxa"/>
              <w:end w:w="75" w:type="dxa"/>
            </w:tcMar>
          </w:tcPr>
          <w:p>
            <w:pPr>
              <w:jc w:val="center"/>
            </w:pPr>
            <w:r>
              <w:rPr>
                <w:rFonts w:ascii="Arial" w:hAnsi="Arial"/>
                <w:b/>
                <w:color w:val="FFFFFF"/>
                <w:sz w:val="16"/>
              </w:rPr>
              <w:t>Prompt</w:t>
            </w:r>
          </w:p>
        </w:tc>
        <w:tc>
          <w:tcPr>
            <w:tcW w:type="dxa" w:w="5141"/>
            <w:shd w:fill="17365D"/>
            <w:vAlign w:val="center"/>
            <w:tcMar>
              <w:top w:w="70" w:type="dxa"/>
              <w:start w:w="75" w:type="dxa"/>
              <w:bottom w:w="70" w:type="dxa"/>
              <w:end w:w="75" w:type="dxa"/>
            </w:tcMar>
          </w:tcPr>
          <w:p>
            <w:pPr>
              <w:jc w:val="center"/>
            </w:pPr>
            <w:r>
              <w:rPr>
                <w:rFonts w:ascii="Arial" w:hAnsi="Arial"/>
                <w:b/>
                <w:color w:val="FFFFFF"/>
                <w:sz w:val="16"/>
              </w:rPr>
              <w:t>My Notes</w:t>
            </w:r>
          </w:p>
        </w:tc>
      </w:tr>
      <w:tr>
        <w:tc>
          <w:tcPr>
            <w:tcW w:type="dxa" w:w="5141"/>
            <w:tcMar>
              <w:top w:w="55" w:type="dxa"/>
              <w:start w:w="70" w:type="dxa"/>
              <w:bottom w:w="55" w:type="dxa"/>
              <w:end w:w="70" w:type="dxa"/>
            </w:tcMar>
          </w:tcPr>
          <w:p>
            <w:r>
              <w:rPr>
                <w:rFonts w:ascii="Arial" w:hAnsi="Arial"/>
                <w:color w:val="1F2937"/>
                <w:sz w:val="16"/>
              </w:rPr>
              <w:t>Exact issue / decision</w:t>
            </w:r>
          </w:p>
        </w:tc>
        <w:tc>
          <w:tcPr>
            <w:tcW w:type="dxa" w:w="5141"/>
            <w:tcMar>
              <w:top w:w="55" w:type="dxa"/>
              <w:start w:w="70" w:type="dxa"/>
              <w:bottom w:w="55" w:type="dxa"/>
              <w:end w:w="70" w:type="dxa"/>
            </w:tcMar>
          </w:tcPr>
          <w:p>
            <w:r>
              <w:rPr>
                <w:rFonts w:ascii="Arial" w:hAnsi="Arial"/>
                <w:color w:val="1F2937"/>
                <w:sz w:val="16"/>
              </w:rPr>
              <w:t>____________________________________________________________</w:t>
            </w:r>
          </w:p>
        </w:tc>
      </w:tr>
      <w:tr>
        <w:tc>
          <w:tcPr>
            <w:tcW w:type="dxa" w:w="5141"/>
            <w:tcMar>
              <w:top w:w="55" w:type="dxa"/>
              <w:start w:w="70" w:type="dxa"/>
              <w:bottom w:w="55" w:type="dxa"/>
              <w:end w:w="70" w:type="dxa"/>
            </w:tcMar>
            <w:shd w:fill="F8FAFC"/>
          </w:tcPr>
          <w:p>
            <w:r>
              <w:rPr>
                <w:rFonts w:ascii="Arial" w:hAnsi="Arial"/>
                <w:color w:val="1F2937"/>
                <w:sz w:val="16"/>
              </w:rPr>
              <w:t>Controlling authority</w:t>
            </w:r>
          </w:p>
        </w:tc>
        <w:tc>
          <w:tcPr>
            <w:tcW w:type="dxa" w:w="5141"/>
            <w:tcMar>
              <w:top w:w="55" w:type="dxa"/>
              <w:start w:w="70" w:type="dxa"/>
              <w:bottom w:w="55" w:type="dxa"/>
              <w:end w:w="70" w:type="dxa"/>
            </w:tcMar>
            <w:shd w:fill="F8FAFC"/>
          </w:tcPr>
          <w:p>
            <w:r>
              <w:rPr>
                <w:rFonts w:ascii="Arial" w:hAnsi="Arial"/>
                <w:color w:val="1F2937"/>
                <w:sz w:val="16"/>
              </w:rPr>
              <w:t>____________________________________________________________</w:t>
            </w:r>
          </w:p>
        </w:tc>
      </w:tr>
      <w:tr>
        <w:tc>
          <w:tcPr>
            <w:tcW w:type="dxa" w:w="5141"/>
            <w:tcMar>
              <w:top w:w="55" w:type="dxa"/>
              <w:start w:w="70" w:type="dxa"/>
              <w:bottom w:w="55" w:type="dxa"/>
              <w:end w:w="70" w:type="dxa"/>
            </w:tcMar>
          </w:tcPr>
          <w:p>
            <w:r>
              <w:rPr>
                <w:rFonts w:ascii="Arial" w:hAnsi="Arial"/>
                <w:color w:val="1F2937"/>
                <w:sz w:val="16"/>
              </w:rPr>
              <w:t>My role, scope, and competence</w:t>
            </w:r>
          </w:p>
        </w:tc>
        <w:tc>
          <w:tcPr>
            <w:tcW w:type="dxa" w:w="5141"/>
            <w:tcMar>
              <w:top w:w="55" w:type="dxa"/>
              <w:start w:w="70" w:type="dxa"/>
              <w:bottom w:w="55" w:type="dxa"/>
              <w:end w:w="70" w:type="dxa"/>
            </w:tcMar>
          </w:tcPr>
          <w:p>
            <w:r>
              <w:rPr>
                <w:rFonts w:ascii="Arial" w:hAnsi="Arial"/>
                <w:color w:val="1F2937"/>
                <w:sz w:val="16"/>
              </w:rPr>
              <w:t>____________________________________________________________</w:t>
            </w:r>
          </w:p>
        </w:tc>
      </w:tr>
      <w:tr>
        <w:tc>
          <w:tcPr>
            <w:tcW w:type="dxa" w:w="5141"/>
            <w:tcMar>
              <w:top w:w="55" w:type="dxa"/>
              <w:start w:w="70" w:type="dxa"/>
              <w:bottom w:w="55" w:type="dxa"/>
              <w:end w:w="70" w:type="dxa"/>
            </w:tcMar>
            <w:shd w:fill="F8FAFC"/>
          </w:tcPr>
          <w:p>
            <w:r>
              <w:rPr>
                <w:rFonts w:ascii="Arial" w:hAnsi="Arial"/>
                <w:color w:val="1F2937"/>
                <w:sz w:val="16"/>
              </w:rPr>
              <w:t>Ethical and client-welfare effects</w:t>
            </w:r>
          </w:p>
        </w:tc>
        <w:tc>
          <w:tcPr>
            <w:tcW w:type="dxa" w:w="5141"/>
            <w:tcMar>
              <w:top w:w="55" w:type="dxa"/>
              <w:start w:w="70" w:type="dxa"/>
              <w:bottom w:w="55" w:type="dxa"/>
              <w:end w:w="70" w:type="dxa"/>
            </w:tcMar>
            <w:shd w:fill="F8FAFC"/>
          </w:tcPr>
          <w:p>
            <w:r>
              <w:rPr>
                <w:rFonts w:ascii="Arial" w:hAnsi="Arial"/>
                <w:color w:val="1F2937"/>
                <w:sz w:val="16"/>
              </w:rPr>
              <w:t>____________________________________________________________</w:t>
            </w:r>
          </w:p>
        </w:tc>
      </w:tr>
      <w:tr>
        <w:tc>
          <w:tcPr>
            <w:tcW w:type="dxa" w:w="5141"/>
            <w:tcMar>
              <w:top w:w="55" w:type="dxa"/>
              <w:start w:w="70" w:type="dxa"/>
              <w:bottom w:w="55" w:type="dxa"/>
              <w:end w:w="70" w:type="dxa"/>
            </w:tcMar>
          </w:tcPr>
          <w:p>
            <w:r>
              <w:rPr>
                <w:rFonts w:ascii="Arial" w:hAnsi="Arial"/>
                <w:color w:val="1F2937"/>
                <w:sz w:val="16"/>
              </w:rPr>
              <w:t>Action, consultation, documentation, follow-up</w:t>
            </w:r>
          </w:p>
        </w:tc>
        <w:tc>
          <w:tcPr>
            <w:tcW w:type="dxa" w:w="5141"/>
            <w:tcMar>
              <w:top w:w="55" w:type="dxa"/>
              <w:start w:w="70" w:type="dxa"/>
              <w:bottom w:w="55" w:type="dxa"/>
              <w:end w:w="70" w:type="dxa"/>
            </w:tcMar>
          </w:tcPr>
          <w:p>
            <w:r>
              <w:rPr>
                <w:rFonts w:ascii="Arial" w:hAnsi="Arial"/>
                <w:color w:val="1F2937"/>
                <w:sz w:val="16"/>
              </w:rPr>
              <w:t>____________________________________________________________</w:t>
            </w:r>
          </w:p>
        </w:tc>
      </w:tr>
    </w:tbl>
    <w:p>
      <w:pPr>
        <w:spacing w:after="0"/>
      </w:pPr>
    </w:p>
    <w:tbl>
      <w:tblPr>
        <w:tblW w:type="auto" w:w="0"/>
        <w:jc w:val="center"/>
        <w:tblLook w:firstColumn="1" w:firstRow="1" w:lastColumn="0" w:lastRow="0" w:noHBand="0" w:noVBand="1" w:val="04A0"/>
      </w:tblPr>
      <w:tblGrid>
        <w:gridCol w:w="10282"/>
      </w:tblGrid>
      <w:tr>
        <w:tc>
          <w:tcPr>
            <w:tcW w:type="dxa" w:w="10282"/>
            <w:shd w:fill="E8F4F4"/>
            <w:tcBorders>
              <w:top w:val="single" w:sz="8" w:color="159C9C"/>
              <w:left w:val="single" w:sz="8" w:color="159C9C"/>
              <w:bottom w:val="single" w:sz="8" w:color="159C9C"/>
              <w:right w:val="single" w:sz="8" w:color="159C9C"/>
            </w:tcBorders>
            <w:tcMar>
              <w:top w:w="90" w:type="dxa"/>
              <w:start w:w="120" w:type="dxa"/>
              <w:bottom w:w="90" w:type="dxa"/>
              <w:end w:w="120" w:type="dxa"/>
            </w:tcMar>
          </w:tcPr>
          <w:p>
            <w:pPr>
              <w:spacing w:after="40"/>
            </w:pPr>
            <w:r>
              <w:rPr>
                <w:rFonts w:ascii="Arial" w:hAnsi="Arial"/>
                <w:b/>
                <w:color w:val="17365D"/>
                <w:sz w:val="19"/>
              </w:rPr>
              <w:t>CLINICAL TAKEAWAY</w:t>
            </w:r>
          </w:p>
          <w:p>
            <w:pPr>
              <w:spacing w:after="0"/>
            </w:pPr>
            <w:r>
              <w:rPr>
                <w:rFonts w:ascii="Arial" w:hAnsi="Arial"/>
                <w:color w:val="1F2937"/>
                <w:sz w:val="18"/>
              </w:rPr>
              <w:t>When authority is unclear, pause before taking an irreversible action. Define the question, preserve safety and records, obtain qualified consultation, and document the basis for the next step.</w:t>
            </w:r>
          </w:p>
        </w:tc>
      </w:tr>
    </w:tbl>
    <w:p>
      <w:pPr>
        <w:spacing w:after="0"/>
      </w:pPr>
    </w:p>
    <w:p>
      <w:pPr>
        <w:pStyle w:val="ListBullet"/>
        <w:spacing w:after="36"/>
      </w:pPr>
      <w:r>
        <w:t>Identify the issue before citing a rule.</w:t>
      </w:r>
    </w:p>
    <w:p>
      <w:pPr>
        <w:pStyle w:val="ListBullet"/>
        <w:spacing w:after="36"/>
      </w:pPr>
      <w:r>
        <w:t>Use the highest applicable authority.</w:t>
      </w:r>
    </w:p>
    <w:p>
      <w:pPr>
        <w:pStyle w:val="ListBullet"/>
        <w:spacing w:after="36"/>
      </w:pPr>
      <w:r>
        <w:t>Scope and competence are separate questions.</w:t>
      </w:r>
    </w:p>
    <w:p>
      <w:pPr>
        <w:pStyle w:val="ListBullet"/>
        <w:spacing w:after="36"/>
      </w:pPr>
      <w:r>
        <w:t>Consultation supports but does not replace judgment.</w:t>
      </w:r>
    </w:p>
    <w:p>
      <w:pPr>
        <w:pStyle w:val="ListBullet"/>
        <w:spacing w:after="36"/>
      </w:pPr>
      <w:r>
        <w:t>Document the basis for decisions, not merely the outcome.</w:t>
      </w:r>
    </w:p>
    <w:p>
      <w:r>
        <w:br w:type="page"/>
      </w:r>
    </w:p>
    <w:tbl>
      <w:tblPr>
        <w:tblW w:type="auto" w:w="0"/>
        <w:jc w:val="center"/>
        <w:tblLook w:firstColumn="1" w:firstRow="1" w:lastColumn="0" w:lastRow="0" w:noHBand="0" w:noVBand="1" w:val="04A0"/>
      </w:tblPr>
      <w:tblGrid>
        <w:gridCol w:w="10282"/>
      </w:tblGrid>
      <w:tr>
        <w:tc>
          <w:tcPr>
            <w:tcW w:type="dxa" w:w="10282"/>
            <w:shd w:fill="17365D"/>
            <w:tcBorders>
              <w:top w:val="single" w:sz="4" w:color="17365D"/>
              <w:left w:val="single" w:sz="4" w:color="17365D"/>
              <w:bottom w:val="single" w:sz="4" w:color="17365D"/>
              <w:right w:val="single" w:sz="4" w:color="17365D"/>
            </w:tcBorders>
            <w:tcMar>
              <w:top w:w="120" w:type="dxa"/>
              <w:start w:w="140" w:type="dxa"/>
              <w:bottom w:w="120" w:type="dxa"/>
              <w:end w:w="140" w:type="dxa"/>
            </w:tcMar>
          </w:tcPr>
          <w:p>
            <w:pPr>
              <w:jc w:val="center"/>
            </w:pPr>
            <w:r>
              <w:rPr>
                <w:rFonts w:ascii="Arial" w:hAnsi="Arial"/>
                <w:b/>
                <w:color w:val="159C9C"/>
                <w:sz w:val="20"/>
              </w:rPr>
              <w:t>CHAPTER 2</w:t>
            </w:r>
          </w:p>
          <w:p>
            <w:pPr>
              <w:jc w:val="center"/>
            </w:pPr>
            <w:r>
              <w:rPr>
                <w:rFonts w:ascii="Arial" w:hAnsi="Arial"/>
                <w:b/>
                <w:color w:val="FFFFFF"/>
                <w:sz w:val="34"/>
              </w:rPr>
              <w:t>Consent, Confidentiality, Privilege, Records, and Access</w:t>
            </w:r>
          </w:p>
        </w:tc>
      </w:tr>
      <w:tr>
        <w:tc>
          <w:tcPr>
            <w:tcW w:type="dxa" w:w="10282"/>
            <w:shd w:fill="E8F4F4"/>
            <w:tcBorders>
              <w:top w:val="single" w:sz="4" w:color="17365D"/>
              <w:left w:val="single" w:sz="4" w:color="17365D"/>
              <w:bottom w:val="single" w:sz="4" w:color="17365D"/>
              <w:right w:val="single" w:sz="4" w:color="17365D"/>
            </w:tcBorders>
            <w:tcMar>
              <w:top w:w="120" w:type="dxa"/>
              <w:start w:w="140" w:type="dxa"/>
              <w:bottom w:w="120" w:type="dxa"/>
              <w:end w:w="140" w:type="dxa"/>
            </w:tcMar>
          </w:tcPr>
          <w:p>
            <w:r>
              <w:rPr>
                <w:rFonts w:ascii="Arial" w:hAnsi="Arial"/>
                <w:b/>
                <w:color w:val="17365D"/>
                <w:sz w:val="18"/>
              </w:rPr>
              <w:t xml:space="preserve">BIG IDEA  </w:t>
            </w:r>
            <w:r>
              <w:rPr>
                <w:rFonts w:ascii="Arial" w:hAnsi="Arial"/>
                <w:color w:val="1F2937"/>
                <w:sz w:val="18"/>
              </w:rPr>
              <w:t>Protect information by identifying the client, the right involved, the information requested, the authority to disclose, and the minimum necessary response.</w:t>
            </w:r>
          </w:p>
        </w:tc>
      </w:tr>
    </w:tbl>
    <w:p>
      <w:pPr>
        <w:spacing w:after="0"/>
      </w:pPr>
    </w:p>
    <w:p>
      <w:pPr>
        <w:spacing w:after="100"/>
      </w:pPr>
      <w:r>
        <w:rPr>
          <w:rFonts w:ascii="Arial" w:hAnsi="Arial"/>
          <w:b w:val="0"/>
          <w:i w:val="0"/>
          <w:color w:val="1F2937"/>
          <w:sz w:val="19"/>
        </w:rPr>
        <w:t>Privacy questions are often missed because candidates treat confidentiality, privilege, authorization, and record access as synonyms. They are related but distinct. The counselor must know who holds the right, what information is involved, why it is requested, and whether disclosure is required, permitted, or prohibited.</w:t>
      </w:r>
    </w:p>
    <w:p>
      <w:pPr>
        <w:pStyle w:val="Heading2"/>
        <w:keepNext/>
      </w:pPr>
      <w:r>
        <w:t>The PRIVACY Information-Decision Tool</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7365D"/>
            <w:vAlign w:val="center"/>
            <w:tcMar>
              <w:top w:w="70" w:type="dxa"/>
              <w:start w:w="75" w:type="dxa"/>
              <w:bottom w:w="70" w:type="dxa"/>
              <w:end w:w="75" w:type="dxa"/>
            </w:tcMar>
          </w:tcPr>
          <w:p>
            <w:pPr>
              <w:jc w:val="center"/>
            </w:pPr>
            <w:r>
              <w:rPr>
                <w:rFonts w:ascii="Arial" w:hAnsi="Arial"/>
                <w:b/>
                <w:color w:val="FFFFFF"/>
                <w:sz w:val="15"/>
              </w:rPr>
              <w:t>Step</w:t>
            </w:r>
          </w:p>
        </w:tc>
        <w:tc>
          <w:tcPr>
            <w:tcW w:type="dxa" w:w="5141"/>
            <w:shd w:fill="17365D"/>
            <w:vAlign w:val="center"/>
            <w:tcMar>
              <w:top w:w="70" w:type="dxa"/>
              <w:start w:w="75" w:type="dxa"/>
              <w:bottom w:w="70" w:type="dxa"/>
              <w:end w:w="75" w:type="dxa"/>
            </w:tcMar>
          </w:tcPr>
          <w:p>
            <w:pPr>
              <w:jc w:val="center"/>
            </w:pPr>
            <w:r>
              <w:rPr>
                <w:rFonts w:ascii="Arial" w:hAnsi="Arial"/>
                <w:b/>
                <w:color w:val="FFFFFF"/>
                <w:sz w:val="15"/>
              </w:rPr>
              <w:t>Question to Ask</w:t>
            </w:r>
          </w:p>
        </w:tc>
      </w:tr>
      <w:tr>
        <w:tc>
          <w:tcPr>
            <w:tcW w:type="dxa" w:w="5141"/>
            <w:tcMar>
              <w:top w:w="55" w:type="dxa"/>
              <w:start w:w="70" w:type="dxa"/>
              <w:bottom w:w="55" w:type="dxa"/>
              <w:end w:w="70" w:type="dxa"/>
            </w:tcMar>
          </w:tcPr>
          <w:p>
            <w:r>
              <w:rPr>
                <w:rFonts w:ascii="Arial" w:hAnsi="Arial"/>
                <w:color w:val="1F2937"/>
                <w:sz w:val="15"/>
              </w:rPr>
              <w:t>P - Purpose</w:t>
            </w:r>
          </w:p>
        </w:tc>
        <w:tc>
          <w:tcPr>
            <w:tcW w:type="dxa" w:w="5141"/>
            <w:tcMar>
              <w:top w:w="55" w:type="dxa"/>
              <w:start w:w="70" w:type="dxa"/>
              <w:bottom w:w="55" w:type="dxa"/>
              <w:end w:w="70" w:type="dxa"/>
            </w:tcMar>
          </w:tcPr>
          <w:p>
            <w:r>
              <w:rPr>
                <w:rFonts w:ascii="Arial" w:hAnsi="Arial"/>
                <w:color w:val="1F2937"/>
                <w:sz w:val="15"/>
              </w:rPr>
              <w:t>Why is the information being requested or considered for use?</w:t>
            </w:r>
          </w:p>
        </w:tc>
      </w:tr>
      <w:tr>
        <w:tc>
          <w:tcPr>
            <w:tcW w:type="dxa" w:w="5141"/>
            <w:tcMar>
              <w:top w:w="55" w:type="dxa"/>
              <w:start w:w="70" w:type="dxa"/>
              <w:bottom w:w="55" w:type="dxa"/>
              <w:end w:w="70" w:type="dxa"/>
            </w:tcMar>
            <w:shd w:fill="F8FAFC"/>
          </w:tcPr>
          <w:p>
            <w:r>
              <w:rPr>
                <w:rFonts w:ascii="Arial" w:hAnsi="Arial"/>
                <w:color w:val="1F2937"/>
                <w:sz w:val="15"/>
              </w:rPr>
              <w:t>R - Right and role</w:t>
            </w:r>
          </w:p>
        </w:tc>
        <w:tc>
          <w:tcPr>
            <w:tcW w:type="dxa" w:w="5141"/>
            <w:tcMar>
              <w:top w:w="55" w:type="dxa"/>
              <w:start w:w="70" w:type="dxa"/>
              <w:bottom w:w="55" w:type="dxa"/>
              <w:end w:w="70" w:type="dxa"/>
            </w:tcMar>
            <w:shd w:fill="F8FAFC"/>
          </w:tcPr>
          <w:p>
            <w:r>
              <w:rPr>
                <w:rFonts w:ascii="Arial" w:hAnsi="Arial"/>
                <w:color w:val="1F2937"/>
                <w:sz w:val="15"/>
              </w:rPr>
              <w:t>Who is the client, patient, privilege holder, representative, requestor, or record custodian?</w:t>
            </w:r>
          </w:p>
        </w:tc>
      </w:tr>
      <w:tr>
        <w:tc>
          <w:tcPr>
            <w:tcW w:type="dxa" w:w="5141"/>
            <w:tcMar>
              <w:top w:w="55" w:type="dxa"/>
              <w:start w:w="70" w:type="dxa"/>
              <w:bottom w:w="55" w:type="dxa"/>
              <w:end w:w="70" w:type="dxa"/>
            </w:tcMar>
          </w:tcPr>
          <w:p>
            <w:r>
              <w:rPr>
                <w:rFonts w:ascii="Arial" w:hAnsi="Arial"/>
                <w:color w:val="1F2937"/>
                <w:sz w:val="15"/>
              </w:rPr>
              <w:t>I - Information type</w:t>
            </w:r>
          </w:p>
        </w:tc>
        <w:tc>
          <w:tcPr>
            <w:tcW w:type="dxa" w:w="5141"/>
            <w:tcMar>
              <w:top w:w="55" w:type="dxa"/>
              <w:start w:w="70" w:type="dxa"/>
              <w:bottom w:w="55" w:type="dxa"/>
              <w:end w:w="70" w:type="dxa"/>
            </w:tcMar>
          </w:tcPr>
          <w:p>
            <w:r>
              <w:rPr>
                <w:rFonts w:ascii="Arial" w:hAnsi="Arial"/>
                <w:color w:val="1F2937"/>
                <w:sz w:val="15"/>
              </w:rPr>
              <w:t>Is this a treatment record, progress note, psychotherapy note, collateral statement, billing record, test material, or other protected information?</w:t>
            </w:r>
          </w:p>
        </w:tc>
      </w:tr>
      <w:tr>
        <w:tc>
          <w:tcPr>
            <w:tcW w:type="dxa" w:w="5141"/>
            <w:tcMar>
              <w:top w:w="55" w:type="dxa"/>
              <w:start w:w="70" w:type="dxa"/>
              <w:bottom w:w="55" w:type="dxa"/>
              <w:end w:w="70" w:type="dxa"/>
            </w:tcMar>
            <w:shd w:fill="F8FAFC"/>
          </w:tcPr>
          <w:p>
            <w:r>
              <w:rPr>
                <w:rFonts w:ascii="Arial" w:hAnsi="Arial"/>
                <w:color w:val="1F2937"/>
                <w:sz w:val="15"/>
              </w:rPr>
              <w:t>V - Valid authority</w:t>
            </w:r>
          </w:p>
        </w:tc>
        <w:tc>
          <w:tcPr>
            <w:tcW w:type="dxa" w:w="5141"/>
            <w:tcMar>
              <w:top w:w="55" w:type="dxa"/>
              <w:start w:w="70" w:type="dxa"/>
              <w:bottom w:w="55" w:type="dxa"/>
              <w:end w:w="70" w:type="dxa"/>
            </w:tcMar>
            <w:shd w:fill="F8FAFC"/>
          </w:tcPr>
          <w:p>
            <w:r>
              <w:rPr>
                <w:rFonts w:ascii="Arial" w:hAnsi="Arial"/>
                <w:color w:val="1F2937"/>
                <w:sz w:val="15"/>
              </w:rPr>
              <w:t>Is there a valid authorization, legal exception, mandatory duty, treatment basis, or court order?</w:t>
            </w:r>
          </w:p>
        </w:tc>
      </w:tr>
      <w:tr>
        <w:tc>
          <w:tcPr>
            <w:tcW w:type="dxa" w:w="5141"/>
            <w:tcMar>
              <w:top w:w="55" w:type="dxa"/>
              <w:start w:w="70" w:type="dxa"/>
              <w:bottom w:w="55" w:type="dxa"/>
              <w:end w:w="70" w:type="dxa"/>
            </w:tcMar>
          </w:tcPr>
          <w:p>
            <w:r>
              <w:rPr>
                <w:rFonts w:ascii="Arial" w:hAnsi="Arial"/>
                <w:color w:val="1F2937"/>
                <w:sz w:val="15"/>
              </w:rPr>
              <w:t>A - Amount</w:t>
            </w:r>
          </w:p>
        </w:tc>
        <w:tc>
          <w:tcPr>
            <w:tcW w:type="dxa" w:w="5141"/>
            <w:tcMar>
              <w:top w:w="55" w:type="dxa"/>
              <w:start w:w="70" w:type="dxa"/>
              <w:bottom w:w="55" w:type="dxa"/>
              <w:end w:w="70" w:type="dxa"/>
            </w:tcMar>
          </w:tcPr>
          <w:p>
            <w:r>
              <w:rPr>
                <w:rFonts w:ascii="Arial" w:hAnsi="Arial"/>
                <w:color w:val="1F2937"/>
                <w:sz w:val="15"/>
              </w:rPr>
              <w:t>What is the least information necessary and relevant to the purpose?</w:t>
            </w:r>
          </w:p>
        </w:tc>
      </w:tr>
      <w:tr>
        <w:tc>
          <w:tcPr>
            <w:tcW w:type="dxa" w:w="5141"/>
            <w:tcMar>
              <w:top w:w="55" w:type="dxa"/>
              <w:start w:w="70" w:type="dxa"/>
              <w:bottom w:w="55" w:type="dxa"/>
              <w:end w:w="70" w:type="dxa"/>
            </w:tcMar>
            <w:shd w:fill="F8FAFC"/>
          </w:tcPr>
          <w:p>
            <w:r>
              <w:rPr>
                <w:rFonts w:ascii="Arial" w:hAnsi="Arial"/>
                <w:color w:val="1F2937"/>
                <w:sz w:val="15"/>
              </w:rPr>
              <w:t>C - Channel and control</w:t>
            </w:r>
          </w:p>
        </w:tc>
        <w:tc>
          <w:tcPr>
            <w:tcW w:type="dxa" w:w="5141"/>
            <w:tcMar>
              <w:top w:w="55" w:type="dxa"/>
              <w:start w:w="70" w:type="dxa"/>
              <w:bottom w:w="55" w:type="dxa"/>
              <w:end w:w="70" w:type="dxa"/>
            </w:tcMar>
            <w:shd w:fill="F8FAFC"/>
          </w:tcPr>
          <w:p>
            <w:r>
              <w:rPr>
                <w:rFonts w:ascii="Arial" w:hAnsi="Arial"/>
                <w:color w:val="1F2937"/>
                <w:sz w:val="15"/>
              </w:rPr>
              <w:t>How will identity, recipient, transmission, storage, and redisclosure risk be managed?</w:t>
            </w:r>
          </w:p>
        </w:tc>
      </w:tr>
      <w:tr>
        <w:tc>
          <w:tcPr>
            <w:tcW w:type="dxa" w:w="5141"/>
            <w:tcMar>
              <w:top w:w="55" w:type="dxa"/>
              <w:start w:w="70" w:type="dxa"/>
              <w:bottom w:w="55" w:type="dxa"/>
              <w:end w:w="70" w:type="dxa"/>
            </w:tcMar>
          </w:tcPr>
          <w:p>
            <w:r>
              <w:rPr>
                <w:rFonts w:ascii="Arial" w:hAnsi="Arial"/>
                <w:color w:val="1F2937"/>
                <w:sz w:val="15"/>
              </w:rPr>
              <w:t>Y - Yield, document, and follow up</w:t>
            </w:r>
          </w:p>
        </w:tc>
        <w:tc>
          <w:tcPr>
            <w:tcW w:type="dxa" w:w="5141"/>
            <w:tcMar>
              <w:top w:w="55" w:type="dxa"/>
              <w:start w:w="70" w:type="dxa"/>
              <w:bottom w:w="55" w:type="dxa"/>
              <w:end w:w="70" w:type="dxa"/>
            </w:tcMar>
          </w:tcPr>
          <w:p>
            <w:r>
              <w:rPr>
                <w:rFonts w:ascii="Arial" w:hAnsi="Arial"/>
                <w:color w:val="1F2937"/>
                <w:sz w:val="15"/>
              </w:rPr>
              <w:t>Respond within required time, document the basis, and track completion.</w:t>
            </w:r>
          </w:p>
        </w:tc>
      </w:tr>
    </w:tbl>
    <w:p>
      <w:pPr>
        <w:spacing w:after="0"/>
      </w:pPr>
    </w:p>
    <w:p>
      <w:pPr>
        <w:pStyle w:val="Heading2"/>
        <w:keepNext/>
      </w:pPr>
      <w:r>
        <w:t>Do Not Collapse These Concepts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7365D"/>
            <w:vAlign w:val="center"/>
            <w:tcMar>
              <w:top w:w="70" w:type="dxa"/>
              <w:start w:w="75" w:type="dxa"/>
              <w:bottom w:w="70" w:type="dxa"/>
              <w:end w:w="75" w:type="dxa"/>
            </w:tcMar>
          </w:tcPr>
          <w:p>
            <w:pPr>
              <w:jc w:val="center"/>
            </w:pPr>
            <w:r>
              <w:rPr>
                <w:rFonts w:ascii="Arial" w:hAnsi="Arial"/>
                <w:b/>
                <w:color w:val="FFFFFF"/>
                <w:sz w:val="15"/>
              </w:rPr>
              <w:t>Concept</w:t>
            </w:r>
          </w:p>
        </w:tc>
        <w:tc>
          <w:tcPr>
            <w:tcW w:type="dxa" w:w="5141"/>
            <w:shd w:fill="17365D"/>
            <w:vAlign w:val="center"/>
            <w:tcMar>
              <w:top w:w="70" w:type="dxa"/>
              <w:start w:w="75" w:type="dxa"/>
              <w:bottom w:w="70" w:type="dxa"/>
              <w:end w:w="75" w:type="dxa"/>
            </w:tcMar>
          </w:tcPr>
          <w:p>
            <w:pPr>
              <w:jc w:val="center"/>
            </w:pPr>
            <w:r>
              <w:rPr>
                <w:rFonts w:ascii="Arial" w:hAnsi="Arial"/>
                <w:b/>
                <w:color w:val="FFFFFF"/>
                <w:sz w:val="15"/>
              </w:rPr>
              <w:t>Core Meaning</w:t>
            </w:r>
          </w:p>
        </w:tc>
      </w:tr>
      <w:tr>
        <w:tc>
          <w:tcPr>
            <w:tcW w:type="dxa" w:w="5141"/>
            <w:tcMar>
              <w:top w:w="55" w:type="dxa"/>
              <w:start w:w="70" w:type="dxa"/>
              <w:bottom w:w="55" w:type="dxa"/>
              <w:end w:w="70" w:type="dxa"/>
            </w:tcMar>
          </w:tcPr>
          <w:p>
            <w:r>
              <w:rPr>
                <w:rFonts w:ascii="Arial" w:hAnsi="Arial"/>
                <w:color w:val="1F2937"/>
                <w:sz w:val="15"/>
              </w:rPr>
              <w:t>Confidentiality</w:t>
            </w:r>
          </w:p>
        </w:tc>
        <w:tc>
          <w:tcPr>
            <w:tcW w:type="dxa" w:w="5141"/>
            <w:tcMar>
              <w:top w:w="55" w:type="dxa"/>
              <w:start w:w="70" w:type="dxa"/>
              <w:bottom w:w="55" w:type="dxa"/>
              <w:end w:w="70" w:type="dxa"/>
            </w:tcMar>
          </w:tcPr>
          <w:p>
            <w:r>
              <w:rPr>
                <w:rFonts w:ascii="Arial" w:hAnsi="Arial"/>
                <w:color w:val="1F2937"/>
                <w:sz w:val="15"/>
              </w:rPr>
              <w:t>The professional duty to protect client information and disclose only as authorized or required/permitted by law.</w:t>
            </w:r>
          </w:p>
        </w:tc>
      </w:tr>
      <w:tr>
        <w:tc>
          <w:tcPr>
            <w:tcW w:type="dxa" w:w="5141"/>
            <w:tcMar>
              <w:top w:w="55" w:type="dxa"/>
              <w:start w:w="70" w:type="dxa"/>
              <w:bottom w:w="55" w:type="dxa"/>
              <w:end w:w="70" w:type="dxa"/>
            </w:tcMar>
            <w:shd w:fill="F8FAFC"/>
          </w:tcPr>
          <w:p>
            <w:r>
              <w:rPr>
                <w:rFonts w:ascii="Arial" w:hAnsi="Arial"/>
                <w:color w:val="1F2937"/>
                <w:sz w:val="15"/>
              </w:rPr>
              <w:t>Privacy</w:t>
            </w:r>
          </w:p>
        </w:tc>
        <w:tc>
          <w:tcPr>
            <w:tcW w:type="dxa" w:w="5141"/>
            <w:tcMar>
              <w:top w:w="55" w:type="dxa"/>
              <w:start w:w="70" w:type="dxa"/>
              <w:bottom w:w="55" w:type="dxa"/>
              <w:end w:w="70" w:type="dxa"/>
            </w:tcMar>
            <w:shd w:fill="F8FAFC"/>
          </w:tcPr>
          <w:p>
            <w:r>
              <w:rPr>
                <w:rFonts w:ascii="Arial" w:hAnsi="Arial"/>
                <w:color w:val="1F2937"/>
                <w:sz w:val="15"/>
              </w:rPr>
              <w:t>The client’s interest in controlling personal information and the conditions under which it is collected, used, stored, or shared.</w:t>
            </w:r>
          </w:p>
        </w:tc>
      </w:tr>
      <w:tr>
        <w:tc>
          <w:tcPr>
            <w:tcW w:type="dxa" w:w="5141"/>
            <w:tcMar>
              <w:top w:w="55" w:type="dxa"/>
              <w:start w:w="70" w:type="dxa"/>
              <w:bottom w:w="55" w:type="dxa"/>
              <w:end w:w="70" w:type="dxa"/>
            </w:tcMar>
          </w:tcPr>
          <w:p>
            <w:r>
              <w:rPr>
                <w:rFonts w:ascii="Arial" w:hAnsi="Arial"/>
                <w:color w:val="1F2937"/>
                <w:sz w:val="15"/>
              </w:rPr>
              <w:t>Privilege</w:t>
            </w:r>
          </w:p>
        </w:tc>
        <w:tc>
          <w:tcPr>
            <w:tcW w:type="dxa" w:w="5141"/>
            <w:tcMar>
              <w:top w:w="55" w:type="dxa"/>
              <w:start w:w="70" w:type="dxa"/>
              <w:bottom w:w="55" w:type="dxa"/>
              <w:end w:w="70" w:type="dxa"/>
            </w:tcMar>
          </w:tcPr>
          <w:p>
            <w:r>
              <w:rPr>
                <w:rFonts w:ascii="Arial" w:hAnsi="Arial"/>
                <w:color w:val="1F2937"/>
                <w:sz w:val="15"/>
              </w:rPr>
              <w:t>An evidentiary right, generally held by the patient, to prevent disclosure of protected psychotherapist-patient communications in legal proceedings, subject to exceptions.</w:t>
            </w:r>
          </w:p>
        </w:tc>
      </w:tr>
      <w:tr>
        <w:tc>
          <w:tcPr>
            <w:tcW w:type="dxa" w:w="5141"/>
            <w:tcMar>
              <w:top w:w="55" w:type="dxa"/>
              <w:start w:w="70" w:type="dxa"/>
              <w:bottom w:w="55" w:type="dxa"/>
              <w:end w:w="70" w:type="dxa"/>
            </w:tcMar>
            <w:shd w:fill="F8FAFC"/>
          </w:tcPr>
          <w:p>
            <w:r>
              <w:rPr>
                <w:rFonts w:ascii="Arial" w:hAnsi="Arial"/>
                <w:color w:val="1F2937"/>
                <w:sz w:val="15"/>
              </w:rPr>
              <w:t>Authorization / consent</w:t>
            </w:r>
          </w:p>
        </w:tc>
        <w:tc>
          <w:tcPr>
            <w:tcW w:type="dxa" w:w="5141"/>
            <w:tcMar>
              <w:top w:w="55" w:type="dxa"/>
              <w:start w:w="70" w:type="dxa"/>
              <w:bottom w:w="55" w:type="dxa"/>
              <w:end w:w="70" w:type="dxa"/>
            </w:tcMar>
            <w:shd w:fill="F8FAFC"/>
          </w:tcPr>
          <w:p>
            <w:r>
              <w:rPr>
                <w:rFonts w:ascii="Arial" w:hAnsi="Arial"/>
                <w:color w:val="1F2937"/>
                <w:sz w:val="15"/>
              </w:rPr>
              <w:t>Permission meeting applicable requirements for a defined use or disclosure; it should identify scope, recipient, purpose, and limits.</w:t>
            </w:r>
          </w:p>
        </w:tc>
      </w:tr>
      <w:tr>
        <w:tc>
          <w:tcPr>
            <w:tcW w:type="dxa" w:w="5141"/>
            <w:tcMar>
              <w:top w:w="55" w:type="dxa"/>
              <w:start w:w="70" w:type="dxa"/>
              <w:bottom w:w="55" w:type="dxa"/>
              <w:end w:w="70" w:type="dxa"/>
            </w:tcMar>
          </w:tcPr>
          <w:p>
            <w:r>
              <w:rPr>
                <w:rFonts w:ascii="Arial" w:hAnsi="Arial"/>
                <w:color w:val="1F2937"/>
                <w:sz w:val="15"/>
              </w:rPr>
              <w:t>Record access</w:t>
            </w:r>
          </w:p>
        </w:tc>
        <w:tc>
          <w:tcPr>
            <w:tcW w:type="dxa" w:w="5141"/>
            <w:tcMar>
              <w:top w:w="55" w:type="dxa"/>
              <w:start w:w="70" w:type="dxa"/>
              <w:bottom w:w="55" w:type="dxa"/>
              <w:end w:w="70" w:type="dxa"/>
            </w:tcMar>
          </w:tcPr>
          <w:p>
            <w:r>
              <w:rPr>
                <w:rFonts w:ascii="Arial" w:hAnsi="Arial"/>
                <w:color w:val="1F2937"/>
                <w:sz w:val="15"/>
              </w:rPr>
              <w:t>A patient or authorized representative may have statutory rights to inspect or receive records, subject to defined limits and procedures.</w:t>
            </w:r>
          </w:p>
        </w:tc>
      </w:tr>
      <w:tr>
        <w:tc>
          <w:tcPr>
            <w:tcW w:type="dxa" w:w="5141"/>
            <w:tcMar>
              <w:top w:w="55" w:type="dxa"/>
              <w:start w:w="70" w:type="dxa"/>
              <w:bottom w:w="55" w:type="dxa"/>
              <w:end w:w="70" w:type="dxa"/>
            </w:tcMar>
            <w:shd w:fill="F8FAFC"/>
          </w:tcPr>
          <w:p>
            <w:r>
              <w:rPr>
                <w:rFonts w:ascii="Arial" w:hAnsi="Arial"/>
                <w:color w:val="1F2937"/>
                <w:sz w:val="15"/>
              </w:rPr>
              <w:t>Minimum necessary / relevance</w:t>
            </w:r>
          </w:p>
        </w:tc>
        <w:tc>
          <w:tcPr>
            <w:tcW w:type="dxa" w:w="5141"/>
            <w:tcMar>
              <w:top w:w="55" w:type="dxa"/>
              <w:start w:w="70" w:type="dxa"/>
              <w:bottom w:w="55" w:type="dxa"/>
              <w:end w:w="70" w:type="dxa"/>
            </w:tcMar>
            <w:shd w:fill="F8FAFC"/>
          </w:tcPr>
          <w:p>
            <w:r>
              <w:rPr>
                <w:rFonts w:ascii="Arial" w:hAnsi="Arial"/>
                <w:color w:val="1F2937"/>
                <w:sz w:val="15"/>
              </w:rPr>
              <w:t>Disclose only what is needed for the lawful purpose; do not automatically release the entire chart.</w:t>
            </w:r>
          </w:p>
        </w:tc>
      </w:tr>
    </w:tbl>
    <w:p>
      <w:pPr>
        <w:spacing w:after="0"/>
      </w:pPr>
    </w:p>
    <w:p>
      <w:pPr>
        <w:pStyle w:val="Heading2"/>
        <w:keepNext/>
      </w:pPr>
      <w:r>
        <w:t>California Records and Client Notices</w:t>
      </w:r>
    </w:p>
    <w:p>
      <w:pPr>
        <w:pStyle w:val="ListBullet"/>
        <w:spacing w:after="56"/>
      </w:pPr>
      <w:r>
        <w:t>California LPCCs retain health service records for at least seven years after termination; for a minor, at least seven years after the client reaches age 18.</w:t>
      </w:r>
    </w:p>
    <w:p>
      <w:pPr>
        <w:pStyle w:val="ListBullet"/>
        <w:spacing w:after="56"/>
      </w:pPr>
      <w:r>
        <w:t>California patient-access law generally provides timely inspection and copy rights, with defined exceptions, formats, timelines, and cost limits. A clinical note is not automatically a separately maintained HIPAA psychotherapy note.</w:t>
      </w:r>
    </w:p>
    <w:p>
      <w:pPr>
        <w:pStyle w:val="ListBullet"/>
        <w:spacing w:after="56"/>
      </w:pPr>
      <w:r>
        <w:t>Before psychotherapy, California LPCC licensees and registrants provide the required Notice to Clients, including current identifying and license/registration information, and document delivery.</w:t>
      </w:r>
    </w:p>
    <w:p>
      <w:pPr>
        <w:pStyle w:val="ListBullet"/>
        <w:spacing w:after="56"/>
      </w:pPr>
      <w:r>
        <w:t>Corrections should preserve the original entry, identify the correction or addendum, date it, and explain the new information. Records should never be silently rewritten after a complaint, subpoena, billing review, or adverse event.</w:t>
      </w:r>
    </w:p>
    <w:tbl>
      <w:tblPr>
        <w:tblW w:type="auto" w:w="0"/>
        <w:jc w:val="center"/>
        <w:tblLook w:firstColumn="1" w:firstRow="1" w:lastColumn="0" w:lastRow="0" w:noHBand="0" w:noVBand="1" w:val="04A0"/>
      </w:tblPr>
      <w:tblGrid>
        <w:gridCol w:w="10282"/>
      </w:tblGrid>
      <w:tr>
        <w:tc>
          <w:tcPr>
            <w:tcW w:type="dxa" w:w="10282"/>
            <w:shd w:fill="FBE9E7"/>
            <w:tcBorders>
              <w:top w:val="single" w:sz="8" w:color="C94A3A"/>
              <w:left w:val="single" w:sz="8" w:color="C94A3A"/>
              <w:bottom w:val="single" w:sz="8" w:color="C94A3A"/>
              <w:right w:val="single" w:sz="8" w:color="C94A3A"/>
            </w:tcBorders>
            <w:tcMar>
              <w:top w:w="90" w:type="dxa"/>
              <w:start w:w="120" w:type="dxa"/>
              <w:bottom w:w="90" w:type="dxa"/>
              <w:end w:w="120" w:type="dxa"/>
            </w:tcMar>
          </w:tcPr>
          <w:p>
            <w:pPr>
              <w:spacing w:after="40"/>
            </w:pPr>
            <w:r>
              <w:rPr>
                <w:rFonts w:ascii="Arial" w:hAnsi="Arial"/>
                <w:b/>
                <w:color w:val="17365D"/>
                <w:sz w:val="19"/>
              </w:rPr>
              <w:t>COMMON TRAP</w:t>
            </w:r>
          </w:p>
          <w:p>
            <w:pPr>
              <w:spacing w:after="0"/>
            </w:pPr>
            <w:r>
              <w:rPr>
                <w:rFonts w:ascii="Arial" w:hAnsi="Arial"/>
                <w:color w:val="1F2937"/>
                <w:sz w:val="18"/>
              </w:rPr>
              <w:t>A signed release does not automatically make every disclosure appropriate. Confirm identity, validity, purpose, scope, expiration, recipient, and whether a narrower disclosure better protects the client.</w:t>
            </w:r>
          </w:p>
        </w:tc>
      </w:tr>
    </w:tbl>
    <w:p>
      <w:pPr>
        <w:spacing w:after="0"/>
      </w:pPr>
    </w:p>
    <w:p>
      <w:pPr>
        <w:pStyle w:val="Heading2"/>
        <w:keepNext/>
      </w:pPr>
      <w:r>
        <w:t>PRIVACY Practice Worksheet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7365D"/>
            <w:vAlign w:val="center"/>
            <w:tcMar>
              <w:top w:w="70" w:type="dxa"/>
              <w:start w:w="75" w:type="dxa"/>
              <w:bottom w:w="70" w:type="dxa"/>
              <w:end w:w="75" w:type="dxa"/>
            </w:tcMar>
          </w:tcPr>
          <w:p>
            <w:pPr>
              <w:jc w:val="center"/>
            </w:pPr>
            <w:r>
              <w:rPr>
                <w:rFonts w:ascii="Arial" w:hAnsi="Arial"/>
                <w:b/>
                <w:color w:val="FFFFFF"/>
                <w:sz w:val="15"/>
              </w:rPr>
              <w:t>Prompt</w:t>
            </w:r>
          </w:p>
        </w:tc>
        <w:tc>
          <w:tcPr>
            <w:tcW w:type="dxa" w:w="5141"/>
            <w:shd w:fill="17365D"/>
            <w:vAlign w:val="center"/>
            <w:tcMar>
              <w:top w:w="70" w:type="dxa"/>
              <w:start w:w="75" w:type="dxa"/>
              <w:bottom w:w="70" w:type="dxa"/>
              <w:end w:w="75" w:type="dxa"/>
            </w:tcMar>
          </w:tcPr>
          <w:p>
            <w:pPr>
              <w:jc w:val="center"/>
            </w:pPr>
            <w:r>
              <w:rPr>
                <w:rFonts w:ascii="Arial" w:hAnsi="Arial"/>
                <w:b/>
                <w:color w:val="FFFFFF"/>
                <w:sz w:val="15"/>
              </w:rPr>
              <w:t>My Notes</w:t>
            </w:r>
          </w:p>
        </w:tc>
      </w:tr>
      <w:tr>
        <w:tc>
          <w:tcPr>
            <w:tcW w:type="dxa" w:w="5141"/>
            <w:tcMar>
              <w:top w:w="55" w:type="dxa"/>
              <w:start w:w="70" w:type="dxa"/>
              <w:bottom w:w="55" w:type="dxa"/>
              <w:end w:w="70" w:type="dxa"/>
            </w:tcMar>
          </w:tcPr>
          <w:p>
            <w:r>
              <w:rPr>
                <w:rFonts w:ascii="Arial" w:hAnsi="Arial"/>
                <w:color w:val="1F2937"/>
                <w:sz w:val="15"/>
              </w:rPr>
              <w:t>Purpose and requestor</w:t>
            </w:r>
          </w:p>
        </w:tc>
        <w:tc>
          <w:tcPr>
            <w:tcW w:type="dxa" w:w="5141"/>
            <w:tcMar>
              <w:top w:w="55" w:type="dxa"/>
              <w:start w:w="70" w:type="dxa"/>
              <w:bottom w:w="55" w:type="dxa"/>
              <w:end w:w="70" w:type="dxa"/>
            </w:tcMar>
          </w:tcPr>
          <w:p>
            <w:r>
              <w:rPr>
                <w:rFonts w:ascii="Arial" w:hAnsi="Arial"/>
                <w:color w:val="1F2937"/>
                <w:sz w:val="15"/>
              </w:rPr>
              <w:t>____________________________________________________________</w:t>
            </w:r>
          </w:p>
        </w:tc>
      </w:tr>
      <w:tr>
        <w:tc>
          <w:tcPr>
            <w:tcW w:type="dxa" w:w="5141"/>
            <w:tcMar>
              <w:top w:w="55" w:type="dxa"/>
              <w:start w:w="70" w:type="dxa"/>
              <w:bottom w:w="55" w:type="dxa"/>
              <w:end w:w="70" w:type="dxa"/>
            </w:tcMar>
            <w:shd w:fill="F8FAFC"/>
          </w:tcPr>
          <w:p>
            <w:r>
              <w:rPr>
                <w:rFonts w:ascii="Arial" w:hAnsi="Arial"/>
                <w:color w:val="1F2937"/>
                <w:sz w:val="15"/>
              </w:rPr>
              <w:t>Client / holder / representative</w:t>
            </w:r>
          </w:p>
        </w:tc>
        <w:tc>
          <w:tcPr>
            <w:tcW w:type="dxa" w:w="5141"/>
            <w:tcMar>
              <w:top w:w="55" w:type="dxa"/>
              <w:start w:w="70" w:type="dxa"/>
              <w:bottom w:w="55" w:type="dxa"/>
              <w:end w:w="70" w:type="dxa"/>
            </w:tcMar>
            <w:shd w:fill="F8FAFC"/>
          </w:tcPr>
          <w:p>
            <w:r>
              <w:rPr>
                <w:rFonts w:ascii="Arial" w:hAnsi="Arial"/>
                <w:color w:val="1F2937"/>
                <w:sz w:val="15"/>
              </w:rPr>
              <w:t>____________________________________________________________</w:t>
            </w:r>
          </w:p>
        </w:tc>
      </w:tr>
      <w:tr>
        <w:tc>
          <w:tcPr>
            <w:tcW w:type="dxa" w:w="5141"/>
            <w:tcMar>
              <w:top w:w="55" w:type="dxa"/>
              <w:start w:w="70" w:type="dxa"/>
              <w:bottom w:w="55" w:type="dxa"/>
              <w:end w:w="70" w:type="dxa"/>
            </w:tcMar>
          </w:tcPr>
          <w:p>
            <w:r>
              <w:rPr>
                <w:rFonts w:ascii="Arial" w:hAnsi="Arial"/>
                <w:color w:val="1F2937"/>
                <w:sz w:val="15"/>
              </w:rPr>
              <w:t>Information type</w:t>
            </w:r>
          </w:p>
        </w:tc>
        <w:tc>
          <w:tcPr>
            <w:tcW w:type="dxa" w:w="5141"/>
            <w:tcMar>
              <w:top w:w="55" w:type="dxa"/>
              <w:start w:w="70" w:type="dxa"/>
              <w:bottom w:w="55" w:type="dxa"/>
              <w:end w:w="70" w:type="dxa"/>
            </w:tcMar>
          </w:tcPr>
          <w:p>
            <w:r>
              <w:rPr>
                <w:rFonts w:ascii="Arial" w:hAnsi="Arial"/>
                <w:color w:val="1F2937"/>
                <w:sz w:val="15"/>
              </w:rPr>
              <w:t>____________________________________________________________</w:t>
            </w:r>
          </w:p>
        </w:tc>
      </w:tr>
      <w:tr>
        <w:tc>
          <w:tcPr>
            <w:tcW w:type="dxa" w:w="5141"/>
            <w:tcMar>
              <w:top w:w="55" w:type="dxa"/>
              <w:start w:w="70" w:type="dxa"/>
              <w:bottom w:w="55" w:type="dxa"/>
              <w:end w:w="70" w:type="dxa"/>
            </w:tcMar>
            <w:shd w:fill="F8FAFC"/>
          </w:tcPr>
          <w:p>
            <w:r>
              <w:rPr>
                <w:rFonts w:ascii="Arial" w:hAnsi="Arial"/>
                <w:color w:val="1F2937"/>
                <w:sz w:val="15"/>
              </w:rPr>
              <w:t>Valid authority or exception</w:t>
            </w:r>
          </w:p>
        </w:tc>
        <w:tc>
          <w:tcPr>
            <w:tcW w:type="dxa" w:w="5141"/>
            <w:tcMar>
              <w:top w:w="55" w:type="dxa"/>
              <w:start w:w="70" w:type="dxa"/>
              <w:bottom w:w="55" w:type="dxa"/>
              <w:end w:w="70" w:type="dxa"/>
            </w:tcMar>
            <w:shd w:fill="F8FAFC"/>
          </w:tcPr>
          <w:p>
            <w:r>
              <w:rPr>
                <w:rFonts w:ascii="Arial" w:hAnsi="Arial"/>
                <w:color w:val="1F2937"/>
                <w:sz w:val="15"/>
              </w:rPr>
              <w:t>____________________________________________________________</w:t>
            </w:r>
          </w:p>
        </w:tc>
      </w:tr>
      <w:tr>
        <w:tc>
          <w:tcPr>
            <w:tcW w:type="dxa" w:w="5141"/>
            <w:tcMar>
              <w:top w:w="55" w:type="dxa"/>
              <w:start w:w="70" w:type="dxa"/>
              <w:bottom w:w="55" w:type="dxa"/>
              <w:end w:w="70" w:type="dxa"/>
            </w:tcMar>
          </w:tcPr>
          <w:p>
            <w:r>
              <w:rPr>
                <w:rFonts w:ascii="Arial" w:hAnsi="Arial"/>
                <w:color w:val="1F2937"/>
                <w:sz w:val="15"/>
              </w:rPr>
              <w:t>Minimum necessary and secure channel</w:t>
            </w:r>
          </w:p>
        </w:tc>
        <w:tc>
          <w:tcPr>
            <w:tcW w:type="dxa" w:w="5141"/>
            <w:tcMar>
              <w:top w:w="55" w:type="dxa"/>
              <w:start w:w="70" w:type="dxa"/>
              <w:bottom w:w="55" w:type="dxa"/>
              <w:end w:w="70" w:type="dxa"/>
            </w:tcMar>
          </w:tcPr>
          <w:p>
            <w:r>
              <w:rPr>
                <w:rFonts w:ascii="Arial" w:hAnsi="Arial"/>
                <w:color w:val="1F2937"/>
                <w:sz w:val="15"/>
              </w:rPr>
              <w:t>____________________________________________________________</w:t>
            </w:r>
          </w:p>
        </w:tc>
      </w:tr>
      <w:tr>
        <w:tc>
          <w:tcPr>
            <w:tcW w:type="dxa" w:w="5141"/>
            <w:tcMar>
              <w:top w:w="55" w:type="dxa"/>
              <w:start w:w="70" w:type="dxa"/>
              <w:bottom w:w="55" w:type="dxa"/>
              <w:end w:w="70" w:type="dxa"/>
            </w:tcMar>
            <w:shd w:fill="F8FAFC"/>
          </w:tcPr>
          <w:p>
            <w:r>
              <w:rPr>
                <w:rFonts w:ascii="Arial" w:hAnsi="Arial"/>
                <w:color w:val="1F2937"/>
                <w:sz w:val="15"/>
              </w:rPr>
              <w:t>Response deadline, documentation, follow-up</w:t>
            </w:r>
          </w:p>
        </w:tc>
        <w:tc>
          <w:tcPr>
            <w:tcW w:type="dxa" w:w="5141"/>
            <w:tcMar>
              <w:top w:w="55" w:type="dxa"/>
              <w:start w:w="70" w:type="dxa"/>
              <w:bottom w:w="55" w:type="dxa"/>
              <w:end w:w="70" w:type="dxa"/>
            </w:tcMar>
            <w:shd w:fill="F8FAFC"/>
          </w:tcPr>
          <w:p>
            <w:r>
              <w:rPr>
                <w:rFonts w:ascii="Arial" w:hAnsi="Arial"/>
                <w:color w:val="1F2937"/>
                <w:sz w:val="15"/>
              </w:rPr>
              <w:t>____________________________________________________________</w:t>
            </w:r>
          </w:p>
        </w:tc>
      </w:tr>
    </w:tbl>
    <w:p>
      <w:pPr>
        <w:spacing w:after="0"/>
      </w:pPr>
    </w:p>
    <w:tbl>
      <w:tblPr>
        <w:tblW w:type="auto" w:w="0"/>
        <w:jc w:val="center"/>
        <w:tblLook w:firstColumn="1" w:firstRow="1" w:lastColumn="0" w:lastRow="0" w:noHBand="0" w:noVBand="1" w:val="04A0"/>
      </w:tblPr>
      <w:tblGrid>
        <w:gridCol w:w="10282"/>
      </w:tblGrid>
      <w:tr>
        <w:tc>
          <w:tcPr>
            <w:tcW w:type="dxa" w:w="10282"/>
            <w:shd w:fill="E8F4F4"/>
            <w:tcBorders>
              <w:top w:val="single" w:sz="8" w:color="159C9C"/>
              <w:left w:val="single" w:sz="8" w:color="159C9C"/>
              <w:bottom w:val="single" w:sz="8" w:color="159C9C"/>
              <w:right w:val="single" w:sz="8" w:color="159C9C"/>
            </w:tcBorders>
            <w:tcMar>
              <w:top w:w="90" w:type="dxa"/>
              <w:start w:w="120" w:type="dxa"/>
              <w:bottom w:w="90" w:type="dxa"/>
              <w:end w:w="120" w:type="dxa"/>
            </w:tcMar>
          </w:tcPr>
          <w:p>
            <w:pPr>
              <w:spacing w:after="40"/>
            </w:pPr>
            <w:r>
              <w:rPr>
                <w:rFonts w:ascii="Arial" w:hAnsi="Arial"/>
                <w:b/>
                <w:color w:val="17365D"/>
                <w:sz w:val="19"/>
              </w:rPr>
              <w:t>CLINICAL TAKEAWAY</w:t>
            </w:r>
          </w:p>
          <w:p>
            <w:pPr>
              <w:spacing w:after="0"/>
            </w:pPr>
            <w:r>
              <w:rPr>
                <w:rFonts w:ascii="Arial" w:hAnsi="Arial"/>
                <w:color w:val="1F2937"/>
                <w:sz w:val="18"/>
              </w:rPr>
              <w:t>Before releasing, withholding, or denying access, identify the right and the holder. Then choose the narrowest lawful response and document both the decision and the completion of the request.</w:t>
            </w:r>
          </w:p>
        </w:tc>
      </w:tr>
    </w:tbl>
    <w:p>
      <w:pPr>
        <w:spacing w:after="0"/>
      </w:pPr>
    </w:p>
    <w:p>
      <w:pPr>
        <w:pStyle w:val="ListBullet"/>
        <w:spacing w:after="36"/>
      </w:pPr>
      <w:r>
        <w:t>Explain confidentiality limits before treatment.</w:t>
      </w:r>
    </w:p>
    <w:p>
      <w:pPr>
        <w:pStyle w:val="ListBullet"/>
        <w:spacing w:after="36"/>
      </w:pPr>
      <w:r>
        <w:t>Privilege belongs to the holder, not automatically to the counselor.</w:t>
      </w:r>
    </w:p>
    <w:p>
      <w:pPr>
        <w:pStyle w:val="ListBullet"/>
        <w:spacing w:after="36"/>
      </w:pPr>
      <w:r>
        <w:t>Verify releases and identities.</w:t>
      </w:r>
    </w:p>
    <w:p>
      <w:pPr>
        <w:pStyle w:val="ListBullet"/>
        <w:spacing w:after="36"/>
      </w:pPr>
      <w:r>
        <w:t>Use minimum necessary information.</w:t>
      </w:r>
    </w:p>
    <w:p>
      <w:pPr>
        <w:pStyle w:val="ListBullet"/>
        <w:spacing w:after="36"/>
      </w:pPr>
      <w:r>
        <w:t>Preserve record integrity and meet access timelines.</w:t>
      </w:r>
    </w:p>
    <w:p>
      <w:r>
        <w:br w:type="page"/>
      </w:r>
    </w:p>
    <w:tbl>
      <w:tblPr>
        <w:tblW w:type="auto" w:w="0"/>
        <w:jc w:val="center"/>
        <w:tblLook w:firstColumn="1" w:firstRow="1" w:lastColumn="0" w:lastRow="0" w:noHBand="0" w:noVBand="1" w:val="04A0"/>
      </w:tblPr>
      <w:tblGrid>
        <w:gridCol w:w="10282"/>
      </w:tblGrid>
      <w:tr>
        <w:tc>
          <w:tcPr>
            <w:tcW w:type="dxa" w:w="10282"/>
            <w:shd w:fill="17365D"/>
            <w:tcBorders>
              <w:top w:val="single" w:sz="4" w:color="17365D"/>
              <w:left w:val="single" w:sz="4" w:color="17365D"/>
              <w:bottom w:val="single" w:sz="4" w:color="17365D"/>
              <w:right w:val="single" w:sz="4" w:color="17365D"/>
            </w:tcBorders>
            <w:tcMar>
              <w:top w:w="120" w:type="dxa"/>
              <w:start w:w="140" w:type="dxa"/>
              <w:bottom w:w="120" w:type="dxa"/>
              <w:end w:w="140" w:type="dxa"/>
            </w:tcMar>
          </w:tcPr>
          <w:p>
            <w:pPr>
              <w:jc w:val="center"/>
            </w:pPr>
            <w:r>
              <w:rPr>
                <w:rFonts w:ascii="Arial" w:hAnsi="Arial"/>
                <w:b/>
                <w:color w:val="159C9C"/>
                <w:sz w:val="20"/>
              </w:rPr>
              <w:t>CHAPTER 3</w:t>
            </w:r>
          </w:p>
          <w:p>
            <w:pPr>
              <w:jc w:val="center"/>
            </w:pPr>
            <w:r>
              <w:rPr>
                <w:rFonts w:ascii="Arial" w:hAnsi="Arial"/>
                <w:b/>
                <w:color w:val="FFFFFF"/>
                <w:sz w:val="34"/>
              </w:rPr>
              <w:t>Mandated Duties, Third Parties, Subpoenas, and Court Involvement</w:t>
            </w:r>
          </w:p>
        </w:tc>
      </w:tr>
      <w:tr>
        <w:tc>
          <w:tcPr>
            <w:tcW w:type="dxa" w:w="10282"/>
            <w:shd w:fill="E8F4F4"/>
            <w:tcBorders>
              <w:top w:val="single" w:sz="4" w:color="17365D"/>
              <w:left w:val="single" w:sz="4" w:color="17365D"/>
              <w:bottom w:val="single" w:sz="4" w:color="17365D"/>
              <w:right w:val="single" w:sz="4" w:color="17365D"/>
            </w:tcBorders>
            <w:tcMar>
              <w:top w:w="120" w:type="dxa"/>
              <w:start w:w="140" w:type="dxa"/>
              <w:bottom w:w="120" w:type="dxa"/>
              <w:end w:w="140" w:type="dxa"/>
            </w:tcMar>
          </w:tcPr>
          <w:p>
            <w:r>
              <w:rPr>
                <w:rFonts w:ascii="Arial" w:hAnsi="Arial"/>
                <w:b/>
                <w:color w:val="17365D"/>
                <w:sz w:val="18"/>
              </w:rPr>
              <w:t xml:space="preserve">BIG IDEA  </w:t>
            </w:r>
            <w:r>
              <w:rPr>
                <w:rFonts w:ascii="Arial" w:hAnsi="Arial"/>
                <w:color w:val="1F2937"/>
                <w:sz w:val="18"/>
              </w:rPr>
              <w:t>A request for information is not the same as legal authority, and a legal duty is not satisfied by internal discussion alone.</w:t>
            </w:r>
          </w:p>
        </w:tc>
      </w:tr>
    </w:tbl>
    <w:p>
      <w:pPr>
        <w:spacing w:after="0"/>
      </w:pPr>
    </w:p>
    <w:p>
      <w:pPr>
        <w:spacing w:after="100"/>
      </w:pPr>
      <w:r>
        <w:rPr>
          <w:rFonts w:ascii="Arial" w:hAnsi="Arial"/>
          <w:b w:val="0"/>
          <w:i w:val="0"/>
          <w:color w:val="1F2937"/>
          <w:sz w:val="19"/>
        </w:rPr>
        <w:t>The exam distinguishes between mandatory reporting, permitted disclosure, duty to protect, ordinary coordination, subpoenas, court orders, and forensic roles. The first task is to identify the trigger and the deadline. Then act through the correct recipient, document the response, and continue clinically appropriate care.</w:t>
      </w:r>
    </w:p>
    <w:p>
      <w:pPr>
        <w:pStyle w:val="Heading2"/>
        <w:keepNext/>
      </w:pPr>
      <w:r>
        <w:t>The TRIGGER Duty-Response Tool</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7365D"/>
            <w:vAlign w:val="center"/>
            <w:tcMar>
              <w:top w:w="70" w:type="dxa"/>
              <w:start w:w="75" w:type="dxa"/>
              <w:bottom w:w="70" w:type="dxa"/>
              <w:end w:w="75" w:type="dxa"/>
            </w:tcMar>
          </w:tcPr>
          <w:p>
            <w:pPr>
              <w:jc w:val="center"/>
            </w:pPr>
            <w:r>
              <w:rPr>
                <w:rFonts w:ascii="Arial" w:hAnsi="Arial"/>
                <w:b/>
                <w:color w:val="FFFFFF"/>
                <w:sz w:val="15"/>
              </w:rPr>
              <w:t>Step</w:t>
            </w:r>
          </w:p>
        </w:tc>
        <w:tc>
          <w:tcPr>
            <w:tcW w:type="dxa" w:w="5141"/>
            <w:shd w:fill="17365D"/>
            <w:vAlign w:val="center"/>
            <w:tcMar>
              <w:top w:w="70" w:type="dxa"/>
              <w:start w:w="75" w:type="dxa"/>
              <w:bottom w:w="70" w:type="dxa"/>
              <w:end w:w="75" w:type="dxa"/>
            </w:tcMar>
          </w:tcPr>
          <w:p>
            <w:pPr>
              <w:jc w:val="center"/>
            </w:pPr>
            <w:r>
              <w:rPr>
                <w:rFonts w:ascii="Arial" w:hAnsi="Arial"/>
                <w:b/>
                <w:color w:val="FFFFFF"/>
                <w:sz w:val="15"/>
              </w:rPr>
              <w:t>Question to Ask</w:t>
            </w:r>
          </w:p>
        </w:tc>
      </w:tr>
      <w:tr>
        <w:tc>
          <w:tcPr>
            <w:tcW w:type="dxa" w:w="5141"/>
            <w:tcMar>
              <w:top w:w="55" w:type="dxa"/>
              <w:start w:w="70" w:type="dxa"/>
              <w:bottom w:w="55" w:type="dxa"/>
              <w:end w:w="70" w:type="dxa"/>
            </w:tcMar>
          </w:tcPr>
          <w:p>
            <w:r>
              <w:rPr>
                <w:rFonts w:ascii="Arial" w:hAnsi="Arial"/>
                <w:color w:val="1F2937"/>
                <w:sz w:val="15"/>
              </w:rPr>
              <w:t>T - Type of concern</w:t>
            </w:r>
          </w:p>
        </w:tc>
        <w:tc>
          <w:tcPr>
            <w:tcW w:type="dxa" w:w="5141"/>
            <w:tcMar>
              <w:top w:w="55" w:type="dxa"/>
              <w:start w:w="70" w:type="dxa"/>
              <w:bottom w:w="55" w:type="dxa"/>
              <w:end w:w="70" w:type="dxa"/>
            </w:tcMar>
          </w:tcPr>
          <w:p>
            <w:r>
              <w:rPr>
                <w:rFonts w:ascii="Arial" w:hAnsi="Arial"/>
                <w:color w:val="1F2937"/>
                <w:sz w:val="15"/>
              </w:rPr>
              <w:t>Is this child abuse, elder/dependent-adult abuse, threatened violence, serious danger, legal process, or an ordinary third-party request?</w:t>
            </w:r>
          </w:p>
        </w:tc>
      </w:tr>
      <w:tr>
        <w:tc>
          <w:tcPr>
            <w:tcW w:type="dxa" w:w="5141"/>
            <w:tcMar>
              <w:top w:w="55" w:type="dxa"/>
              <w:start w:w="70" w:type="dxa"/>
              <w:bottom w:w="55" w:type="dxa"/>
              <w:end w:w="70" w:type="dxa"/>
            </w:tcMar>
            <w:shd w:fill="F8FAFC"/>
          </w:tcPr>
          <w:p>
            <w:r>
              <w:rPr>
                <w:rFonts w:ascii="Arial" w:hAnsi="Arial"/>
                <w:color w:val="1F2937"/>
                <w:sz w:val="15"/>
              </w:rPr>
              <w:t>R - Required threshold</w:t>
            </w:r>
          </w:p>
        </w:tc>
        <w:tc>
          <w:tcPr>
            <w:tcW w:type="dxa" w:w="5141"/>
            <w:tcMar>
              <w:top w:w="55" w:type="dxa"/>
              <w:start w:w="70" w:type="dxa"/>
              <w:bottom w:w="55" w:type="dxa"/>
              <w:end w:w="70" w:type="dxa"/>
            </w:tcMar>
            <w:shd w:fill="F8FAFC"/>
          </w:tcPr>
          <w:p>
            <w:r>
              <w:rPr>
                <w:rFonts w:ascii="Arial" w:hAnsi="Arial"/>
                <w:color w:val="1F2937"/>
                <w:sz w:val="15"/>
              </w:rPr>
              <w:t>What facts satisfy the applicable legal or clinical threshold? Do not demand certainty when reasonable suspicion is enough.</w:t>
            </w:r>
          </w:p>
        </w:tc>
      </w:tr>
      <w:tr>
        <w:tc>
          <w:tcPr>
            <w:tcW w:type="dxa" w:w="5141"/>
            <w:tcMar>
              <w:top w:w="55" w:type="dxa"/>
              <w:start w:w="70" w:type="dxa"/>
              <w:bottom w:w="55" w:type="dxa"/>
              <w:end w:w="70" w:type="dxa"/>
            </w:tcMar>
          </w:tcPr>
          <w:p>
            <w:r>
              <w:rPr>
                <w:rFonts w:ascii="Arial" w:hAnsi="Arial"/>
                <w:color w:val="1F2937"/>
                <w:sz w:val="15"/>
              </w:rPr>
              <w:t>I - Immediacy</w:t>
            </w:r>
          </w:p>
        </w:tc>
        <w:tc>
          <w:tcPr>
            <w:tcW w:type="dxa" w:w="5141"/>
            <w:tcMar>
              <w:top w:w="55" w:type="dxa"/>
              <w:start w:w="70" w:type="dxa"/>
              <w:bottom w:w="55" w:type="dxa"/>
              <w:end w:w="70" w:type="dxa"/>
            </w:tcMar>
          </w:tcPr>
          <w:p>
            <w:r>
              <w:rPr>
                <w:rFonts w:ascii="Arial" w:hAnsi="Arial"/>
                <w:color w:val="1F2937"/>
                <w:sz w:val="15"/>
              </w:rPr>
              <w:t>What must happen now, and what deadline applies to follow-up documentation or written reporting?</w:t>
            </w:r>
          </w:p>
        </w:tc>
      </w:tr>
      <w:tr>
        <w:tc>
          <w:tcPr>
            <w:tcW w:type="dxa" w:w="5141"/>
            <w:tcMar>
              <w:top w:w="55" w:type="dxa"/>
              <w:start w:w="70" w:type="dxa"/>
              <w:bottom w:w="55" w:type="dxa"/>
              <w:end w:w="70" w:type="dxa"/>
            </w:tcMar>
            <w:shd w:fill="F8FAFC"/>
          </w:tcPr>
          <w:p>
            <w:r>
              <w:rPr>
                <w:rFonts w:ascii="Arial" w:hAnsi="Arial"/>
                <w:color w:val="1F2937"/>
                <w:sz w:val="15"/>
              </w:rPr>
              <w:t>G - Governing recipient</w:t>
            </w:r>
          </w:p>
        </w:tc>
        <w:tc>
          <w:tcPr>
            <w:tcW w:type="dxa" w:w="5141"/>
            <w:tcMar>
              <w:top w:w="55" w:type="dxa"/>
              <w:start w:w="70" w:type="dxa"/>
              <w:bottom w:w="55" w:type="dxa"/>
              <w:end w:w="70" w:type="dxa"/>
            </w:tcMar>
            <w:shd w:fill="F8FAFC"/>
          </w:tcPr>
          <w:p>
            <w:r>
              <w:rPr>
                <w:rFonts w:ascii="Arial" w:hAnsi="Arial"/>
                <w:color w:val="1F2937"/>
                <w:sz w:val="15"/>
              </w:rPr>
              <w:t>Which agency, victim, law-enforcement body, court, attorney, or authorized party is legally relevant?</w:t>
            </w:r>
          </w:p>
        </w:tc>
      </w:tr>
      <w:tr>
        <w:tc>
          <w:tcPr>
            <w:tcW w:type="dxa" w:w="5141"/>
            <w:tcMar>
              <w:top w:w="55" w:type="dxa"/>
              <w:start w:w="70" w:type="dxa"/>
              <w:bottom w:w="55" w:type="dxa"/>
              <w:end w:w="70" w:type="dxa"/>
            </w:tcMar>
          </w:tcPr>
          <w:p>
            <w:r>
              <w:rPr>
                <w:rFonts w:ascii="Arial" w:hAnsi="Arial"/>
                <w:color w:val="1F2937"/>
                <w:sz w:val="15"/>
              </w:rPr>
              <w:t>G - Gather only necessary facts</w:t>
            </w:r>
          </w:p>
        </w:tc>
        <w:tc>
          <w:tcPr>
            <w:tcW w:type="dxa" w:w="5141"/>
            <w:tcMar>
              <w:top w:w="55" w:type="dxa"/>
              <w:start w:w="70" w:type="dxa"/>
              <w:bottom w:w="55" w:type="dxa"/>
              <w:end w:w="70" w:type="dxa"/>
            </w:tcMar>
          </w:tcPr>
          <w:p>
            <w:r>
              <w:rPr>
                <w:rFonts w:ascii="Arial" w:hAnsi="Arial"/>
                <w:color w:val="1F2937"/>
                <w:sz w:val="15"/>
              </w:rPr>
              <w:t>Clarify enough to act; do not conduct an investigation that delays a required report.</w:t>
            </w:r>
          </w:p>
        </w:tc>
      </w:tr>
      <w:tr>
        <w:tc>
          <w:tcPr>
            <w:tcW w:type="dxa" w:w="5141"/>
            <w:tcMar>
              <w:top w:w="55" w:type="dxa"/>
              <w:start w:w="70" w:type="dxa"/>
              <w:bottom w:w="55" w:type="dxa"/>
              <w:end w:w="70" w:type="dxa"/>
            </w:tcMar>
            <w:shd w:fill="F8FAFC"/>
          </w:tcPr>
          <w:p>
            <w:r>
              <w:rPr>
                <w:rFonts w:ascii="Arial" w:hAnsi="Arial"/>
                <w:color w:val="1F2937"/>
                <w:sz w:val="15"/>
              </w:rPr>
              <w:t>E - Execute and document</w:t>
            </w:r>
          </w:p>
        </w:tc>
        <w:tc>
          <w:tcPr>
            <w:tcW w:type="dxa" w:w="5141"/>
            <w:tcMar>
              <w:top w:w="55" w:type="dxa"/>
              <w:start w:w="70" w:type="dxa"/>
              <w:bottom w:w="55" w:type="dxa"/>
              <w:end w:w="70" w:type="dxa"/>
            </w:tcMar>
            <w:shd w:fill="F8FAFC"/>
          </w:tcPr>
          <w:p>
            <w:r>
              <w:rPr>
                <w:rFonts w:ascii="Arial" w:hAnsi="Arial"/>
                <w:color w:val="1F2937"/>
                <w:sz w:val="15"/>
              </w:rPr>
              <w:t>Complete the required communication/report, preserve evidence, document facts and actions, and consult as appropriate.</w:t>
            </w:r>
          </w:p>
        </w:tc>
      </w:tr>
      <w:tr>
        <w:tc>
          <w:tcPr>
            <w:tcW w:type="dxa" w:w="5141"/>
            <w:tcMar>
              <w:top w:w="55" w:type="dxa"/>
              <w:start w:w="70" w:type="dxa"/>
              <w:bottom w:w="55" w:type="dxa"/>
              <w:end w:w="70" w:type="dxa"/>
            </w:tcMar>
          </w:tcPr>
          <w:p>
            <w:r>
              <w:rPr>
                <w:rFonts w:ascii="Arial" w:hAnsi="Arial"/>
                <w:color w:val="1F2937"/>
                <w:sz w:val="15"/>
              </w:rPr>
              <w:t>R - Review safety and continuity</w:t>
            </w:r>
          </w:p>
        </w:tc>
        <w:tc>
          <w:tcPr>
            <w:tcW w:type="dxa" w:w="5141"/>
            <w:tcMar>
              <w:top w:w="55" w:type="dxa"/>
              <w:start w:w="70" w:type="dxa"/>
              <w:bottom w:w="55" w:type="dxa"/>
              <w:end w:w="70" w:type="dxa"/>
            </w:tcMar>
          </w:tcPr>
          <w:p>
            <w:r>
              <w:rPr>
                <w:rFonts w:ascii="Arial" w:hAnsi="Arial"/>
                <w:color w:val="1F2937"/>
                <w:sz w:val="15"/>
              </w:rPr>
              <w:t>Address immediate safety, therapeutic response, notification effects, and follow-up care.</w:t>
            </w:r>
          </w:p>
        </w:tc>
      </w:tr>
    </w:tbl>
    <w:p>
      <w:pPr>
        <w:spacing w:after="0"/>
      </w:pPr>
    </w:p>
    <w:p>
      <w:pPr>
        <w:pStyle w:val="Heading2"/>
        <w:keepNext/>
      </w:pPr>
      <w:r>
        <w:t>High-Yield Trigger Distinctions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7365D"/>
            <w:vAlign w:val="center"/>
            <w:tcMar>
              <w:top w:w="70" w:type="dxa"/>
              <w:start w:w="75" w:type="dxa"/>
              <w:bottom w:w="70" w:type="dxa"/>
              <w:end w:w="75" w:type="dxa"/>
            </w:tcMar>
          </w:tcPr>
          <w:p>
            <w:pPr>
              <w:jc w:val="center"/>
            </w:pPr>
            <w:r>
              <w:rPr>
                <w:rFonts w:ascii="Arial" w:hAnsi="Arial"/>
                <w:b/>
                <w:color w:val="FFFFFF"/>
                <w:sz w:val="14"/>
              </w:rPr>
              <w:t>Situation</w:t>
            </w:r>
          </w:p>
        </w:tc>
        <w:tc>
          <w:tcPr>
            <w:tcW w:type="dxa" w:w="5141"/>
            <w:shd w:fill="17365D"/>
            <w:vAlign w:val="center"/>
            <w:tcMar>
              <w:top w:w="70" w:type="dxa"/>
              <w:start w:w="75" w:type="dxa"/>
              <w:bottom w:w="70" w:type="dxa"/>
              <w:end w:w="75" w:type="dxa"/>
            </w:tcMar>
          </w:tcPr>
          <w:p>
            <w:pPr>
              <w:jc w:val="center"/>
            </w:pPr>
            <w:r>
              <w:rPr>
                <w:rFonts w:ascii="Arial" w:hAnsi="Arial"/>
                <w:b/>
                <w:color w:val="FFFFFF"/>
                <w:sz w:val="14"/>
              </w:rPr>
              <w:t>Best Initial Frame</w:t>
            </w:r>
          </w:p>
        </w:tc>
      </w:tr>
      <w:tr>
        <w:tc>
          <w:tcPr>
            <w:tcW w:type="dxa" w:w="5141"/>
            <w:tcMar>
              <w:top w:w="55" w:type="dxa"/>
              <w:start w:w="70" w:type="dxa"/>
              <w:bottom w:w="55" w:type="dxa"/>
              <w:end w:w="70" w:type="dxa"/>
            </w:tcMar>
          </w:tcPr>
          <w:p>
            <w:r>
              <w:rPr>
                <w:rFonts w:ascii="Arial" w:hAnsi="Arial"/>
                <w:color w:val="1F2937"/>
                <w:sz w:val="14"/>
              </w:rPr>
              <w:t>Suspected child abuse or neglect</w:t>
            </w:r>
          </w:p>
        </w:tc>
        <w:tc>
          <w:tcPr>
            <w:tcW w:type="dxa" w:w="5141"/>
            <w:tcMar>
              <w:top w:w="55" w:type="dxa"/>
              <w:start w:w="70" w:type="dxa"/>
              <w:bottom w:w="55" w:type="dxa"/>
              <w:end w:w="70" w:type="dxa"/>
            </w:tcMar>
          </w:tcPr>
          <w:p>
            <w:r>
              <w:rPr>
                <w:rFonts w:ascii="Arial" w:hAnsi="Arial"/>
                <w:color w:val="1F2937"/>
                <w:sz w:val="14"/>
              </w:rPr>
              <w:t>Reasonable suspicion triggers the individual reporting duty; internal notification is not a substitute.</w:t>
            </w:r>
          </w:p>
        </w:tc>
      </w:tr>
      <w:tr>
        <w:tc>
          <w:tcPr>
            <w:tcW w:type="dxa" w:w="5141"/>
            <w:tcMar>
              <w:top w:w="55" w:type="dxa"/>
              <w:start w:w="70" w:type="dxa"/>
              <w:bottom w:w="55" w:type="dxa"/>
              <w:end w:w="70" w:type="dxa"/>
            </w:tcMar>
            <w:shd w:fill="F8FAFC"/>
          </w:tcPr>
          <w:p>
            <w:r>
              <w:rPr>
                <w:rFonts w:ascii="Arial" w:hAnsi="Arial"/>
                <w:color w:val="1F2937"/>
                <w:sz w:val="14"/>
              </w:rPr>
              <w:t>Suspected elder or dependent-adult abuse</w:t>
            </w:r>
          </w:p>
        </w:tc>
        <w:tc>
          <w:tcPr>
            <w:tcW w:type="dxa" w:w="5141"/>
            <w:tcMar>
              <w:top w:w="55" w:type="dxa"/>
              <w:start w:w="70" w:type="dxa"/>
              <w:bottom w:w="55" w:type="dxa"/>
              <w:end w:w="70" w:type="dxa"/>
            </w:tcMar>
            <w:shd w:fill="F8FAFC"/>
          </w:tcPr>
          <w:p>
            <w:r>
              <w:rPr>
                <w:rFonts w:ascii="Arial" w:hAnsi="Arial"/>
                <w:color w:val="1F2937"/>
                <w:sz w:val="14"/>
              </w:rPr>
              <w:t>Identify whether the counselor is a mandated reporter, the abuse type, setting, recipient, and timing requirements.</w:t>
            </w:r>
          </w:p>
        </w:tc>
      </w:tr>
      <w:tr>
        <w:tc>
          <w:tcPr>
            <w:tcW w:type="dxa" w:w="5141"/>
            <w:tcMar>
              <w:top w:w="55" w:type="dxa"/>
              <w:start w:w="70" w:type="dxa"/>
              <w:bottom w:w="55" w:type="dxa"/>
              <w:end w:w="70" w:type="dxa"/>
            </w:tcMar>
          </w:tcPr>
          <w:p>
            <w:r>
              <w:rPr>
                <w:rFonts w:ascii="Arial" w:hAnsi="Arial"/>
                <w:color w:val="1F2937"/>
                <w:sz w:val="14"/>
              </w:rPr>
              <w:t>Serious threat against an identifiable victim</w:t>
            </w:r>
          </w:p>
        </w:tc>
        <w:tc>
          <w:tcPr>
            <w:tcW w:type="dxa" w:w="5141"/>
            <w:tcMar>
              <w:top w:w="55" w:type="dxa"/>
              <w:start w:w="70" w:type="dxa"/>
              <w:bottom w:w="55" w:type="dxa"/>
              <w:end w:w="70" w:type="dxa"/>
            </w:tcMar>
          </w:tcPr>
          <w:p>
            <w:r>
              <w:rPr>
                <w:rFonts w:ascii="Arial" w:hAnsi="Arial"/>
                <w:color w:val="1F2937"/>
                <w:sz w:val="14"/>
              </w:rPr>
              <w:t>Assess the communicated threat and apply California duty-to-protect requirements; consultation should not delay necessary protective action.</w:t>
            </w:r>
          </w:p>
        </w:tc>
      </w:tr>
      <w:tr>
        <w:tc>
          <w:tcPr>
            <w:tcW w:type="dxa" w:w="5141"/>
            <w:tcMar>
              <w:top w:w="55" w:type="dxa"/>
              <w:start w:w="70" w:type="dxa"/>
              <w:bottom w:w="55" w:type="dxa"/>
              <w:end w:w="70" w:type="dxa"/>
            </w:tcMar>
            <w:shd w:fill="F8FAFC"/>
          </w:tcPr>
          <w:p>
            <w:r>
              <w:rPr>
                <w:rFonts w:ascii="Arial" w:hAnsi="Arial"/>
                <w:color w:val="1F2937"/>
                <w:sz w:val="14"/>
              </w:rPr>
              <w:t>Ordinary third-party request</w:t>
            </w:r>
          </w:p>
        </w:tc>
        <w:tc>
          <w:tcPr>
            <w:tcW w:type="dxa" w:w="5141"/>
            <w:tcMar>
              <w:top w:w="55" w:type="dxa"/>
              <w:start w:w="70" w:type="dxa"/>
              <w:bottom w:w="55" w:type="dxa"/>
              <w:end w:w="70" w:type="dxa"/>
            </w:tcMar>
            <w:shd w:fill="F8FAFC"/>
          </w:tcPr>
          <w:p>
            <w:r>
              <w:rPr>
                <w:rFonts w:ascii="Arial" w:hAnsi="Arial"/>
                <w:color w:val="1F2937"/>
                <w:sz w:val="14"/>
              </w:rPr>
              <w:t>Obtain valid authorization or identify another lawful basis before disclosure.</w:t>
            </w:r>
          </w:p>
        </w:tc>
      </w:tr>
      <w:tr>
        <w:tc>
          <w:tcPr>
            <w:tcW w:type="dxa" w:w="5141"/>
            <w:tcMar>
              <w:top w:w="55" w:type="dxa"/>
              <w:start w:w="70" w:type="dxa"/>
              <w:bottom w:w="55" w:type="dxa"/>
              <w:end w:w="70" w:type="dxa"/>
            </w:tcMar>
          </w:tcPr>
          <w:p>
            <w:r>
              <w:rPr>
                <w:rFonts w:ascii="Arial" w:hAnsi="Arial"/>
                <w:color w:val="1F2937"/>
                <w:sz w:val="14"/>
              </w:rPr>
              <w:t>Attorney subpoena</w:t>
            </w:r>
          </w:p>
        </w:tc>
        <w:tc>
          <w:tcPr>
            <w:tcW w:type="dxa" w:w="5141"/>
            <w:tcMar>
              <w:top w:w="55" w:type="dxa"/>
              <w:start w:w="70" w:type="dxa"/>
              <w:bottom w:w="55" w:type="dxa"/>
              <w:end w:w="70" w:type="dxa"/>
            </w:tcMar>
          </w:tcPr>
          <w:p>
            <w:r>
              <w:rPr>
                <w:rFonts w:ascii="Arial" w:hAnsi="Arial"/>
                <w:color w:val="1F2937"/>
                <w:sz w:val="14"/>
              </w:rPr>
              <w:t>Do not ignore it and do not automatically disclose; protect privilege/confidentiality and obtain qualified guidance.</w:t>
            </w:r>
          </w:p>
        </w:tc>
      </w:tr>
      <w:tr>
        <w:tc>
          <w:tcPr>
            <w:tcW w:type="dxa" w:w="5141"/>
            <w:tcMar>
              <w:top w:w="55" w:type="dxa"/>
              <w:start w:w="70" w:type="dxa"/>
              <w:bottom w:w="55" w:type="dxa"/>
              <w:end w:w="70" w:type="dxa"/>
            </w:tcMar>
            <w:shd w:fill="F8FAFC"/>
          </w:tcPr>
          <w:p>
            <w:r>
              <w:rPr>
                <w:rFonts w:ascii="Arial" w:hAnsi="Arial"/>
                <w:color w:val="1F2937"/>
                <w:sz w:val="14"/>
              </w:rPr>
              <w:t>Court order</w:t>
            </w:r>
          </w:p>
        </w:tc>
        <w:tc>
          <w:tcPr>
            <w:tcW w:type="dxa" w:w="5141"/>
            <w:tcMar>
              <w:top w:w="55" w:type="dxa"/>
              <w:start w:w="70" w:type="dxa"/>
              <w:bottom w:w="55" w:type="dxa"/>
              <w:end w:w="70" w:type="dxa"/>
            </w:tcMar>
            <w:shd w:fill="F8FAFC"/>
          </w:tcPr>
          <w:p>
            <w:r>
              <w:rPr>
                <w:rFonts w:ascii="Arial" w:hAnsi="Arial"/>
                <w:color w:val="1F2937"/>
                <w:sz w:val="14"/>
              </w:rPr>
              <w:t>Read the scope carefully, verify authenticity, respond narrowly, and seek legal guidance when needed.</w:t>
            </w:r>
          </w:p>
        </w:tc>
      </w:tr>
      <w:tr>
        <w:tc>
          <w:tcPr>
            <w:tcW w:type="dxa" w:w="5141"/>
            <w:tcMar>
              <w:top w:w="55" w:type="dxa"/>
              <w:start w:w="70" w:type="dxa"/>
              <w:bottom w:w="55" w:type="dxa"/>
              <w:end w:w="70" w:type="dxa"/>
            </w:tcMar>
          </w:tcPr>
          <w:p>
            <w:r>
              <w:rPr>
                <w:rFonts w:ascii="Arial" w:hAnsi="Arial"/>
                <w:color w:val="1F2937"/>
                <w:sz w:val="14"/>
              </w:rPr>
              <w:t>Forensic request or testimony</w:t>
            </w:r>
          </w:p>
        </w:tc>
        <w:tc>
          <w:tcPr>
            <w:tcW w:type="dxa" w:w="5141"/>
            <w:tcMar>
              <w:top w:w="55" w:type="dxa"/>
              <w:start w:w="70" w:type="dxa"/>
              <w:bottom w:w="55" w:type="dxa"/>
              <w:end w:w="70" w:type="dxa"/>
            </w:tcMar>
          </w:tcPr>
          <w:p>
            <w:r>
              <w:rPr>
                <w:rFonts w:ascii="Arial" w:hAnsi="Arial"/>
                <w:color w:val="1F2937"/>
                <w:sz w:val="14"/>
              </w:rPr>
              <w:t>Clarify role, competence, informed consent, limits, conflicts, and whether the request changes the treatment relationship.</w:t>
            </w:r>
          </w:p>
        </w:tc>
      </w:tr>
    </w:tbl>
    <w:p>
      <w:pPr>
        <w:spacing w:after="0"/>
      </w:pPr>
    </w:p>
    <w:p>
      <w:pPr>
        <w:pStyle w:val="Heading2"/>
        <w:keepNext/>
      </w:pPr>
      <w:r>
        <w:t>Subpoena Does Not Equal Automatic Release</w:t>
      </w:r>
    </w:p>
    <w:p>
      <w:pPr>
        <w:pStyle w:val="ListBullet"/>
        <w:spacing w:after="56"/>
      </w:pPr>
      <w:r>
        <w:t>A subpoena is legal process that requires timely attention, but it may not by itself resolve privilege, confidentiality, authorization, objections, or the permissible scope of disclosure.</w:t>
      </w:r>
    </w:p>
    <w:p>
      <w:pPr>
        <w:pStyle w:val="ListBullet"/>
        <w:spacing w:after="56"/>
      </w:pPr>
      <w:r>
        <w:t>Do not alter, delete, embellish, or create retrospective records after receiving legal process.</w:t>
      </w:r>
    </w:p>
    <w:p>
      <w:pPr>
        <w:pStyle w:val="ListBullet"/>
        <w:spacing w:after="56"/>
      </w:pPr>
      <w:r>
        <w:t>Notify the appropriate record custodian, supervisor, risk manager, or legal counsel according to role and setting. Preserve the original request and document actions taken.</w:t>
      </w:r>
    </w:p>
    <w:p>
      <w:pPr>
        <w:pStyle w:val="ListBullet"/>
        <w:spacing w:after="56"/>
      </w:pPr>
      <w:r>
        <w:t>If disclosure is ultimately authorized or ordered, respond only within the scope of that authority and protect unrelated information.</w:t>
      </w:r>
    </w:p>
    <w:tbl>
      <w:tblPr>
        <w:tblW w:type="auto" w:w="0"/>
        <w:jc w:val="center"/>
        <w:tblLook w:firstColumn="1" w:firstRow="1" w:lastColumn="0" w:lastRow="0" w:noHBand="0" w:noVBand="1" w:val="04A0"/>
      </w:tblPr>
      <w:tblGrid>
        <w:gridCol w:w="10282"/>
      </w:tblGrid>
      <w:tr>
        <w:tc>
          <w:tcPr>
            <w:tcW w:type="dxa" w:w="10282"/>
            <w:shd w:fill="FBE9E7"/>
            <w:tcBorders>
              <w:top w:val="single" w:sz="8" w:color="C94A3A"/>
              <w:left w:val="single" w:sz="8" w:color="C94A3A"/>
              <w:bottom w:val="single" w:sz="8" w:color="C94A3A"/>
              <w:right w:val="single" w:sz="8" w:color="C94A3A"/>
            </w:tcBorders>
            <w:tcMar>
              <w:top w:w="90" w:type="dxa"/>
              <w:start w:w="120" w:type="dxa"/>
              <w:bottom w:w="90" w:type="dxa"/>
              <w:end w:w="120" w:type="dxa"/>
            </w:tcMar>
          </w:tcPr>
          <w:p>
            <w:pPr>
              <w:spacing w:after="40"/>
            </w:pPr>
            <w:r>
              <w:rPr>
                <w:rFonts w:ascii="Arial" w:hAnsi="Arial"/>
                <w:b/>
                <w:color w:val="17365D"/>
                <w:sz w:val="19"/>
              </w:rPr>
              <w:t>COMMON TRAP</w:t>
            </w:r>
          </w:p>
          <w:p>
            <w:pPr>
              <w:spacing w:after="0"/>
            </w:pPr>
            <w:r>
              <w:rPr>
                <w:rFonts w:ascii="Arial" w:hAnsi="Arial"/>
                <w:color w:val="1F2937"/>
                <w:sz w:val="18"/>
              </w:rPr>
              <w:t>Reporting to a supervisor, coworker, school administrator, or agency manager does not substitute for a legally required report to the designated agency. Consultation may occur alongside the report, not instead of it.</w:t>
            </w:r>
          </w:p>
        </w:tc>
      </w:tr>
    </w:tbl>
    <w:p>
      <w:pPr>
        <w:spacing w:after="0"/>
      </w:pPr>
    </w:p>
    <w:p>
      <w:pPr>
        <w:pStyle w:val="Heading2"/>
        <w:keepNext/>
      </w:pPr>
      <w:r>
        <w:t>TRIGGER Practice Worksheet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7365D"/>
            <w:vAlign w:val="center"/>
            <w:tcMar>
              <w:top w:w="70" w:type="dxa"/>
              <w:start w:w="75" w:type="dxa"/>
              <w:bottom w:w="70" w:type="dxa"/>
              <w:end w:w="75" w:type="dxa"/>
            </w:tcMar>
          </w:tcPr>
          <w:p>
            <w:pPr>
              <w:jc w:val="center"/>
            </w:pPr>
            <w:r>
              <w:rPr>
                <w:rFonts w:ascii="Arial" w:hAnsi="Arial"/>
                <w:b/>
                <w:color w:val="FFFFFF"/>
                <w:sz w:val="15"/>
              </w:rPr>
              <w:t>Prompt</w:t>
            </w:r>
          </w:p>
        </w:tc>
        <w:tc>
          <w:tcPr>
            <w:tcW w:type="dxa" w:w="5141"/>
            <w:shd w:fill="17365D"/>
            <w:vAlign w:val="center"/>
            <w:tcMar>
              <w:top w:w="70" w:type="dxa"/>
              <w:start w:w="75" w:type="dxa"/>
              <w:bottom w:w="70" w:type="dxa"/>
              <w:end w:w="75" w:type="dxa"/>
            </w:tcMar>
          </w:tcPr>
          <w:p>
            <w:pPr>
              <w:jc w:val="center"/>
            </w:pPr>
            <w:r>
              <w:rPr>
                <w:rFonts w:ascii="Arial" w:hAnsi="Arial"/>
                <w:b/>
                <w:color w:val="FFFFFF"/>
                <w:sz w:val="15"/>
              </w:rPr>
              <w:t>My Notes</w:t>
            </w:r>
          </w:p>
        </w:tc>
      </w:tr>
      <w:tr>
        <w:tc>
          <w:tcPr>
            <w:tcW w:type="dxa" w:w="5141"/>
            <w:tcMar>
              <w:top w:w="55" w:type="dxa"/>
              <w:start w:w="70" w:type="dxa"/>
              <w:bottom w:w="55" w:type="dxa"/>
              <w:end w:w="70" w:type="dxa"/>
            </w:tcMar>
          </w:tcPr>
          <w:p>
            <w:r>
              <w:rPr>
                <w:rFonts w:ascii="Arial" w:hAnsi="Arial"/>
                <w:color w:val="1F2937"/>
                <w:sz w:val="15"/>
              </w:rPr>
              <w:t>Type of duty or request</w:t>
            </w:r>
          </w:p>
        </w:tc>
        <w:tc>
          <w:tcPr>
            <w:tcW w:type="dxa" w:w="5141"/>
            <w:tcMar>
              <w:top w:w="55" w:type="dxa"/>
              <w:start w:w="70" w:type="dxa"/>
              <w:bottom w:w="55" w:type="dxa"/>
              <w:end w:w="70" w:type="dxa"/>
            </w:tcMar>
          </w:tcPr>
          <w:p>
            <w:r>
              <w:rPr>
                <w:rFonts w:ascii="Arial" w:hAnsi="Arial"/>
                <w:color w:val="1F2937"/>
                <w:sz w:val="15"/>
              </w:rPr>
              <w:t>____________________________________________________________</w:t>
            </w:r>
          </w:p>
        </w:tc>
      </w:tr>
      <w:tr>
        <w:tc>
          <w:tcPr>
            <w:tcW w:type="dxa" w:w="5141"/>
            <w:tcMar>
              <w:top w:w="55" w:type="dxa"/>
              <w:start w:w="70" w:type="dxa"/>
              <w:bottom w:w="55" w:type="dxa"/>
              <w:end w:w="70" w:type="dxa"/>
            </w:tcMar>
            <w:shd w:fill="F8FAFC"/>
          </w:tcPr>
          <w:p>
            <w:r>
              <w:rPr>
                <w:rFonts w:ascii="Arial" w:hAnsi="Arial"/>
                <w:color w:val="1F2937"/>
                <w:sz w:val="15"/>
              </w:rPr>
              <w:t>Threshold and supporting facts</w:t>
            </w:r>
          </w:p>
        </w:tc>
        <w:tc>
          <w:tcPr>
            <w:tcW w:type="dxa" w:w="5141"/>
            <w:tcMar>
              <w:top w:w="55" w:type="dxa"/>
              <w:start w:w="70" w:type="dxa"/>
              <w:bottom w:w="55" w:type="dxa"/>
              <w:end w:w="70" w:type="dxa"/>
            </w:tcMar>
            <w:shd w:fill="F8FAFC"/>
          </w:tcPr>
          <w:p>
            <w:r>
              <w:rPr>
                <w:rFonts w:ascii="Arial" w:hAnsi="Arial"/>
                <w:color w:val="1F2937"/>
                <w:sz w:val="15"/>
              </w:rPr>
              <w:t>____________________________________________________________</w:t>
            </w:r>
          </w:p>
        </w:tc>
      </w:tr>
      <w:tr>
        <w:tc>
          <w:tcPr>
            <w:tcW w:type="dxa" w:w="5141"/>
            <w:tcMar>
              <w:top w:w="55" w:type="dxa"/>
              <w:start w:w="70" w:type="dxa"/>
              <w:bottom w:w="55" w:type="dxa"/>
              <w:end w:w="70" w:type="dxa"/>
            </w:tcMar>
          </w:tcPr>
          <w:p>
            <w:r>
              <w:rPr>
                <w:rFonts w:ascii="Arial" w:hAnsi="Arial"/>
                <w:color w:val="1F2937"/>
                <w:sz w:val="15"/>
              </w:rPr>
              <w:t>Immediate action / deadline</w:t>
            </w:r>
          </w:p>
        </w:tc>
        <w:tc>
          <w:tcPr>
            <w:tcW w:type="dxa" w:w="5141"/>
            <w:tcMar>
              <w:top w:w="55" w:type="dxa"/>
              <w:start w:w="70" w:type="dxa"/>
              <w:bottom w:w="55" w:type="dxa"/>
              <w:end w:w="70" w:type="dxa"/>
            </w:tcMar>
          </w:tcPr>
          <w:p>
            <w:r>
              <w:rPr>
                <w:rFonts w:ascii="Arial" w:hAnsi="Arial"/>
                <w:color w:val="1F2937"/>
                <w:sz w:val="15"/>
              </w:rPr>
              <w:t>____________________________________________________________</w:t>
            </w:r>
          </w:p>
        </w:tc>
      </w:tr>
      <w:tr>
        <w:tc>
          <w:tcPr>
            <w:tcW w:type="dxa" w:w="5141"/>
            <w:tcMar>
              <w:top w:w="55" w:type="dxa"/>
              <w:start w:w="70" w:type="dxa"/>
              <w:bottom w:w="55" w:type="dxa"/>
              <w:end w:w="70" w:type="dxa"/>
            </w:tcMar>
            <w:shd w:fill="F8FAFC"/>
          </w:tcPr>
          <w:p>
            <w:r>
              <w:rPr>
                <w:rFonts w:ascii="Arial" w:hAnsi="Arial"/>
                <w:color w:val="1F2937"/>
                <w:sz w:val="15"/>
              </w:rPr>
              <w:t>Correct recipient or authority</w:t>
            </w:r>
          </w:p>
        </w:tc>
        <w:tc>
          <w:tcPr>
            <w:tcW w:type="dxa" w:w="5141"/>
            <w:tcMar>
              <w:top w:w="55" w:type="dxa"/>
              <w:start w:w="70" w:type="dxa"/>
              <w:bottom w:w="55" w:type="dxa"/>
              <w:end w:w="70" w:type="dxa"/>
            </w:tcMar>
            <w:shd w:fill="F8FAFC"/>
          </w:tcPr>
          <w:p>
            <w:r>
              <w:rPr>
                <w:rFonts w:ascii="Arial" w:hAnsi="Arial"/>
                <w:color w:val="1F2937"/>
                <w:sz w:val="15"/>
              </w:rPr>
              <w:t>____________________________________________________________</w:t>
            </w:r>
          </w:p>
        </w:tc>
      </w:tr>
      <w:tr>
        <w:tc>
          <w:tcPr>
            <w:tcW w:type="dxa" w:w="5141"/>
            <w:tcMar>
              <w:top w:w="55" w:type="dxa"/>
              <w:start w:w="70" w:type="dxa"/>
              <w:bottom w:w="55" w:type="dxa"/>
              <w:end w:w="70" w:type="dxa"/>
            </w:tcMar>
          </w:tcPr>
          <w:p>
            <w:r>
              <w:rPr>
                <w:rFonts w:ascii="Arial" w:hAnsi="Arial"/>
                <w:color w:val="1F2937"/>
                <w:sz w:val="15"/>
              </w:rPr>
              <w:t>Minimum facts / disclosure</w:t>
            </w:r>
          </w:p>
        </w:tc>
        <w:tc>
          <w:tcPr>
            <w:tcW w:type="dxa" w:w="5141"/>
            <w:tcMar>
              <w:top w:w="55" w:type="dxa"/>
              <w:start w:w="70" w:type="dxa"/>
              <w:bottom w:w="55" w:type="dxa"/>
              <w:end w:w="70" w:type="dxa"/>
            </w:tcMar>
          </w:tcPr>
          <w:p>
            <w:r>
              <w:rPr>
                <w:rFonts w:ascii="Arial" w:hAnsi="Arial"/>
                <w:color w:val="1F2937"/>
                <w:sz w:val="15"/>
              </w:rPr>
              <w:t>____________________________________________________________</w:t>
            </w:r>
          </w:p>
        </w:tc>
      </w:tr>
      <w:tr>
        <w:tc>
          <w:tcPr>
            <w:tcW w:type="dxa" w:w="5141"/>
            <w:tcMar>
              <w:top w:w="55" w:type="dxa"/>
              <w:start w:w="70" w:type="dxa"/>
              <w:bottom w:w="55" w:type="dxa"/>
              <w:end w:w="70" w:type="dxa"/>
            </w:tcMar>
            <w:shd w:fill="F8FAFC"/>
          </w:tcPr>
          <w:p>
            <w:r>
              <w:rPr>
                <w:rFonts w:ascii="Arial" w:hAnsi="Arial"/>
                <w:color w:val="1F2937"/>
                <w:sz w:val="15"/>
              </w:rPr>
              <w:t>Documentation, consultation, safety follow-up</w:t>
            </w:r>
          </w:p>
        </w:tc>
        <w:tc>
          <w:tcPr>
            <w:tcW w:type="dxa" w:w="5141"/>
            <w:tcMar>
              <w:top w:w="55" w:type="dxa"/>
              <w:start w:w="70" w:type="dxa"/>
              <w:bottom w:w="55" w:type="dxa"/>
              <w:end w:w="70" w:type="dxa"/>
            </w:tcMar>
            <w:shd w:fill="F8FAFC"/>
          </w:tcPr>
          <w:p>
            <w:r>
              <w:rPr>
                <w:rFonts w:ascii="Arial" w:hAnsi="Arial"/>
                <w:color w:val="1F2937"/>
                <w:sz w:val="15"/>
              </w:rPr>
              <w:t>____________________________________________________________</w:t>
            </w:r>
          </w:p>
        </w:tc>
      </w:tr>
    </w:tbl>
    <w:p>
      <w:pPr>
        <w:spacing w:after="0"/>
      </w:pPr>
    </w:p>
    <w:tbl>
      <w:tblPr>
        <w:tblW w:type="auto" w:w="0"/>
        <w:jc w:val="center"/>
        <w:tblLook w:firstColumn="1" w:firstRow="1" w:lastColumn="0" w:lastRow="0" w:noHBand="0" w:noVBand="1" w:val="04A0"/>
      </w:tblPr>
      <w:tblGrid>
        <w:gridCol w:w="10282"/>
      </w:tblGrid>
      <w:tr>
        <w:tc>
          <w:tcPr>
            <w:tcW w:type="dxa" w:w="10282"/>
            <w:shd w:fill="E8F4F4"/>
            <w:tcBorders>
              <w:top w:val="single" w:sz="8" w:color="159C9C"/>
              <w:left w:val="single" w:sz="8" w:color="159C9C"/>
              <w:bottom w:val="single" w:sz="8" w:color="159C9C"/>
              <w:right w:val="single" w:sz="8" w:color="159C9C"/>
            </w:tcBorders>
            <w:tcMar>
              <w:top w:w="90" w:type="dxa"/>
              <w:start w:w="120" w:type="dxa"/>
              <w:bottom w:w="90" w:type="dxa"/>
              <w:end w:w="120" w:type="dxa"/>
            </w:tcMar>
          </w:tcPr>
          <w:p>
            <w:pPr>
              <w:spacing w:after="40"/>
            </w:pPr>
            <w:r>
              <w:rPr>
                <w:rFonts w:ascii="Arial" w:hAnsi="Arial"/>
                <w:b/>
                <w:color w:val="17365D"/>
                <w:sz w:val="19"/>
              </w:rPr>
              <w:t>CLINICAL TAKEAWAY</w:t>
            </w:r>
          </w:p>
          <w:p>
            <w:pPr>
              <w:spacing w:after="0"/>
            </w:pPr>
            <w:r>
              <w:rPr>
                <w:rFonts w:ascii="Arial" w:hAnsi="Arial"/>
                <w:color w:val="1F2937"/>
                <w:sz w:val="18"/>
              </w:rPr>
              <w:t>The safest exam answer identifies the legal category, meets the deadline, uses the correct recipient, avoids over-disclosure, and returns to the client’s safety and continuity needs.</w:t>
            </w:r>
          </w:p>
        </w:tc>
      </w:tr>
    </w:tbl>
    <w:p>
      <w:pPr>
        <w:spacing w:after="0"/>
      </w:pPr>
    </w:p>
    <w:p>
      <w:pPr>
        <w:pStyle w:val="ListBullet"/>
        <w:spacing w:after="36"/>
      </w:pPr>
      <w:r>
        <w:t>Identify the trigger before acting.</w:t>
      </w:r>
    </w:p>
    <w:p>
      <w:pPr>
        <w:pStyle w:val="ListBullet"/>
        <w:spacing w:after="36"/>
      </w:pPr>
      <w:r>
        <w:t>Do not demand certainty when law uses reasonable suspicion.</w:t>
      </w:r>
    </w:p>
    <w:p>
      <w:pPr>
        <w:pStyle w:val="ListBullet"/>
        <w:spacing w:after="36"/>
      </w:pPr>
      <w:r>
        <w:t>Do not confuse a subpoena with a court order.</w:t>
      </w:r>
    </w:p>
    <w:p>
      <w:pPr>
        <w:pStyle w:val="ListBullet"/>
        <w:spacing w:after="36"/>
      </w:pPr>
      <w:r>
        <w:t>Preserve records and privilege.</w:t>
      </w:r>
    </w:p>
    <w:p>
      <w:pPr>
        <w:pStyle w:val="ListBullet"/>
        <w:spacing w:after="36"/>
      </w:pPr>
      <w:r>
        <w:t>Complete protective and clinical follow-up.</w:t>
      </w:r>
    </w:p>
    <w:p>
      <w:r>
        <w:br w:type="page"/>
      </w:r>
    </w:p>
    <w:tbl>
      <w:tblPr>
        <w:tblW w:type="auto" w:w="0"/>
        <w:jc w:val="center"/>
        <w:tblLook w:firstColumn="1" w:firstRow="1" w:lastColumn="0" w:lastRow="0" w:noHBand="0" w:noVBand="1" w:val="04A0"/>
      </w:tblPr>
      <w:tblGrid>
        <w:gridCol w:w="10282"/>
      </w:tblGrid>
      <w:tr>
        <w:tc>
          <w:tcPr>
            <w:tcW w:type="dxa" w:w="10282"/>
            <w:shd w:fill="17365D"/>
            <w:tcBorders>
              <w:top w:val="single" w:sz="4" w:color="17365D"/>
              <w:left w:val="single" w:sz="4" w:color="17365D"/>
              <w:bottom w:val="single" w:sz="4" w:color="17365D"/>
              <w:right w:val="single" w:sz="4" w:color="17365D"/>
            </w:tcBorders>
            <w:tcMar>
              <w:top w:w="120" w:type="dxa"/>
              <w:start w:w="140" w:type="dxa"/>
              <w:bottom w:w="120" w:type="dxa"/>
              <w:end w:w="140" w:type="dxa"/>
            </w:tcMar>
          </w:tcPr>
          <w:p>
            <w:pPr>
              <w:jc w:val="center"/>
            </w:pPr>
            <w:r>
              <w:rPr>
                <w:rFonts w:ascii="Arial" w:hAnsi="Arial"/>
                <w:b/>
                <w:color w:val="159C9C"/>
                <w:sz w:val="20"/>
              </w:rPr>
              <w:t>CHAPTER 4</w:t>
            </w:r>
          </w:p>
          <w:p>
            <w:pPr>
              <w:jc w:val="center"/>
            </w:pPr>
            <w:r>
              <w:rPr>
                <w:rFonts w:ascii="Arial" w:hAnsi="Arial"/>
                <w:b/>
                <w:color w:val="FFFFFF"/>
                <w:sz w:val="34"/>
              </w:rPr>
              <w:t>Telehealth, Electronic Communication, Social Media, AI, and EHRs</w:t>
            </w:r>
          </w:p>
        </w:tc>
      </w:tr>
      <w:tr>
        <w:tc>
          <w:tcPr>
            <w:tcW w:type="dxa" w:w="10282"/>
            <w:shd w:fill="E8F4F4"/>
            <w:tcBorders>
              <w:top w:val="single" w:sz="4" w:color="17365D"/>
              <w:left w:val="single" w:sz="4" w:color="17365D"/>
              <w:bottom w:val="single" w:sz="4" w:color="17365D"/>
              <w:right w:val="single" w:sz="4" w:color="17365D"/>
            </w:tcBorders>
            <w:tcMar>
              <w:top w:w="120" w:type="dxa"/>
              <w:start w:w="140" w:type="dxa"/>
              <w:bottom w:w="120" w:type="dxa"/>
              <w:end w:w="140" w:type="dxa"/>
            </w:tcMar>
          </w:tcPr>
          <w:p>
            <w:r>
              <w:rPr>
                <w:rFonts w:ascii="Arial" w:hAnsi="Arial"/>
                <w:b/>
                <w:color w:val="17365D"/>
                <w:sz w:val="18"/>
              </w:rPr>
              <w:t xml:space="preserve">BIG IDEA  </w:t>
            </w:r>
            <w:r>
              <w:rPr>
                <w:rFonts w:ascii="Arial" w:hAnsi="Arial"/>
                <w:color w:val="1F2937"/>
                <w:sz w:val="18"/>
              </w:rPr>
              <w:t>Technology is not separate from clinical practice; it changes jurisdiction, consent, privacy, access, documentation, and the counselor’s responsibility for oversight.</w:t>
            </w:r>
          </w:p>
        </w:tc>
      </w:tr>
    </w:tbl>
    <w:p>
      <w:pPr>
        <w:spacing w:after="0"/>
      </w:pPr>
    </w:p>
    <w:p>
      <w:pPr>
        <w:spacing w:after="100"/>
      </w:pPr>
      <w:r>
        <w:rPr>
          <w:rFonts w:ascii="Arial" w:hAnsi="Arial"/>
          <w:b w:val="0"/>
          <w:i w:val="0"/>
          <w:color w:val="1F2937"/>
          <w:sz w:val="19"/>
        </w:rPr>
        <w:t>Technology questions are professional-practice questions. A tool may improve access and efficiency while introducing privacy, bias, security, clinical-fit, documentation, and role risks. The counselor remains responsible for selecting, explaining, monitoring, and documenting technology use.</w:t>
      </w:r>
    </w:p>
    <w:p>
      <w:pPr>
        <w:pStyle w:val="Heading2"/>
        <w:keepNext/>
      </w:pPr>
      <w:r>
        <w:t>The TECH Technology-Safety Tool</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7365D"/>
            <w:vAlign w:val="center"/>
            <w:tcMar>
              <w:top w:w="70" w:type="dxa"/>
              <w:start w:w="75" w:type="dxa"/>
              <w:bottom w:w="70" w:type="dxa"/>
              <w:end w:w="75" w:type="dxa"/>
            </w:tcMar>
          </w:tcPr>
          <w:p>
            <w:pPr>
              <w:jc w:val="center"/>
            </w:pPr>
            <w:r>
              <w:rPr>
                <w:rFonts w:ascii="Arial" w:hAnsi="Arial"/>
                <w:b/>
                <w:color w:val="FFFFFF"/>
                <w:sz w:val="15"/>
              </w:rPr>
              <w:t>Step</w:t>
            </w:r>
          </w:p>
        </w:tc>
        <w:tc>
          <w:tcPr>
            <w:tcW w:type="dxa" w:w="5141"/>
            <w:shd w:fill="17365D"/>
            <w:vAlign w:val="center"/>
            <w:tcMar>
              <w:top w:w="70" w:type="dxa"/>
              <w:start w:w="75" w:type="dxa"/>
              <w:bottom w:w="70" w:type="dxa"/>
              <w:end w:w="75" w:type="dxa"/>
            </w:tcMar>
          </w:tcPr>
          <w:p>
            <w:pPr>
              <w:jc w:val="center"/>
            </w:pPr>
            <w:r>
              <w:rPr>
                <w:rFonts w:ascii="Arial" w:hAnsi="Arial"/>
                <w:b/>
                <w:color w:val="FFFFFF"/>
                <w:sz w:val="15"/>
              </w:rPr>
              <w:t>Question to Ask</w:t>
            </w:r>
          </w:p>
        </w:tc>
      </w:tr>
      <w:tr>
        <w:tc>
          <w:tcPr>
            <w:tcW w:type="dxa" w:w="5141"/>
            <w:tcMar>
              <w:top w:w="55" w:type="dxa"/>
              <w:start w:w="70" w:type="dxa"/>
              <w:bottom w:w="55" w:type="dxa"/>
              <w:end w:w="70" w:type="dxa"/>
            </w:tcMar>
          </w:tcPr>
          <w:p>
            <w:r>
              <w:rPr>
                <w:rFonts w:ascii="Arial" w:hAnsi="Arial"/>
                <w:color w:val="1F2937"/>
                <w:sz w:val="15"/>
              </w:rPr>
              <w:t>T - Territory and identity</w:t>
            </w:r>
          </w:p>
        </w:tc>
        <w:tc>
          <w:tcPr>
            <w:tcW w:type="dxa" w:w="5141"/>
            <w:tcMar>
              <w:top w:w="55" w:type="dxa"/>
              <w:start w:w="70" w:type="dxa"/>
              <w:bottom w:w="55" w:type="dxa"/>
              <w:end w:w="70" w:type="dxa"/>
            </w:tcMar>
          </w:tcPr>
          <w:p>
            <w:r>
              <w:rPr>
                <w:rFonts w:ascii="Arial" w:hAnsi="Arial"/>
                <w:color w:val="1F2937"/>
                <w:sz w:val="15"/>
              </w:rPr>
              <w:t>Where are the counselor and client? Is practice authorized in the relevant jurisdiction? Is identity and current location confirmed?</w:t>
            </w:r>
          </w:p>
        </w:tc>
      </w:tr>
      <w:tr>
        <w:tc>
          <w:tcPr>
            <w:tcW w:type="dxa" w:w="5141"/>
            <w:tcMar>
              <w:top w:w="55" w:type="dxa"/>
              <w:start w:w="70" w:type="dxa"/>
              <w:bottom w:w="55" w:type="dxa"/>
              <w:end w:w="70" w:type="dxa"/>
            </w:tcMar>
            <w:shd w:fill="F8FAFC"/>
          </w:tcPr>
          <w:p>
            <w:r>
              <w:rPr>
                <w:rFonts w:ascii="Arial" w:hAnsi="Arial"/>
                <w:color w:val="1F2937"/>
                <w:sz w:val="15"/>
              </w:rPr>
              <w:t>E - Evaluate fit and platform</w:t>
            </w:r>
          </w:p>
        </w:tc>
        <w:tc>
          <w:tcPr>
            <w:tcW w:type="dxa" w:w="5141"/>
            <w:tcMar>
              <w:top w:w="55" w:type="dxa"/>
              <w:start w:w="70" w:type="dxa"/>
              <w:bottom w:w="55" w:type="dxa"/>
              <w:end w:w="70" w:type="dxa"/>
            </w:tcMar>
            <w:shd w:fill="F8FAFC"/>
          </w:tcPr>
          <w:p>
            <w:r>
              <w:rPr>
                <w:rFonts w:ascii="Arial" w:hAnsi="Arial"/>
                <w:color w:val="1F2937"/>
                <w:sz w:val="15"/>
              </w:rPr>
              <w:t>Is this modality clinically appropriate, accessible, secure, reliable, and usable for this client and service?</w:t>
            </w:r>
          </w:p>
        </w:tc>
      </w:tr>
      <w:tr>
        <w:tc>
          <w:tcPr>
            <w:tcW w:type="dxa" w:w="5141"/>
            <w:tcMar>
              <w:top w:w="55" w:type="dxa"/>
              <w:start w:w="70" w:type="dxa"/>
              <w:bottom w:w="55" w:type="dxa"/>
              <w:end w:w="70" w:type="dxa"/>
            </w:tcMar>
          </w:tcPr>
          <w:p>
            <w:r>
              <w:rPr>
                <w:rFonts w:ascii="Arial" w:hAnsi="Arial"/>
                <w:color w:val="1F2937"/>
                <w:sz w:val="15"/>
              </w:rPr>
              <w:t>C - Consent, confidentiality, and contingency</w:t>
            </w:r>
          </w:p>
        </w:tc>
        <w:tc>
          <w:tcPr>
            <w:tcW w:type="dxa" w:w="5141"/>
            <w:tcMar>
              <w:top w:w="55" w:type="dxa"/>
              <w:start w:w="70" w:type="dxa"/>
              <w:bottom w:w="55" w:type="dxa"/>
              <w:end w:w="70" w:type="dxa"/>
            </w:tcMar>
          </w:tcPr>
          <w:p>
            <w:r>
              <w:rPr>
                <w:rFonts w:ascii="Arial" w:hAnsi="Arial"/>
                <w:color w:val="1F2937"/>
                <w:sz w:val="15"/>
              </w:rPr>
              <w:t>Has the client been informed about telehealth or technology use, privacy limits, communication rules, recordings/transcription, emergencies, and backup plans?</w:t>
            </w:r>
          </w:p>
        </w:tc>
      </w:tr>
      <w:tr>
        <w:tc>
          <w:tcPr>
            <w:tcW w:type="dxa" w:w="5141"/>
            <w:tcMar>
              <w:top w:w="55" w:type="dxa"/>
              <w:start w:w="70" w:type="dxa"/>
              <w:bottom w:w="55" w:type="dxa"/>
              <w:end w:w="70" w:type="dxa"/>
            </w:tcMar>
            <w:shd w:fill="F8FAFC"/>
          </w:tcPr>
          <w:p>
            <w:r>
              <w:rPr>
                <w:rFonts w:ascii="Arial" w:hAnsi="Arial"/>
                <w:color w:val="1F2937"/>
                <w:sz w:val="15"/>
              </w:rPr>
              <w:t>H - Human oversight and harm monitoring</w:t>
            </w:r>
          </w:p>
        </w:tc>
        <w:tc>
          <w:tcPr>
            <w:tcW w:type="dxa" w:w="5141"/>
            <w:tcMar>
              <w:top w:w="55" w:type="dxa"/>
              <w:start w:w="70" w:type="dxa"/>
              <w:bottom w:w="55" w:type="dxa"/>
              <w:end w:w="70" w:type="dxa"/>
            </w:tcMar>
            <w:shd w:fill="F8FAFC"/>
          </w:tcPr>
          <w:p>
            <w:r>
              <w:rPr>
                <w:rFonts w:ascii="Arial" w:hAnsi="Arial"/>
                <w:color w:val="1F2937"/>
                <w:sz w:val="15"/>
              </w:rPr>
              <w:t>Does the counselor review outputs, detect errors or bias, protect data, maintain boundaries, document decisions, and remain accountable?</w:t>
            </w:r>
          </w:p>
        </w:tc>
      </w:tr>
    </w:tbl>
    <w:p>
      <w:pPr>
        <w:spacing w:after="0"/>
      </w:pPr>
    </w:p>
    <w:p>
      <w:pPr>
        <w:pStyle w:val="Heading2"/>
        <w:keepNext/>
      </w:pPr>
      <w:r>
        <w:t>Technology Decision Matrix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7365D"/>
            <w:vAlign w:val="center"/>
            <w:tcMar>
              <w:top w:w="70" w:type="dxa"/>
              <w:start w:w="75" w:type="dxa"/>
              <w:bottom w:w="70" w:type="dxa"/>
              <w:end w:w="75" w:type="dxa"/>
            </w:tcMar>
          </w:tcPr>
          <w:p>
            <w:pPr>
              <w:jc w:val="center"/>
            </w:pPr>
            <w:r>
              <w:rPr>
                <w:rFonts w:ascii="Arial" w:hAnsi="Arial"/>
                <w:b/>
                <w:color w:val="FFFFFF"/>
                <w:sz w:val="14"/>
              </w:rPr>
              <w:t>Technology</w:t>
            </w:r>
          </w:p>
        </w:tc>
        <w:tc>
          <w:tcPr>
            <w:tcW w:type="dxa" w:w="5141"/>
            <w:shd w:fill="17365D"/>
            <w:vAlign w:val="center"/>
            <w:tcMar>
              <w:top w:w="70" w:type="dxa"/>
              <w:start w:w="75" w:type="dxa"/>
              <w:bottom w:w="70" w:type="dxa"/>
              <w:end w:w="75" w:type="dxa"/>
            </w:tcMar>
          </w:tcPr>
          <w:p>
            <w:pPr>
              <w:jc w:val="center"/>
            </w:pPr>
            <w:r>
              <w:rPr>
                <w:rFonts w:ascii="Arial" w:hAnsi="Arial"/>
                <w:b/>
                <w:color w:val="FFFFFF"/>
                <w:sz w:val="14"/>
              </w:rPr>
              <w:t>Key Risks and Controls</w:t>
            </w:r>
          </w:p>
        </w:tc>
      </w:tr>
      <w:tr>
        <w:tc>
          <w:tcPr>
            <w:tcW w:type="dxa" w:w="5141"/>
            <w:tcMar>
              <w:top w:w="55" w:type="dxa"/>
              <w:start w:w="70" w:type="dxa"/>
              <w:bottom w:w="55" w:type="dxa"/>
              <w:end w:w="70" w:type="dxa"/>
            </w:tcMar>
          </w:tcPr>
          <w:p>
            <w:r>
              <w:rPr>
                <w:rFonts w:ascii="Arial" w:hAnsi="Arial"/>
                <w:color w:val="1F2937"/>
                <w:sz w:val="14"/>
              </w:rPr>
              <w:t>Telehealth platform</w:t>
            </w:r>
          </w:p>
        </w:tc>
        <w:tc>
          <w:tcPr>
            <w:tcW w:type="dxa" w:w="5141"/>
            <w:tcMar>
              <w:top w:w="55" w:type="dxa"/>
              <w:start w:w="70" w:type="dxa"/>
              <w:bottom w:w="55" w:type="dxa"/>
              <w:end w:w="70" w:type="dxa"/>
            </w:tcMar>
          </w:tcPr>
          <w:p>
            <w:r>
              <w:rPr>
                <w:rFonts w:ascii="Arial" w:hAnsi="Arial"/>
                <w:color w:val="1F2937"/>
                <w:sz w:val="14"/>
              </w:rPr>
              <w:t>Jurisdiction, identity/location, consent, privacy, accessibility, emergency contacts, backup plan, and platform security.</w:t>
            </w:r>
          </w:p>
        </w:tc>
      </w:tr>
      <w:tr>
        <w:tc>
          <w:tcPr>
            <w:tcW w:type="dxa" w:w="5141"/>
            <w:tcMar>
              <w:top w:w="55" w:type="dxa"/>
              <w:start w:w="70" w:type="dxa"/>
              <w:bottom w:w="55" w:type="dxa"/>
              <w:end w:w="70" w:type="dxa"/>
            </w:tcMar>
            <w:shd w:fill="F8FAFC"/>
          </w:tcPr>
          <w:p>
            <w:r>
              <w:rPr>
                <w:rFonts w:ascii="Arial" w:hAnsi="Arial"/>
                <w:color w:val="1F2937"/>
                <w:sz w:val="14"/>
              </w:rPr>
              <w:t>Email, text, and portal</w:t>
            </w:r>
          </w:p>
        </w:tc>
        <w:tc>
          <w:tcPr>
            <w:tcW w:type="dxa" w:w="5141"/>
            <w:tcMar>
              <w:top w:w="55" w:type="dxa"/>
              <w:start w:w="70" w:type="dxa"/>
              <w:bottom w:w="55" w:type="dxa"/>
              <w:end w:w="70" w:type="dxa"/>
            </w:tcMar>
            <w:shd w:fill="F8FAFC"/>
          </w:tcPr>
          <w:p>
            <w:r>
              <w:rPr>
                <w:rFonts w:ascii="Arial" w:hAnsi="Arial"/>
                <w:color w:val="1F2937"/>
                <w:sz w:val="14"/>
              </w:rPr>
              <w:t>Response expectations, emergency limits, identity, device access, message retention, encryption, and documentation.</w:t>
            </w:r>
          </w:p>
        </w:tc>
      </w:tr>
      <w:tr>
        <w:tc>
          <w:tcPr>
            <w:tcW w:type="dxa" w:w="5141"/>
            <w:tcMar>
              <w:top w:w="55" w:type="dxa"/>
              <w:start w:w="70" w:type="dxa"/>
              <w:bottom w:w="55" w:type="dxa"/>
              <w:end w:w="70" w:type="dxa"/>
            </w:tcMar>
          </w:tcPr>
          <w:p>
            <w:r>
              <w:rPr>
                <w:rFonts w:ascii="Arial" w:hAnsi="Arial"/>
                <w:color w:val="1F2937"/>
                <w:sz w:val="14"/>
              </w:rPr>
              <w:t>Social media</w:t>
            </w:r>
          </w:p>
        </w:tc>
        <w:tc>
          <w:tcPr>
            <w:tcW w:type="dxa" w:w="5141"/>
            <w:tcMar>
              <w:top w:w="55" w:type="dxa"/>
              <w:start w:w="70" w:type="dxa"/>
              <w:bottom w:w="55" w:type="dxa"/>
              <w:end w:w="70" w:type="dxa"/>
            </w:tcMar>
          </w:tcPr>
          <w:p>
            <w:r>
              <w:rPr>
                <w:rFonts w:ascii="Arial" w:hAnsi="Arial"/>
                <w:color w:val="1F2937"/>
                <w:sz w:val="14"/>
              </w:rPr>
              <w:t>Searches, friend/follow requests, public interaction, testimonials, boundaries, privacy, and false/misleading advertising.</w:t>
            </w:r>
          </w:p>
        </w:tc>
      </w:tr>
      <w:tr>
        <w:tc>
          <w:tcPr>
            <w:tcW w:type="dxa" w:w="5141"/>
            <w:tcMar>
              <w:top w:w="55" w:type="dxa"/>
              <w:start w:w="70" w:type="dxa"/>
              <w:bottom w:w="55" w:type="dxa"/>
              <w:end w:w="70" w:type="dxa"/>
            </w:tcMar>
            <w:shd w:fill="F8FAFC"/>
          </w:tcPr>
          <w:p>
            <w:r>
              <w:rPr>
                <w:rFonts w:ascii="Arial" w:hAnsi="Arial"/>
                <w:color w:val="1F2937"/>
                <w:sz w:val="14"/>
              </w:rPr>
              <w:t>AI transcription or documentation</w:t>
            </w:r>
          </w:p>
        </w:tc>
        <w:tc>
          <w:tcPr>
            <w:tcW w:type="dxa" w:w="5141"/>
            <w:tcMar>
              <w:top w:w="55" w:type="dxa"/>
              <w:start w:w="70" w:type="dxa"/>
              <w:bottom w:w="55" w:type="dxa"/>
              <w:end w:w="70" w:type="dxa"/>
            </w:tcMar>
            <w:shd w:fill="F8FAFC"/>
          </w:tcPr>
          <w:p>
            <w:r>
              <w:rPr>
                <w:rFonts w:ascii="Arial" w:hAnsi="Arial"/>
                <w:color w:val="1F2937"/>
                <w:sz w:val="14"/>
              </w:rPr>
              <w:t>Client notice/consent as applicable, vendor terms, data retention, accuracy, bias, hallucination, human review, and record status.</w:t>
            </w:r>
          </w:p>
        </w:tc>
      </w:tr>
      <w:tr>
        <w:tc>
          <w:tcPr>
            <w:tcW w:type="dxa" w:w="5141"/>
            <w:tcMar>
              <w:top w:w="55" w:type="dxa"/>
              <w:start w:w="70" w:type="dxa"/>
              <w:bottom w:w="55" w:type="dxa"/>
              <w:end w:w="70" w:type="dxa"/>
            </w:tcMar>
          </w:tcPr>
          <w:p>
            <w:r>
              <w:rPr>
                <w:rFonts w:ascii="Arial" w:hAnsi="Arial"/>
                <w:color w:val="1F2937"/>
                <w:sz w:val="14"/>
              </w:rPr>
              <w:t>AI clinical support</w:t>
            </w:r>
          </w:p>
        </w:tc>
        <w:tc>
          <w:tcPr>
            <w:tcW w:type="dxa" w:w="5141"/>
            <w:tcMar>
              <w:top w:w="55" w:type="dxa"/>
              <w:start w:w="70" w:type="dxa"/>
              <w:bottom w:w="55" w:type="dxa"/>
              <w:end w:w="70" w:type="dxa"/>
            </w:tcMar>
          </w:tcPr>
          <w:p>
            <w:r>
              <w:rPr>
                <w:rFonts w:ascii="Arial" w:hAnsi="Arial"/>
                <w:color w:val="1F2937"/>
                <w:sz w:val="14"/>
              </w:rPr>
              <w:t>No independent diagnosis or treatment decision; verify sources and outputs, protect PHI, assess bias, and document professional judgment.</w:t>
            </w:r>
          </w:p>
        </w:tc>
      </w:tr>
      <w:tr>
        <w:tc>
          <w:tcPr>
            <w:tcW w:type="dxa" w:w="5141"/>
            <w:tcMar>
              <w:top w:w="55" w:type="dxa"/>
              <w:start w:w="70" w:type="dxa"/>
              <w:bottom w:w="55" w:type="dxa"/>
              <w:end w:w="70" w:type="dxa"/>
            </w:tcMar>
            <w:shd w:fill="F8FAFC"/>
          </w:tcPr>
          <w:p>
            <w:r>
              <w:rPr>
                <w:rFonts w:ascii="Arial" w:hAnsi="Arial"/>
                <w:color w:val="1F2937"/>
                <w:sz w:val="14"/>
              </w:rPr>
              <w:t>Electronic health record</w:t>
            </w:r>
          </w:p>
        </w:tc>
        <w:tc>
          <w:tcPr>
            <w:tcW w:type="dxa" w:w="5141"/>
            <w:tcMar>
              <w:top w:w="55" w:type="dxa"/>
              <w:start w:w="70" w:type="dxa"/>
              <w:bottom w:w="55" w:type="dxa"/>
              <w:end w:w="70" w:type="dxa"/>
            </w:tcMar>
            <w:shd w:fill="F8FAFC"/>
          </w:tcPr>
          <w:p>
            <w:r>
              <w:rPr>
                <w:rFonts w:ascii="Arial" w:hAnsi="Arial"/>
                <w:color w:val="1F2937"/>
                <w:sz w:val="14"/>
              </w:rPr>
              <w:t>Access control, audit trails, templates, copy-forward errors, amendments, exports, backups, and role-based permissions.</w:t>
            </w:r>
          </w:p>
        </w:tc>
      </w:tr>
    </w:tbl>
    <w:p>
      <w:pPr>
        <w:spacing w:after="0"/>
      </w:pPr>
    </w:p>
    <w:p>
      <w:pPr>
        <w:pStyle w:val="Heading2"/>
        <w:keepNext/>
      </w:pPr>
      <w:r>
        <w:t>California Telehealth Core</w:t>
      </w:r>
    </w:p>
    <w:p>
      <w:pPr>
        <w:pStyle w:val="ListBullet"/>
        <w:spacing w:after="56"/>
      </w:pPr>
      <w:r>
        <w:t>Before delivering care via telehealth, the provider informs the patient about telehealth, obtains verbal or written consent, and documents that consent.</w:t>
      </w:r>
    </w:p>
    <w:p>
      <w:pPr>
        <w:pStyle w:val="ListBullet"/>
        <w:spacing w:after="56"/>
      </w:pPr>
      <w:r>
        <w:t>Telehealth does not expand scope or eliminate ordinary confidentiality, patient-rights, professional-responsibility, and standard-of-practice duties.</w:t>
      </w:r>
    </w:p>
    <w:p>
      <w:pPr>
        <w:pStyle w:val="ListBullet"/>
        <w:spacing w:after="56"/>
      </w:pPr>
      <w:r>
        <w:t>At each clinically relevant encounter, confirm the client’s location and emergency resources rather than assuming the client remains where the intake occurred.</w:t>
      </w:r>
    </w:p>
    <w:p>
      <w:pPr>
        <w:pStyle w:val="ListBullet"/>
        <w:spacing w:after="56"/>
      </w:pPr>
      <w:r>
        <w:t>If the client is located in another jurisdiction, verify whether the counselor is authorized to practice there before continuing nonemergency services.</w:t>
      </w:r>
    </w:p>
    <w:tbl>
      <w:tblPr>
        <w:tblW w:type="auto" w:w="0"/>
        <w:jc w:val="center"/>
        <w:tblLook w:firstColumn="1" w:firstRow="1" w:lastColumn="0" w:lastRow="0" w:noHBand="0" w:noVBand="1" w:val="04A0"/>
      </w:tblPr>
      <w:tblGrid>
        <w:gridCol w:w="10282"/>
      </w:tblGrid>
      <w:tr>
        <w:tc>
          <w:tcPr>
            <w:tcW w:type="dxa" w:w="10282"/>
            <w:shd w:fill="FFF4D6"/>
            <w:tcBorders>
              <w:top w:val="single" w:sz="8" w:color="C99500"/>
              <w:left w:val="single" w:sz="8" w:color="C99500"/>
              <w:bottom w:val="single" w:sz="8" w:color="C99500"/>
              <w:right w:val="single" w:sz="8" w:color="C99500"/>
            </w:tcBorders>
            <w:tcMar>
              <w:top w:w="90" w:type="dxa"/>
              <w:start w:w="120" w:type="dxa"/>
              <w:bottom w:w="90" w:type="dxa"/>
              <w:end w:w="120" w:type="dxa"/>
            </w:tcMar>
          </w:tcPr>
          <w:p>
            <w:pPr>
              <w:spacing w:after="40"/>
            </w:pPr>
            <w:r>
              <w:rPr>
                <w:rFonts w:ascii="Arial" w:hAnsi="Arial"/>
                <w:b/>
                <w:color w:val="17365D"/>
                <w:sz w:val="19"/>
              </w:rPr>
              <w:t>AI CURRENCY CONTROL</w:t>
            </w:r>
          </w:p>
          <w:p>
            <w:pPr>
              <w:spacing w:after="0"/>
            </w:pPr>
            <w:r>
              <w:rPr>
                <w:rFonts w:ascii="Arial" w:hAnsi="Arial"/>
                <w:color w:val="1F2937"/>
                <w:sz w:val="18"/>
              </w:rPr>
              <w:t>California and national AI requirements are evolving. Teach durable duties: disclose relevant use, protect data, obtain required consent, preserve human review, verify accuracy, monitor bias and harm, avoid unauthorized practice by a tool, and update policies as law and guidance change.</w:t>
            </w:r>
          </w:p>
        </w:tc>
      </w:tr>
    </w:tbl>
    <w:p>
      <w:pPr>
        <w:spacing w:after="0"/>
      </w:pPr>
    </w:p>
    <w:tbl>
      <w:tblPr>
        <w:tblW w:type="auto" w:w="0"/>
        <w:jc w:val="center"/>
        <w:tblLook w:firstColumn="1" w:firstRow="1" w:lastColumn="0" w:lastRow="0" w:noHBand="0" w:noVBand="1" w:val="04A0"/>
      </w:tblPr>
      <w:tblGrid>
        <w:gridCol w:w="10282"/>
      </w:tblGrid>
      <w:tr>
        <w:tc>
          <w:tcPr>
            <w:tcW w:type="dxa" w:w="10282"/>
            <w:shd w:fill="FBE9E7"/>
            <w:tcBorders>
              <w:top w:val="single" w:sz="8" w:color="C94A3A"/>
              <w:left w:val="single" w:sz="8" w:color="C94A3A"/>
              <w:bottom w:val="single" w:sz="8" w:color="C94A3A"/>
              <w:right w:val="single" w:sz="8" w:color="C94A3A"/>
            </w:tcBorders>
            <w:tcMar>
              <w:top w:w="90" w:type="dxa"/>
              <w:start w:w="120" w:type="dxa"/>
              <w:bottom w:w="90" w:type="dxa"/>
              <w:end w:w="120" w:type="dxa"/>
            </w:tcMar>
          </w:tcPr>
          <w:p>
            <w:pPr>
              <w:spacing w:after="40"/>
            </w:pPr>
            <w:r>
              <w:rPr>
                <w:rFonts w:ascii="Arial" w:hAnsi="Arial"/>
                <w:b/>
                <w:color w:val="17365D"/>
                <w:sz w:val="19"/>
              </w:rPr>
              <w:t>COMMON TRAP</w:t>
            </w:r>
          </w:p>
          <w:p>
            <w:pPr>
              <w:spacing w:after="0"/>
            </w:pPr>
            <w:r>
              <w:rPr>
                <w:rFonts w:ascii="Arial" w:hAnsi="Arial"/>
                <w:color w:val="1F2937"/>
                <w:sz w:val="18"/>
              </w:rPr>
              <w:t>Efficiency is not clinical appropriateness. A platform, transcription tool, chatbot, or generated note is not acceptable merely because the employer purchased it or the output sounds professional.</w:t>
            </w:r>
          </w:p>
        </w:tc>
      </w:tr>
    </w:tbl>
    <w:p>
      <w:pPr>
        <w:spacing w:after="0"/>
      </w:pPr>
    </w:p>
    <w:p>
      <w:pPr>
        <w:pStyle w:val="Heading2"/>
        <w:keepNext/>
      </w:pPr>
      <w:r>
        <w:t>TECH Practice Worksheet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7365D"/>
            <w:vAlign w:val="center"/>
            <w:tcMar>
              <w:top w:w="70" w:type="dxa"/>
              <w:start w:w="75" w:type="dxa"/>
              <w:bottom w:w="70" w:type="dxa"/>
              <w:end w:w="75" w:type="dxa"/>
            </w:tcMar>
          </w:tcPr>
          <w:p>
            <w:pPr>
              <w:jc w:val="center"/>
            </w:pPr>
            <w:r>
              <w:rPr>
                <w:rFonts w:ascii="Arial" w:hAnsi="Arial"/>
                <w:b/>
                <w:color w:val="FFFFFF"/>
                <w:sz w:val="15"/>
              </w:rPr>
              <w:t>Prompt</w:t>
            </w:r>
          </w:p>
        </w:tc>
        <w:tc>
          <w:tcPr>
            <w:tcW w:type="dxa" w:w="5141"/>
            <w:shd w:fill="17365D"/>
            <w:vAlign w:val="center"/>
            <w:tcMar>
              <w:top w:w="70" w:type="dxa"/>
              <w:start w:w="75" w:type="dxa"/>
              <w:bottom w:w="70" w:type="dxa"/>
              <w:end w:w="75" w:type="dxa"/>
            </w:tcMar>
          </w:tcPr>
          <w:p>
            <w:pPr>
              <w:jc w:val="center"/>
            </w:pPr>
            <w:r>
              <w:rPr>
                <w:rFonts w:ascii="Arial" w:hAnsi="Arial"/>
                <w:b/>
                <w:color w:val="FFFFFF"/>
                <w:sz w:val="15"/>
              </w:rPr>
              <w:t>My Notes</w:t>
            </w:r>
          </w:p>
        </w:tc>
      </w:tr>
      <w:tr>
        <w:tc>
          <w:tcPr>
            <w:tcW w:type="dxa" w:w="5141"/>
            <w:tcMar>
              <w:top w:w="55" w:type="dxa"/>
              <w:start w:w="70" w:type="dxa"/>
              <w:bottom w:w="55" w:type="dxa"/>
              <w:end w:w="70" w:type="dxa"/>
            </w:tcMar>
          </w:tcPr>
          <w:p>
            <w:r>
              <w:rPr>
                <w:rFonts w:ascii="Arial" w:hAnsi="Arial"/>
                <w:color w:val="1F2937"/>
                <w:sz w:val="15"/>
              </w:rPr>
              <w:t>Territory, identity, location</w:t>
            </w:r>
          </w:p>
        </w:tc>
        <w:tc>
          <w:tcPr>
            <w:tcW w:type="dxa" w:w="5141"/>
            <w:tcMar>
              <w:top w:w="55" w:type="dxa"/>
              <w:start w:w="70" w:type="dxa"/>
              <w:bottom w:w="55" w:type="dxa"/>
              <w:end w:w="70" w:type="dxa"/>
            </w:tcMar>
          </w:tcPr>
          <w:p>
            <w:r>
              <w:rPr>
                <w:rFonts w:ascii="Arial" w:hAnsi="Arial"/>
                <w:color w:val="1F2937"/>
                <w:sz w:val="15"/>
              </w:rPr>
              <w:t>____________________________________________________________</w:t>
            </w:r>
          </w:p>
        </w:tc>
      </w:tr>
      <w:tr>
        <w:tc>
          <w:tcPr>
            <w:tcW w:type="dxa" w:w="5141"/>
            <w:tcMar>
              <w:top w:w="55" w:type="dxa"/>
              <w:start w:w="70" w:type="dxa"/>
              <w:bottom w:w="55" w:type="dxa"/>
              <w:end w:w="70" w:type="dxa"/>
            </w:tcMar>
            <w:shd w:fill="F8FAFC"/>
          </w:tcPr>
          <w:p>
            <w:r>
              <w:rPr>
                <w:rFonts w:ascii="Arial" w:hAnsi="Arial"/>
                <w:color w:val="1F2937"/>
                <w:sz w:val="15"/>
              </w:rPr>
              <w:t>Clinical and accessibility fit</w:t>
            </w:r>
          </w:p>
        </w:tc>
        <w:tc>
          <w:tcPr>
            <w:tcW w:type="dxa" w:w="5141"/>
            <w:tcMar>
              <w:top w:w="55" w:type="dxa"/>
              <w:start w:w="70" w:type="dxa"/>
              <w:bottom w:w="55" w:type="dxa"/>
              <w:end w:w="70" w:type="dxa"/>
            </w:tcMar>
            <w:shd w:fill="F8FAFC"/>
          </w:tcPr>
          <w:p>
            <w:r>
              <w:rPr>
                <w:rFonts w:ascii="Arial" w:hAnsi="Arial"/>
                <w:color w:val="1F2937"/>
                <w:sz w:val="15"/>
              </w:rPr>
              <w:t>____________________________________________________________</w:t>
            </w:r>
          </w:p>
        </w:tc>
      </w:tr>
      <w:tr>
        <w:tc>
          <w:tcPr>
            <w:tcW w:type="dxa" w:w="5141"/>
            <w:tcMar>
              <w:top w:w="55" w:type="dxa"/>
              <w:start w:w="70" w:type="dxa"/>
              <w:bottom w:w="55" w:type="dxa"/>
              <w:end w:w="70" w:type="dxa"/>
            </w:tcMar>
          </w:tcPr>
          <w:p>
            <w:r>
              <w:rPr>
                <w:rFonts w:ascii="Arial" w:hAnsi="Arial"/>
                <w:color w:val="1F2937"/>
                <w:sz w:val="15"/>
              </w:rPr>
              <w:t>Platform / vendor / data risks</w:t>
            </w:r>
          </w:p>
        </w:tc>
        <w:tc>
          <w:tcPr>
            <w:tcW w:type="dxa" w:w="5141"/>
            <w:tcMar>
              <w:top w:w="55" w:type="dxa"/>
              <w:start w:w="70" w:type="dxa"/>
              <w:bottom w:w="55" w:type="dxa"/>
              <w:end w:w="70" w:type="dxa"/>
            </w:tcMar>
          </w:tcPr>
          <w:p>
            <w:r>
              <w:rPr>
                <w:rFonts w:ascii="Arial" w:hAnsi="Arial"/>
                <w:color w:val="1F2937"/>
                <w:sz w:val="15"/>
              </w:rPr>
              <w:t>____________________________________________________________</w:t>
            </w:r>
          </w:p>
        </w:tc>
      </w:tr>
      <w:tr>
        <w:tc>
          <w:tcPr>
            <w:tcW w:type="dxa" w:w="5141"/>
            <w:tcMar>
              <w:top w:w="55" w:type="dxa"/>
              <w:start w:w="70" w:type="dxa"/>
              <w:bottom w:w="55" w:type="dxa"/>
              <w:end w:w="70" w:type="dxa"/>
            </w:tcMar>
            <w:shd w:fill="F8FAFC"/>
          </w:tcPr>
          <w:p>
            <w:r>
              <w:rPr>
                <w:rFonts w:ascii="Arial" w:hAnsi="Arial"/>
                <w:color w:val="1F2937"/>
                <w:sz w:val="15"/>
              </w:rPr>
              <w:t>Consent, privacy, communication limits</w:t>
            </w:r>
          </w:p>
        </w:tc>
        <w:tc>
          <w:tcPr>
            <w:tcW w:type="dxa" w:w="5141"/>
            <w:tcMar>
              <w:top w:w="55" w:type="dxa"/>
              <w:start w:w="70" w:type="dxa"/>
              <w:bottom w:w="55" w:type="dxa"/>
              <w:end w:w="70" w:type="dxa"/>
            </w:tcMar>
            <w:shd w:fill="F8FAFC"/>
          </w:tcPr>
          <w:p>
            <w:r>
              <w:rPr>
                <w:rFonts w:ascii="Arial" w:hAnsi="Arial"/>
                <w:color w:val="1F2937"/>
                <w:sz w:val="15"/>
              </w:rPr>
              <w:t>____________________________________________________________</w:t>
            </w:r>
          </w:p>
        </w:tc>
      </w:tr>
      <w:tr>
        <w:tc>
          <w:tcPr>
            <w:tcW w:type="dxa" w:w="5141"/>
            <w:tcMar>
              <w:top w:w="55" w:type="dxa"/>
              <w:start w:w="70" w:type="dxa"/>
              <w:bottom w:w="55" w:type="dxa"/>
              <w:end w:w="70" w:type="dxa"/>
            </w:tcMar>
          </w:tcPr>
          <w:p>
            <w:r>
              <w:rPr>
                <w:rFonts w:ascii="Arial" w:hAnsi="Arial"/>
                <w:color w:val="1F2937"/>
                <w:sz w:val="15"/>
              </w:rPr>
              <w:t>Emergency and technology-failure plan</w:t>
            </w:r>
          </w:p>
        </w:tc>
        <w:tc>
          <w:tcPr>
            <w:tcW w:type="dxa" w:w="5141"/>
            <w:tcMar>
              <w:top w:w="55" w:type="dxa"/>
              <w:start w:w="70" w:type="dxa"/>
              <w:bottom w:w="55" w:type="dxa"/>
              <w:end w:w="70" w:type="dxa"/>
            </w:tcMar>
          </w:tcPr>
          <w:p>
            <w:r>
              <w:rPr>
                <w:rFonts w:ascii="Arial" w:hAnsi="Arial"/>
                <w:color w:val="1F2937"/>
                <w:sz w:val="15"/>
              </w:rPr>
              <w:t>____________________________________________________________</w:t>
            </w:r>
          </w:p>
        </w:tc>
      </w:tr>
      <w:tr>
        <w:tc>
          <w:tcPr>
            <w:tcW w:type="dxa" w:w="5141"/>
            <w:tcMar>
              <w:top w:w="55" w:type="dxa"/>
              <w:start w:w="70" w:type="dxa"/>
              <w:bottom w:w="55" w:type="dxa"/>
              <w:end w:w="70" w:type="dxa"/>
            </w:tcMar>
            <w:shd w:fill="F8FAFC"/>
          </w:tcPr>
          <w:p>
            <w:r>
              <w:rPr>
                <w:rFonts w:ascii="Arial" w:hAnsi="Arial"/>
                <w:color w:val="1F2937"/>
                <w:sz w:val="15"/>
              </w:rPr>
              <w:t>Human review, documentation, monitoring</w:t>
            </w:r>
          </w:p>
        </w:tc>
        <w:tc>
          <w:tcPr>
            <w:tcW w:type="dxa" w:w="5141"/>
            <w:tcMar>
              <w:top w:w="55" w:type="dxa"/>
              <w:start w:w="70" w:type="dxa"/>
              <w:bottom w:w="55" w:type="dxa"/>
              <w:end w:w="70" w:type="dxa"/>
            </w:tcMar>
            <w:shd w:fill="F8FAFC"/>
          </w:tcPr>
          <w:p>
            <w:r>
              <w:rPr>
                <w:rFonts w:ascii="Arial" w:hAnsi="Arial"/>
                <w:color w:val="1F2937"/>
                <w:sz w:val="15"/>
              </w:rPr>
              <w:t>____________________________________________________________</w:t>
            </w:r>
          </w:p>
        </w:tc>
      </w:tr>
    </w:tbl>
    <w:p>
      <w:pPr>
        <w:spacing w:after="0"/>
      </w:pPr>
    </w:p>
    <w:tbl>
      <w:tblPr>
        <w:tblW w:type="auto" w:w="0"/>
        <w:jc w:val="center"/>
        <w:tblLook w:firstColumn="1" w:firstRow="1" w:lastColumn="0" w:lastRow="0" w:noHBand="0" w:noVBand="1" w:val="04A0"/>
      </w:tblPr>
      <w:tblGrid>
        <w:gridCol w:w="10282"/>
      </w:tblGrid>
      <w:tr>
        <w:tc>
          <w:tcPr>
            <w:tcW w:type="dxa" w:w="10282"/>
            <w:shd w:fill="E8F4F4"/>
            <w:tcBorders>
              <w:top w:val="single" w:sz="8" w:color="159C9C"/>
              <w:left w:val="single" w:sz="8" w:color="159C9C"/>
              <w:bottom w:val="single" w:sz="8" w:color="159C9C"/>
              <w:right w:val="single" w:sz="8" w:color="159C9C"/>
            </w:tcBorders>
            <w:tcMar>
              <w:top w:w="90" w:type="dxa"/>
              <w:start w:w="120" w:type="dxa"/>
              <w:bottom w:w="90" w:type="dxa"/>
              <w:end w:w="120" w:type="dxa"/>
            </w:tcMar>
          </w:tcPr>
          <w:p>
            <w:pPr>
              <w:spacing w:after="40"/>
            </w:pPr>
            <w:r>
              <w:rPr>
                <w:rFonts w:ascii="Arial" w:hAnsi="Arial"/>
                <w:b/>
                <w:color w:val="17365D"/>
                <w:sz w:val="19"/>
              </w:rPr>
              <w:t>CLINICAL TAKEAWAY</w:t>
            </w:r>
          </w:p>
          <w:p>
            <w:pPr>
              <w:spacing w:after="0"/>
            </w:pPr>
            <w:r>
              <w:rPr>
                <w:rFonts w:ascii="Arial" w:hAnsi="Arial"/>
                <w:color w:val="1F2937"/>
                <w:sz w:val="18"/>
              </w:rPr>
              <w:t>Use technology only when the counselor can explain why it fits, how information is protected, what happens if it fails, and how human professional judgment remains in control.</w:t>
            </w:r>
          </w:p>
        </w:tc>
      </w:tr>
    </w:tbl>
    <w:p>
      <w:pPr>
        <w:spacing w:after="0"/>
      </w:pPr>
    </w:p>
    <w:p>
      <w:pPr>
        <w:pStyle w:val="ListBullet"/>
        <w:spacing w:after="36"/>
      </w:pPr>
      <w:r>
        <w:t>Verify location and jurisdiction.</w:t>
      </w:r>
    </w:p>
    <w:p>
      <w:pPr>
        <w:pStyle w:val="ListBullet"/>
        <w:spacing w:after="36"/>
      </w:pPr>
      <w:r>
        <w:t>Document telehealth consent.</w:t>
      </w:r>
    </w:p>
    <w:p>
      <w:pPr>
        <w:pStyle w:val="ListBullet"/>
        <w:spacing w:after="36"/>
      </w:pPr>
      <w:r>
        <w:t>Set communication and emergency expectations.</w:t>
      </w:r>
    </w:p>
    <w:p>
      <w:pPr>
        <w:pStyle w:val="ListBullet"/>
        <w:spacing w:after="36"/>
      </w:pPr>
      <w:r>
        <w:t>Review AI and EHR outputs rather than copying blindly.</w:t>
      </w:r>
    </w:p>
    <w:p>
      <w:pPr>
        <w:pStyle w:val="ListBullet"/>
        <w:spacing w:after="36"/>
      </w:pPr>
      <w:r>
        <w:t>Maintain human accountability and secure records.</w:t>
      </w:r>
    </w:p>
    <w:p>
      <w:r>
        <w:br w:type="page"/>
      </w:r>
    </w:p>
    <w:tbl>
      <w:tblPr>
        <w:tblW w:type="auto" w:w="0"/>
        <w:jc w:val="center"/>
        <w:tblLook w:firstColumn="1" w:firstRow="1" w:lastColumn="0" w:lastRow="0" w:noHBand="0" w:noVBand="1" w:val="04A0"/>
      </w:tblPr>
      <w:tblGrid>
        <w:gridCol w:w="10282"/>
      </w:tblGrid>
      <w:tr>
        <w:tc>
          <w:tcPr>
            <w:tcW w:type="dxa" w:w="10282"/>
            <w:shd w:fill="17365D"/>
            <w:tcBorders>
              <w:top w:val="single" w:sz="4" w:color="17365D"/>
              <w:left w:val="single" w:sz="4" w:color="17365D"/>
              <w:bottom w:val="single" w:sz="4" w:color="17365D"/>
              <w:right w:val="single" w:sz="4" w:color="17365D"/>
            </w:tcBorders>
            <w:tcMar>
              <w:top w:w="120" w:type="dxa"/>
              <w:start w:w="140" w:type="dxa"/>
              <w:bottom w:w="120" w:type="dxa"/>
              <w:end w:w="140" w:type="dxa"/>
            </w:tcMar>
          </w:tcPr>
          <w:p>
            <w:pPr>
              <w:jc w:val="center"/>
            </w:pPr>
            <w:r>
              <w:rPr>
                <w:rFonts w:ascii="Arial" w:hAnsi="Arial"/>
                <w:b/>
                <w:color w:val="159C9C"/>
                <w:sz w:val="20"/>
              </w:rPr>
              <w:t>CHAPTER 5</w:t>
            </w:r>
          </w:p>
          <w:p>
            <w:pPr>
              <w:jc w:val="center"/>
            </w:pPr>
            <w:r>
              <w:rPr>
                <w:rFonts w:ascii="Arial" w:hAnsi="Arial"/>
                <w:b/>
                <w:color w:val="FFFFFF"/>
                <w:sz w:val="34"/>
              </w:rPr>
              <w:t>Billing, Documentation Integrity, Emergency Planning, Continuity, and Risk Management</w:t>
            </w:r>
          </w:p>
        </w:tc>
      </w:tr>
      <w:tr>
        <w:tc>
          <w:tcPr>
            <w:tcW w:type="dxa" w:w="10282"/>
            <w:shd w:fill="E8F4F4"/>
            <w:tcBorders>
              <w:top w:val="single" w:sz="4" w:color="17365D"/>
              <w:left w:val="single" w:sz="4" w:color="17365D"/>
              <w:bottom w:val="single" w:sz="4" w:color="17365D"/>
              <w:right w:val="single" w:sz="4" w:color="17365D"/>
            </w:tcBorders>
            <w:tcMar>
              <w:top w:w="120" w:type="dxa"/>
              <w:start w:w="140" w:type="dxa"/>
              <w:bottom w:w="120" w:type="dxa"/>
              <w:end w:w="140" w:type="dxa"/>
            </w:tcMar>
          </w:tcPr>
          <w:p>
            <w:r>
              <w:rPr>
                <w:rFonts w:ascii="Arial" w:hAnsi="Arial"/>
                <w:b/>
                <w:color w:val="17365D"/>
                <w:sz w:val="18"/>
              </w:rPr>
              <w:t xml:space="preserve">BIG IDEA  </w:t>
            </w:r>
            <w:r>
              <w:rPr>
                <w:rFonts w:ascii="Arial" w:hAnsi="Arial"/>
                <w:color w:val="1F2937"/>
                <w:sz w:val="18"/>
              </w:rPr>
              <w:t>A defensible practice is accurate, transparent, prepared, and continuous; it does not create documentation after the fact to justify an unsupported decision.</w:t>
            </w:r>
          </w:p>
        </w:tc>
      </w:tr>
    </w:tbl>
    <w:p>
      <w:pPr>
        <w:spacing w:after="0"/>
      </w:pPr>
    </w:p>
    <w:p>
      <w:pPr>
        <w:spacing w:after="100"/>
      </w:pPr>
      <w:r>
        <w:rPr>
          <w:rFonts w:ascii="Arial" w:hAnsi="Arial"/>
          <w:b w:val="0"/>
          <w:i w:val="0"/>
          <w:color w:val="1F2937"/>
          <w:sz w:val="19"/>
        </w:rPr>
        <w:t>Professional practice includes the systems around counseling: fees, coding, insurance, recordkeeping, scheduling, emergency coverage, termination, disability access, business continuity, liability protection, and quality improvement. These systems affect client welfare and are exam-relevant because failures often create preventable harm.</w:t>
      </w:r>
    </w:p>
    <w:p>
      <w:pPr>
        <w:pStyle w:val="Heading2"/>
        <w:keepNext/>
      </w:pPr>
      <w:r>
        <w:t>The DEFEND Professional-Practice Tool</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7365D"/>
            <w:vAlign w:val="center"/>
            <w:tcMar>
              <w:top w:w="70" w:type="dxa"/>
              <w:start w:w="75" w:type="dxa"/>
              <w:bottom w:w="70" w:type="dxa"/>
              <w:end w:w="75" w:type="dxa"/>
            </w:tcMar>
          </w:tcPr>
          <w:p>
            <w:pPr>
              <w:jc w:val="center"/>
            </w:pPr>
            <w:r>
              <w:rPr>
                <w:rFonts w:ascii="Arial" w:hAnsi="Arial"/>
                <w:b/>
                <w:color w:val="FFFFFF"/>
                <w:sz w:val="15"/>
              </w:rPr>
              <w:t>Step</w:t>
            </w:r>
          </w:p>
        </w:tc>
        <w:tc>
          <w:tcPr>
            <w:tcW w:type="dxa" w:w="5141"/>
            <w:shd w:fill="17365D"/>
            <w:vAlign w:val="center"/>
            <w:tcMar>
              <w:top w:w="70" w:type="dxa"/>
              <w:start w:w="75" w:type="dxa"/>
              <w:bottom w:w="70" w:type="dxa"/>
              <w:end w:w="75" w:type="dxa"/>
            </w:tcMar>
          </w:tcPr>
          <w:p>
            <w:pPr>
              <w:jc w:val="center"/>
            </w:pPr>
            <w:r>
              <w:rPr>
                <w:rFonts w:ascii="Arial" w:hAnsi="Arial"/>
                <w:b/>
                <w:color w:val="FFFFFF"/>
                <w:sz w:val="15"/>
              </w:rPr>
              <w:t>Question to Ask</w:t>
            </w:r>
          </w:p>
        </w:tc>
      </w:tr>
      <w:tr>
        <w:tc>
          <w:tcPr>
            <w:tcW w:type="dxa" w:w="5141"/>
            <w:tcMar>
              <w:top w:w="55" w:type="dxa"/>
              <w:start w:w="70" w:type="dxa"/>
              <w:bottom w:w="55" w:type="dxa"/>
              <w:end w:w="70" w:type="dxa"/>
            </w:tcMar>
          </w:tcPr>
          <w:p>
            <w:r>
              <w:rPr>
                <w:rFonts w:ascii="Arial" w:hAnsi="Arial"/>
                <w:color w:val="1F2937"/>
                <w:sz w:val="15"/>
              </w:rPr>
              <w:t>D - Document contemporaneously</w:t>
            </w:r>
          </w:p>
        </w:tc>
        <w:tc>
          <w:tcPr>
            <w:tcW w:type="dxa" w:w="5141"/>
            <w:tcMar>
              <w:top w:w="55" w:type="dxa"/>
              <w:start w:w="70" w:type="dxa"/>
              <w:bottom w:w="55" w:type="dxa"/>
              <w:end w:w="70" w:type="dxa"/>
            </w:tcMar>
          </w:tcPr>
          <w:p>
            <w:r>
              <w:rPr>
                <w:rFonts w:ascii="Arial" w:hAnsi="Arial"/>
                <w:color w:val="1F2937"/>
                <w:sz w:val="15"/>
              </w:rPr>
              <w:t>What facts, assessment, decision, intervention, response, consultation, and follow-up belong in the record?</w:t>
            </w:r>
          </w:p>
        </w:tc>
      </w:tr>
      <w:tr>
        <w:tc>
          <w:tcPr>
            <w:tcW w:type="dxa" w:w="5141"/>
            <w:tcMar>
              <w:top w:w="55" w:type="dxa"/>
              <w:start w:w="70" w:type="dxa"/>
              <w:bottom w:w="55" w:type="dxa"/>
              <w:end w:w="70" w:type="dxa"/>
            </w:tcMar>
            <w:shd w:fill="F8FAFC"/>
          </w:tcPr>
          <w:p>
            <w:r>
              <w:rPr>
                <w:rFonts w:ascii="Arial" w:hAnsi="Arial"/>
                <w:color w:val="1F2937"/>
                <w:sz w:val="15"/>
              </w:rPr>
              <w:t>E - Emergency and disruption planning</w:t>
            </w:r>
          </w:p>
        </w:tc>
        <w:tc>
          <w:tcPr>
            <w:tcW w:type="dxa" w:w="5141"/>
            <w:tcMar>
              <w:top w:w="55" w:type="dxa"/>
              <w:start w:w="70" w:type="dxa"/>
              <w:bottom w:w="55" w:type="dxa"/>
              <w:end w:w="70" w:type="dxa"/>
            </w:tcMar>
            <w:shd w:fill="F8FAFC"/>
          </w:tcPr>
          <w:p>
            <w:r>
              <w:rPr>
                <w:rFonts w:ascii="Arial" w:hAnsi="Arial"/>
                <w:color w:val="1F2937"/>
                <w:sz w:val="15"/>
              </w:rPr>
              <w:t>How will urgent messages, absences, disasters, technology failures, hospitalization, or sudden practice closure be handled?</w:t>
            </w:r>
          </w:p>
        </w:tc>
      </w:tr>
      <w:tr>
        <w:tc>
          <w:tcPr>
            <w:tcW w:type="dxa" w:w="5141"/>
            <w:tcMar>
              <w:top w:w="55" w:type="dxa"/>
              <w:start w:w="70" w:type="dxa"/>
              <w:bottom w:w="55" w:type="dxa"/>
              <w:end w:w="70" w:type="dxa"/>
            </w:tcMar>
          </w:tcPr>
          <w:p>
            <w:r>
              <w:rPr>
                <w:rFonts w:ascii="Arial" w:hAnsi="Arial"/>
                <w:color w:val="1F2937"/>
                <w:sz w:val="15"/>
              </w:rPr>
              <w:t>F - Fees, billing, and insurance</w:t>
            </w:r>
          </w:p>
        </w:tc>
        <w:tc>
          <w:tcPr>
            <w:tcW w:type="dxa" w:w="5141"/>
            <w:tcMar>
              <w:top w:w="55" w:type="dxa"/>
              <w:start w:w="70" w:type="dxa"/>
              <w:bottom w:w="55" w:type="dxa"/>
              <w:end w:w="70" w:type="dxa"/>
            </w:tcMar>
          </w:tcPr>
          <w:p>
            <w:r>
              <w:rPr>
                <w:rFonts w:ascii="Arial" w:hAnsi="Arial"/>
                <w:color w:val="1F2937"/>
                <w:sz w:val="15"/>
              </w:rPr>
              <w:t>Were fees and policies disclosed? Does the claim accurately reflect the service, diagnosis, time, provider, and documentation?</w:t>
            </w:r>
          </w:p>
        </w:tc>
      </w:tr>
      <w:tr>
        <w:tc>
          <w:tcPr>
            <w:tcW w:type="dxa" w:w="5141"/>
            <w:tcMar>
              <w:top w:w="55" w:type="dxa"/>
              <w:start w:w="70" w:type="dxa"/>
              <w:bottom w:w="55" w:type="dxa"/>
              <w:end w:w="70" w:type="dxa"/>
            </w:tcMar>
            <w:shd w:fill="F8FAFC"/>
          </w:tcPr>
          <w:p>
            <w:r>
              <w:rPr>
                <w:rFonts w:ascii="Arial" w:hAnsi="Arial"/>
                <w:color w:val="1F2937"/>
                <w:sz w:val="15"/>
              </w:rPr>
              <w:t>E - Ethical accuracy and auditability</w:t>
            </w:r>
          </w:p>
        </w:tc>
        <w:tc>
          <w:tcPr>
            <w:tcW w:type="dxa" w:w="5141"/>
            <w:tcMar>
              <w:top w:w="55" w:type="dxa"/>
              <w:start w:w="70" w:type="dxa"/>
              <w:bottom w:w="55" w:type="dxa"/>
              <w:end w:w="70" w:type="dxa"/>
            </w:tcMar>
            <w:shd w:fill="F8FAFC"/>
          </w:tcPr>
          <w:p>
            <w:r>
              <w:rPr>
                <w:rFonts w:ascii="Arial" w:hAnsi="Arial"/>
                <w:color w:val="1F2937"/>
                <w:sz w:val="15"/>
              </w:rPr>
              <w:t>Can the record, schedule, claim, and communication be reconciled without hidden alteration, cloning, or exaggeration?</w:t>
            </w:r>
          </w:p>
        </w:tc>
      </w:tr>
      <w:tr>
        <w:tc>
          <w:tcPr>
            <w:tcW w:type="dxa" w:w="5141"/>
            <w:tcMar>
              <w:top w:w="55" w:type="dxa"/>
              <w:start w:w="70" w:type="dxa"/>
              <w:bottom w:w="55" w:type="dxa"/>
              <w:end w:w="70" w:type="dxa"/>
            </w:tcMar>
          </w:tcPr>
          <w:p>
            <w:r>
              <w:rPr>
                <w:rFonts w:ascii="Arial" w:hAnsi="Arial"/>
                <w:color w:val="1F2937"/>
                <w:sz w:val="15"/>
              </w:rPr>
              <w:t>N - Next step and continuity</w:t>
            </w:r>
          </w:p>
        </w:tc>
        <w:tc>
          <w:tcPr>
            <w:tcW w:type="dxa" w:w="5141"/>
            <w:tcMar>
              <w:top w:w="55" w:type="dxa"/>
              <w:start w:w="70" w:type="dxa"/>
              <w:bottom w:w="55" w:type="dxa"/>
              <w:end w:w="70" w:type="dxa"/>
            </w:tcMar>
          </w:tcPr>
          <w:p>
            <w:r>
              <w:rPr>
                <w:rFonts w:ascii="Arial" w:hAnsi="Arial"/>
                <w:color w:val="1F2937"/>
                <w:sz w:val="15"/>
              </w:rPr>
              <w:t>Who needs follow-up, referral, transition, termination planning, records transfer, or closure communication?</w:t>
            </w:r>
          </w:p>
        </w:tc>
      </w:tr>
      <w:tr>
        <w:tc>
          <w:tcPr>
            <w:tcW w:type="dxa" w:w="5141"/>
            <w:tcMar>
              <w:top w:w="55" w:type="dxa"/>
              <w:start w:w="70" w:type="dxa"/>
              <w:bottom w:w="55" w:type="dxa"/>
              <w:end w:w="70" w:type="dxa"/>
            </w:tcMar>
            <w:shd w:fill="F8FAFC"/>
          </w:tcPr>
          <w:p>
            <w:r>
              <w:rPr>
                <w:rFonts w:ascii="Arial" w:hAnsi="Arial"/>
                <w:color w:val="1F2937"/>
                <w:sz w:val="15"/>
              </w:rPr>
              <w:t>D - Debrief, update, and protect</w:t>
            </w:r>
          </w:p>
        </w:tc>
        <w:tc>
          <w:tcPr>
            <w:tcW w:type="dxa" w:w="5141"/>
            <w:tcMar>
              <w:top w:w="55" w:type="dxa"/>
              <w:start w:w="70" w:type="dxa"/>
              <w:bottom w:w="55" w:type="dxa"/>
              <w:end w:w="70" w:type="dxa"/>
            </w:tcMar>
            <w:shd w:fill="F8FAFC"/>
          </w:tcPr>
          <w:p>
            <w:r>
              <w:rPr>
                <w:rFonts w:ascii="Arial" w:hAnsi="Arial"/>
                <w:color w:val="1F2937"/>
                <w:sz w:val="15"/>
              </w:rPr>
              <w:t>Review incidents, consultation, competence, policy changes, liability coverage, and system improvements.</w:t>
            </w:r>
          </w:p>
        </w:tc>
      </w:tr>
    </w:tbl>
    <w:p>
      <w:pPr>
        <w:spacing w:after="0"/>
      </w:pPr>
    </w:p>
    <w:p>
      <w:pPr>
        <w:pStyle w:val="Heading2"/>
        <w:keepNext/>
      </w:pPr>
      <w:r>
        <w:t>Documentation That Teaches the Record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7365D"/>
            <w:vAlign w:val="center"/>
            <w:tcMar>
              <w:top w:w="70" w:type="dxa"/>
              <w:start w:w="75" w:type="dxa"/>
              <w:bottom w:w="70" w:type="dxa"/>
              <w:end w:w="75" w:type="dxa"/>
            </w:tcMar>
          </w:tcPr>
          <w:p>
            <w:pPr>
              <w:jc w:val="center"/>
            </w:pPr>
            <w:r>
              <w:rPr>
                <w:rFonts w:ascii="Arial" w:hAnsi="Arial"/>
                <w:b/>
                <w:color w:val="FFFFFF"/>
                <w:sz w:val="14"/>
              </w:rPr>
              <w:t>Include</w:t>
            </w:r>
          </w:p>
        </w:tc>
        <w:tc>
          <w:tcPr>
            <w:tcW w:type="dxa" w:w="5141"/>
            <w:shd w:fill="17365D"/>
            <w:vAlign w:val="center"/>
            <w:tcMar>
              <w:top w:w="70" w:type="dxa"/>
              <w:start w:w="75" w:type="dxa"/>
              <w:bottom w:w="70" w:type="dxa"/>
              <w:end w:w="75" w:type="dxa"/>
            </w:tcMar>
          </w:tcPr>
          <w:p>
            <w:pPr>
              <w:jc w:val="center"/>
            </w:pPr>
            <w:r>
              <w:rPr>
                <w:rFonts w:ascii="Arial" w:hAnsi="Arial"/>
                <w:b/>
                <w:color w:val="FFFFFF"/>
                <w:sz w:val="14"/>
              </w:rPr>
              <w:t>Avoid</w:t>
            </w:r>
          </w:p>
        </w:tc>
      </w:tr>
      <w:tr>
        <w:tc>
          <w:tcPr>
            <w:tcW w:type="dxa" w:w="5141"/>
            <w:tcMar>
              <w:top w:w="55" w:type="dxa"/>
              <w:start w:w="70" w:type="dxa"/>
              <w:bottom w:w="55" w:type="dxa"/>
              <w:end w:w="70" w:type="dxa"/>
            </w:tcMar>
          </w:tcPr>
          <w:p>
            <w:r>
              <w:rPr>
                <w:rFonts w:ascii="Arial" w:hAnsi="Arial"/>
                <w:color w:val="1F2937"/>
                <w:sz w:val="14"/>
              </w:rPr>
              <w:t>Relevant observations and client report</w:t>
            </w:r>
          </w:p>
        </w:tc>
        <w:tc>
          <w:tcPr>
            <w:tcW w:type="dxa" w:w="5141"/>
            <w:tcMar>
              <w:top w:w="55" w:type="dxa"/>
              <w:start w:w="70" w:type="dxa"/>
              <w:bottom w:w="55" w:type="dxa"/>
              <w:end w:w="70" w:type="dxa"/>
            </w:tcMar>
          </w:tcPr>
          <w:p>
            <w:r>
              <w:rPr>
                <w:rFonts w:ascii="Arial" w:hAnsi="Arial"/>
                <w:color w:val="1F2937"/>
                <w:sz w:val="14"/>
              </w:rPr>
              <w:t>Unsupported conclusions or stigmatizing labels</w:t>
            </w:r>
          </w:p>
        </w:tc>
      </w:tr>
      <w:tr>
        <w:tc>
          <w:tcPr>
            <w:tcW w:type="dxa" w:w="5141"/>
            <w:tcMar>
              <w:top w:w="55" w:type="dxa"/>
              <w:start w:w="70" w:type="dxa"/>
              <w:bottom w:w="55" w:type="dxa"/>
              <w:end w:w="70" w:type="dxa"/>
            </w:tcMar>
            <w:shd w:fill="F8FAFC"/>
          </w:tcPr>
          <w:p>
            <w:r>
              <w:rPr>
                <w:rFonts w:ascii="Arial" w:hAnsi="Arial"/>
                <w:color w:val="1F2937"/>
                <w:sz w:val="14"/>
              </w:rPr>
              <w:t>Assessment, risk formulation, and clinical reasoning</w:t>
            </w:r>
          </w:p>
        </w:tc>
        <w:tc>
          <w:tcPr>
            <w:tcW w:type="dxa" w:w="5141"/>
            <w:tcMar>
              <w:top w:w="55" w:type="dxa"/>
              <w:start w:w="70" w:type="dxa"/>
              <w:bottom w:w="55" w:type="dxa"/>
              <w:end w:w="70" w:type="dxa"/>
            </w:tcMar>
            <w:shd w:fill="F8FAFC"/>
          </w:tcPr>
          <w:p>
            <w:r>
              <w:rPr>
                <w:rFonts w:ascii="Arial" w:hAnsi="Arial"/>
                <w:color w:val="1F2937"/>
                <w:sz w:val="14"/>
              </w:rPr>
              <w:t>A checklist with no interpretation when interpretation is needed</w:t>
            </w:r>
          </w:p>
        </w:tc>
      </w:tr>
      <w:tr>
        <w:tc>
          <w:tcPr>
            <w:tcW w:type="dxa" w:w="5141"/>
            <w:tcMar>
              <w:top w:w="55" w:type="dxa"/>
              <w:start w:w="70" w:type="dxa"/>
              <w:bottom w:w="55" w:type="dxa"/>
              <w:end w:w="70" w:type="dxa"/>
            </w:tcMar>
          </w:tcPr>
          <w:p>
            <w:r>
              <w:rPr>
                <w:rFonts w:ascii="Arial" w:hAnsi="Arial"/>
                <w:color w:val="1F2937"/>
                <w:sz w:val="14"/>
              </w:rPr>
              <w:t>Intervention and client response</w:t>
            </w:r>
          </w:p>
        </w:tc>
        <w:tc>
          <w:tcPr>
            <w:tcW w:type="dxa" w:w="5141"/>
            <w:tcMar>
              <w:top w:w="55" w:type="dxa"/>
              <w:start w:w="70" w:type="dxa"/>
              <w:bottom w:w="55" w:type="dxa"/>
              <w:end w:w="70" w:type="dxa"/>
            </w:tcMar>
          </w:tcPr>
          <w:p>
            <w:r>
              <w:rPr>
                <w:rFonts w:ascii="Arial" w:hAnsi="Arial"/>
                <w:color w:val="1F2937"/>
                <w:sz w:val="14"/>
              </w:rPr>
              <w:t>Generic copied language that did not occur</w:t>
            </w:r>
          </w:p>
        </w:tc>
      </w:tr>
      <w:tr>
        <w:tc>
          <w:tcPr>
            <w:tcW w:type="dxa" w:w="5141"/>
            <w:tcMar>
              <w:top w:w="55" w:type="dxa"/>
              <w:start w:w="70" w:type="dxa"/>
              <w:bottom w:w="55" w:type="dxa"/>
              <w:end w:w="70" w:type="dxa"/>
            </w:tcMar>
            <w:shd w:fill="F8FAFC"/>
          </w:tcPr>
          <w:p>
            <w:r>
              <w:rPr>
                <w:rFonts w:ascii="Arial" w:hAnsi="Arial"/>
                <w:color w:val="1F2937"/>
                <w:sz w:val="14"/>
              </w:rPr>
              <w:t>Consultation, coordination, and legal/ethical action</w:t>
            </w:r>
          </w:p>
        </w:tc>
        <w:tc>
          <w:tcPr>
            <w:tcW w:type="dxa" w:w="5141"/>
            <w:tcMar>
              <w:top w:w="55" w:type="dxa"/>
              <w:start w:w="70" w:type="dxa"/>
              <w:bottom w:w="55" w:type="dxa"/>
              <w:end w:w="70" w:type="dxa"/>
            </w:tcMar>
            <w:shd w:fill="F8FAFC"/>
          </w:tcPr>
          <w:p>
            <w:r>
              <w:rPr>
                <w:rFonts w:ascii="Arial" w:hAnsi="Arial"/>
                <w:color w:val="1F2937"/>
                <w:sz w:val="14"/>
              </w:rPr>
              <w:t>Defensive blame or irrelevant personal opinions</w:t>
            </w:r>
          </w:p>
        </w:tc>
      </w:tr>
      <w:tr>
        <w:tc>
          <w:tcPr>
            <w:tcW w:type="dxa" w:w="5141"/>
            <w:tcMar>
              <w:top w:w="55" w:type="dxa"/>
              <w:start w:w="70" w:type="dxa"/>
              <w:bottom w:w="55" w:type="dxa"/>
              <w:end w:w="70" w:type="dxa"/>
            </w:tcMar>
          </w:tcPr>
          <w:p>
            <w:r>
              <w:rPr>
                <w:rFonts w:ascii="Arial" w:hAnsi="Arial"/>
                <w:color w:val="1F2937"/>
                <w:sz w:val="14"/>
              </w:rPr>
              <w:t>Plan, responsible party, timing, and follow-up</w:t>
            </w:r>
          </w:p>
        </w:tc>
        <w:tc>
          <w:tcPr>
            <w:tcW w:type="dxa" w:w="5141"/>
            <w:tcMar>
              <w:top w:w="55" w:type="dxa"/>
              <w:start w:w="70" w:type="dxa"/>
              <w:bottom w:w="55" w:type="dxa"/>
              <w:end w:w="70" w:type="dxa"/>
            </w:tcMar>
          </w:tcPr>
          <w:p>
            <w:r>
              <w:rPr>
                <w:rFonts w:ascii="Arial" w:hAnsi="Arial"/>
                <w:color w:val="1F2937"/>
                <w:sz w:val="14"/>
              </w:rPr>
              <w:t>Vague “follow up as needed” when risk or continuity requires specifics</w:t>
            </w:r>
          </w:p>
        </w:tc>
      </w:tr>
      <w:tr>
        <w:tc>
          <w:tcPr>
            <w:tcW w:type="dxa" w:w="5141"/>
            <w:tcMar>
              <w:top w:w="55" w:type="dxa"/>
              <w:start w:w="70" w:type="dxa"/>
              <w:bottom w:w="55" w:type="dxa"/>
              <w:end w:w="70" w:type="dxa"/>
            </w:tcMar>
            <w:shd w:fill="F8FAFC"/>
          </w:tcPr>
          <w:p>
            <w:r>
              <w:rPr>
                <w:rFonts w:ascii="Arial" w:hAnsi="Arial"/>
                <w:color w:val="1F2937"/>
                <w:sz w:val="14"/>
              </w:rPr>
              <w:t>Transparent correction or addendum</w:t>
            </w:r>
          </w:p>
        </w:tc>
        <w:tc>
          <w:tcPr>
            <w:tcW w:type="dxa" w:w="5141"/>
            <w:tcMar>
              <w:top w:w="55" w:type="dxa"/>
              <w:start w:w="70" w:type="dxa"/>
              <w:bottom w:w="55" w:type="dxa"/>
              <w:end w:w="70" w:type="dxa"/>
            </w:tcMar>
            <w:shd w:fill="F8FAFC"/>
          </w:tcPr>
          <w:p>
            <w:r>
              <w:rPr>
                <w:rFonts w:ascii="Arial" w:hAnsi="Arial"/>
                <w:color w:val="1F2937"/>
                <w:sz w:val="14"/>
              </w:rPr>
              <w:t>Backdating, deletion, silent rewriting, or altering a record after a request</w:t>
            </w:r>
          </w:p>
        </w:tc>
      </w:tr>
    </w:tbl>
    <w:p>
      <w:pPr>
        <w:spacing w:after="0"/>
      </w:pPr>
    </w:p>
    <w:p>
      <w:pPr>
        <w:pStyle w:val="Heading2"/>
        <w:keepNext/>
      </w:pPr>
      <w:r>
        <w:t>Billing and Insurance Integrity</w:t>
      </w:r>
    </w:p>
    <w:p>
      <w:pPr>
        <w:pStyle w:val="ListBullet"/>
        <w:spacing w:after="56"/>
      </w:pPr>
      <w:r>
        <w:t>Disclose fees or the basis for calculating them before treatment begins and explain insurance or out-of-network limits accurately.</w:t>
      </w:r>
    </w:p>
    <w:p>
      <w:pPr>
        <w:pStyle w:val="ListBullet"/>
        <w:spacing w:after="56"/>
      </w:pPr>
      <w:r>
        <w:t>Bill only for services actually provided, by the actual provider, for the documented time and service type, using accurate diagnosis and coding information.</w:t>
      </w:r>
    </w:p>
    <w:p>
      <w:pPr>
        <w:pStyle w:val="ListBullet"/>
        <w:spacing w:after="56"/>
      </w:pPr>
      <w:r>
        <w:t>Do not create or intensify a diagnosis solely to obtain reimbursement. When a diagnosis is required, it must be clinically supportable and documented.</w:t>
      </w:r>
    </w:p>
    <w:p>
      <w:pPr>
        <w:pStyle w:val="ListBullet"/>
        <w:spacing w:after="56"/>
      </w:pPr>
      <w:r>
        <w:t>Do not waive, adjust, or collect fees in a deceptive or discriminatory way. Follow contract, law, and payer requirements while maintaining informed client communication.</w:t>
      </w:r>
    </w:p>
    <w:p>
      <w:pPr>
        <w:pStyle w:val="Heading2"/>
        <w:keepNext/>
      </w:pPr>
      <w:r>
        <w:t>Continuity and Emergency Systems</w:t>
      </w:r>
    </w:p>
    <w:p>
      <w:pPr>
        <w:pStyle w:val="ListBullet"/>
        <w:spacing w:after="56"/>
      </w:pPr>
      <w:r>
        <w:t>Maintain a practice emergency plan for client crises, counselor incapacity, natural disasters, technology outages, records access, and unexpected closure.</w:t>
      </w:r>
    </w:p>
    <w:p>
      <w:pPr>
        <w:pStyle w:val="ListBullet"/>
        <w:spacing w:after="56"/>
      </w:pPr>
      <w:r>
        <w:t>Plan termination and transfer rather than ending abruptly when clinically active needs remain. Give reasonable notice, referrals, records procedures, and crisis information as appropriate.</w:t>
      </w:r>
    </w:p>
    <w:p>
      <w:pPr>
        <w:pStyle w:val="ListBullet"/>
        <w:spacing w:after="56"/>
      </w:pPr>
      <w:r>
        <w:t>Review coverage, voicemail, portal, and after-hours statements so clients understand what is and is not monitored and where to seek urgent help.</w:t>
      </w:r>
    </w:p>
    <w:p>
      <w:pPr>
        <w:pStyle w:val="ListBullet"/>
        <w:spacing w:after="56"/>
      </w:pPr>
      <w:r>
        <w:t>Use professional liability coverage, consultation, incident review, and annual legal/technology updates as risk-management supports rather than substitutes for competent care.</w:t>
      </w:r>
    </w:p>
    <w:tbl>
      <w:tblPr>
        <w:tblW w:type="auto" w:w="0"/>
        <w:jc w:val="center"/>
        <w:tblLook w:firstColumn="1" w:firstRow="1" w:lastColumn="0" w:lastRow="0" w:noHBand="0" w:noVBand="1" w:val="04A0"/>
      </w:tblPr>
      <w:tblGrid>
        <w:gridCol w:w="10282"/>
      </w:tblGrid>
      <w:tr>
        <w:tc>
          <w:tcPr>
            <w:tcW w:type="dxa" w:w="10282"/>
            <w:shd w:fill="FBE9E7"/>
            <w:tcBorders>
              <w:top w:val="single" w:sz="8" w:color="C94A3A"/>
              <w:left w:val="single" w:sz="8" w:color="C94A3A"/>
              <w:bottom w:val="single" w:sz="8" w:color="C94A3A"/>
              <w:right w:val="single" w:sz="8" w:color="C94A3A"/>
            </w:tcBorders>
            <w:tcMar>
              <w:top w:w="90" w:type="dxa"/>
              <w:start w:w="120" w:type="dxa"/>
              <w:bottom w:w="90" w:type="dxa"/>
              <w:end w:w="120" w:type="dxa"/>
            </w:tcMar>
          </w:tcPr>
          <w:p>
            <w:pPr>
              <w:spacing w:after="40"/>
            </w:pPr>
            <w:r>
              <w:rPr>
                <w:rFonts w:ascii="Arial" w:hAnsi="Arial"/>
                <w:b/>
                <w:color w:val="17365D"/>
                <w:sz w:val="19"/>
              </w:rPr>
              <w:t>COMMON TRAP</w:t>
            </w:r>
          </w:p>
          <w:p>
            <w:pPr>
              <w:spacing w:after="0"/>
            </w:pPr>
            <w:r>
              <w:rPr>
                <w:rFonts w:ascii="Arial" w:hAnsi="Arial"/>
                <w:color w:val="1F2937"/>
                <w:sz w:val="18"/>
              </w:rPr>
              <w:t>A thorough note does not cure a poor decision, and a short note does not automatically prove negligence. The best documentation accurately shows the facts, reasoning, action, client response, and follow-up that actually occurred.</w:t>
            </w:r>
          </w:p>
        </w:tc>
      </w:tr>
    </w:tbl>
    <w:p>
      <w:pPr>
        <w:spacing w:after="0"/>
      </w:pPr>
    </w:p>
    <w:p>
      <w:pPr>
        <w:pStyle w:val="Heading2"/>
        <w:keepNext/>
      </w:pPr>
      <w:r>
        <w:t>DEFEND Practice Worksheet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7365D"/>
            <w:vAlign w:val="center"/>
            <w:tcMar>
              <w:top w:w="70" w:type="dxa"/>
              <w:start w:w="75" w:type="dxa"/>
              <w:bottom w:w="70" w:type="dxa"/>
              <w:end w:w="75" w:type="dxa"/>
            </w:tcMar>
          </w:tcPr>
          <w:p>
            <w:pPr>
              <w:jc w:val="center"/>
            </w:pPr>
            <w:r>
              <w:rPr>
                <w:rFonts w:ascii="Arial" w:hAnsi="Arial"/>
                <w:b/>
                <w:color w:val="FFFFFF"/>
                <w:sz w:val="15"/>
              </w:rPr>
              <w:t>Prompt</w:t>
            </w:r>
          </w:p>
        </w:tc>
        <w:tc>
          <w:tcPr>
            <w:tcW w:type="dxa" w:w="5141"/>
            <w:shd w:fill="17365D"/>
            <w:vAlign w:val="center"/>
            <w:tcMar>
              <w:top w:w="70" w:type="dxa"/>
              <w:start w:w="75" w:type="dxa"/>
              <w:bottom w:w="70" w:type="dxa"/>
              <w:end w:w="75" w:type="dxa"/>
            </w:tcMar>
          </w:tcPr>
          <w:p>
            <w:pPr>
              <w:jc w:val="center"/>
            </w:pPr>
            <w:r>
              <w:rPr>
                <w:rFonts w:ascii="Arial" w:hAnsi="Arial"/>
                <w:b/>
                <w:color w:val="FFFFFF"/>
                <w:sz w:val="15"/>
              </w:rPr>
              <w:t>My Notes</w:t>
            </w:r>
          </w:p>
        </w:tc>
      </w:tr>
      <w:tr>
        <w:tc>
          <w:tcPr>
            <w:tcW w:type="dxa" w:w="5141"/>
            <w:tcMar>
              <w:top w:w="55" w:type="dxa"/>
              <w:start w:w="70" w:type="dxa"/>
              <w:bottom w:w="55" w:type="dxa"/>
              <w:end w:w="70" w:type="dxa"/>
            </w:tcMar>
          </w:tcPr>
          <w:p>
            <w:r>
              <w:rPr>
                <w:rFonts w:ascii="Arial" w:hAnsi="Arial"/>
                <w:color w:val="1F2937"/>
                <w:sz w:val="15"/>
              </w:rPr>
              <w:t>Clinical facts and reasoning to document</w:t>
            </w:r>
          </w:p>
        </w:tc>
        <w:tc>
          <w:tcPr>
            <w:tcW w:type="dxa" w:w="5141"/>
            <w:tcMar>
              <w:top w:w="55" w:type="dxa"/>
              <w:start w:w="70" w:type="dxa"/>
              <w:bottom w:w="55" w:type="dxa"/>
              <w:end w:w="70" w:type="dxa"/>
            </w:tcMar>
          </w:tcPr>
          <w:p>
            <w:r>
              <w:rPr>
                <w:rFonts w:ascii="Arial" w:hAnsi="Arial"/>
                <w:color w:val="1F2937"/>
                <w:sz w:val="15"/>
              </w:rPr>
              <w:t>____________________________________________________________</w:t>
            </w:r>
          </w:p>
        </w:tc>
      </w:tr>
      <w:tr>
        <w:tc>
          <w:tcPr>
            <w:tcW w:type="dxa" w:w="5141"/>
            <w:tcMar>
              <w:top w:w="55" w:type="dxa"/>
              <w:start w:w="70" w:type="dxa"/>
              <w:bottom w:w="55" w:type="dxa"/>
              <w:end w:w="70" w:type="dxa"/>
            </w:tcMar>
            <w:shd w:fill="F8FAFC"/>
          </w:tcPr>
          <w:p>
            <w:r>
              <w:rPr>
                <w:rFonts w:ascii="Arial" w:hAnsi="Arial"/>
                <w:color w:val="1F2937"/>
                <w:sz w:val="15"/>
              </w:rPr>
              <w:t>Emergency / disruption issue</w:t>
            </w:r>
          </w:p>
        </w:tc>
        <w:tc>
          <w:tcPr>
            <w:tcW w:type="dxa" w:w="5141"/>
            <w:tcMar>
              <w:top w:w="55" w:type="dxa"/>
              <w:start w:w="70" w:type="dxa"/>
              <w:bottom w:w="55" w:type="dxa"/>
              <w:end w:w="70" w:type="dxa"/>
            </w:tcMar>
            <w:shd w:fill="F8FAFC"/>
          </w:tcPr>
          <w:p>
            <w:r>
              <w:rPr>
                <w:rFonts w:ascii="Arial" w:hAnsi="Arial"/>
                <w:color w:val="1F2937"/>
                <w:sz w:val="15"/>
              </w:rPr>
              <w:t>____________________________________________________________</w:t>
            </w:r>
          </w:p>
        </w:tc>
      </w:tr>
      <w:tr>
        <w:tc>
          <w:tcPr>
            <w:tcW w:type="dxa" w:w="5141"/>
            <w:tcMar>
              <w:top w:w="55" w:type="dxa"/>
              <w:start w:w="70" w:type="dxa"/>
              <w:bottom w:w="55" w:type="dxa"/>
              <w:end w:w="70" w:type="dxa"/>
            </w:tcMar>
          </w:tcPr>
          <w:p>
            <w:r>
              <w:rPr>
                <w:rFonts w:ascii="Arial" w:hAnsi="Arial"/>
                <w:color w:val="1F2937"/>
                <w:sz w:val="15"/>
              </w:rPr>
              <w:t>Fee, billing, or insurance accuracy</w:t>
            </w:r>
          </w:p>
        </w:tc>
        <w:tc>
          <w:tcPr>
            <w:tcW w:type="dxa" w:w="5141"/>
            <w:tcMar>
              <w:top w:w="55" w:type="dxa"/>
              <w:start w:w="70" w:type="dxa"/>
              <w:bottom w:w="55" w:type="dxa"/>
              <w:end w:w="70" w:type="dxa"/>
            </w:tcMar>
          </w:tcPr>
          <w:p>
            <w:r>
              <w:rPr>
                <w:rFonts w:ascii="Arial" w:hAnsi="Arial"/>
                <w:color w:val="1F2937"/>
                <w:sz w:val="15"/>
              </w:rPr>
              <w:t>____________________________________________________________</w:t>
            </w:r>
          </w:p>
        </w:tc>
      </w:tr>
      <w:tr>
        <w:tc>
          <w:tcPr>
            <w:tcW w:type="dxa" w:w="5141"/>
            <w:tcMar>
              <w:top w:w="55" w:type="dxa"/>
              <w:start w:w="70" w:type="dxa"/>
              <w:bottom w:w="55" w:type="dxa"/>
              <w:end w:w="70" w:type="dxa"/>
            </w:tcMar>
            <w:shd w:fill="F8FAFC"/>
          </w:tcPr>
          <w:p>
            <w:r>
              <w:rPr>
                <w:rFonts w:ascii="Arial" w:hAnsi="Arial"/>
                <w:color w:val="1F2937"/>
                <w:sz w:val="15"/>
              </w:rPr>
              <w:t>Record integrity / correction need</w:t>
            </w:r>
          </w:p>
        </w:tc>
        <w:tc>
          <w:tcPr>
            <w:tcW w:type="dxa" w:w="5141"/>
            <w:tcMar>
              <w:top w:w="55" w:type="dxa"/>
              <w:start w:w="70" w:type="dxa"/>
              <w:bottom w:w="55" w:type="dxa"/>
              <w:end w:w="70" w:type="dxa"/>
            </w:tcMar>
            <w:shd w:fill="F8FAFC"/>
          </w:tcPr>
          <w:p>
            <w:r>
              <w:rPr>
                <w:rFonts w:ascii="Arial" w:hAnsi="Arial"/>
                <w:color w:val="1F2937"/>
                <w:sz w:val="15"/>
              </w:rPr>
              <w:t>____________________________________________________________</w:t>
            </w:r>
          </w:p>
        </w:tc>
      </w:tr>
      <w:tr>
        <w:tc>
          <w:tcPr>
            <w:tcW w:type="dxa" w:w="5141"/>
            <w:tcMar>
              <w:top w:w="55" w:type="dxa"/>
              <w:start w:w="70" w:type="dxa"/>
              <w:bottom w:w="55" w:type="dxa"/>
              <w:end w:w="70" w:type="dxa"/>
            </w:tcMar>
          </w:tcPr>
          <w:p>
            <w:r>
              <w:rPr>
                <w:rFonts w:ascii="Arial" w:hAnsi="Arial"/>
                <w:color w:val="1F2937"/>
                <w:sz w:val="15"/>
              </w:rPr>
              <w:t>Continuity, transfer, or termination step</w:t>
            </w:r>
          </w:p>
        </w:tc>
        <w:tc>
          <w:tcPr>
            <w:tcW w:type="dxa" w:w="5141"/>
            <w:tcMar>
              <w:top w:w="55" w:type="dxa"/>
              <w:start w:w="70" w:type="dxa"/>
              <w:bottom w:w="55" w:type="dxa"/>
              <w:end w:w="70" w:type="dxa"/>
            </w:tcMar>
          </w:tcPr>
          <w:p>
            <w:r>
              <w:rPr>
                <w:rFonts w:ascii="Arial" w:hAnsi="Arial"/>
                <w:color w:val="1F2937"/>
                <w:sz w:val="15"/>
              </w:rPr>
              <w:t>____________________________________________________________</w:t>
            </w:r>
          </w:p>
        </w:tc>
      </w:tr>
      <w:tr>
        <w:tc>
          <w:tcPr>
            <w:tcW w:type="dxa" w:w="5141"/>
            <w:tcMar>
              <w:top w:w="55" w:type="dxa"/>
              <w:start w:w="70" w:type="dxa"/>
              <w:bottom w:w="55" w:type="dxa"/>
              <w:end w:w="70" w:type="dxa"/>
            </w:tcMar>
            <w:shd w:fill="F8FAFC"/>
          </w:tcPr>
          <w:p>
            <w:r>
              <w:rPr>
                <w:rFonts w:ascii="Arial" w:hAnsi="Arial"/>
                <w:color w:val="1F2937"/>
                <w:sz w:val="15"/>
              </w:rPr>
              <w:t>Consultation, policy update, risk-reduction action</w:t>
            </w:r>
          </w:p>
        </w:tc>
        <w:tc>
          <w:tcPr>
            <w:tcW w:type="dxa" w:w="5141"/>
            <w:tcMar>
              <w:top w:w="55" w:type="dxa"/>
              <w:start w:w="70" w:type="dxa"/>
              <w:bottom w:w="55" w:type="dxa"/>
              <w:end w:w="70" w:type="dxa"/>
            </w:tcMar>
            <w:shd w:fill="F8FAFC"/>
          </w:tcPr>
          <w:p>
            <w:r>
              <w:rPr>
                <w:rFonts w:ascii="Arial" w:hAnsi="Arial"/>
                <w:color w:val="1F2937"/>
                <w:sz w:val="15"/>
              </w:rPr>
              <w:t>____________________________________________________________</w:t>
            </w:r>
          </w:p>
        </w:tc>
      </w:tr>
    </w:tbl>
    <w:p>
      <w:pPr>
        <w:spacing w:after="0"/>
      </w:pPr>
    </w:p>
    <w:tbl>
      <w:tblPr>
        <w:tblW w:type="auto" w:w="0"/>
        <w:jc w:val="center"/>
        <w:tblLook w:firstColumn="1" w:firstRow="1" w:lastColumn="0" w:lastRow="0" w:noHBand="0" w:noVBand="1" w:val="04A0"/>
      </w:tblPr>
      <w:tblGrid>
        <w:gridCol w:w="10282"/>
      </w:tblGrid>
      <w:tr>
        <w:tc>
          <w:tcPr>
            <w:tcW w:type="dxa" w:w="10282"/>
            <w:shd w:fill="E8F4F4"/>
            <w:tcBorders>
              <w:top w:val="single" w:sz="8" w:color="159C9C"/>
              <w:left w:val="single" w:sz="8" w:color="159C9C"/>
              <w:bottom w:val="single" w:sz="8" w:color="159C9C"/>
              <w:right w:val="single" w:sz="8" w:color="159C9C"/>
            </w:tcBorders>
            <w:tcMar>
              <w:top w:w="90" w:type="dxa"/>
              <w:start w:w="120" w:type="dxa"/>
              <w:bottom w:w="90" w:type="dxa"/>
              <w:end w:w="120" w:type="dxa"/>
            </w:tcMar>
          </w:tcPr>
          <w:p>
            <w:pPr>
              <w:spacing w:after="40"/>
            </w:pPr>
            <w:r>
              <w:rPr>
                <w:rFonts w:ascii="Arial" w:hAnsi="Arial"/>
                <w:b/>
                <w:color w:val="17365D"/>
                <w:sz w:val="19"/>
              </w:rPr>
              <w:t>CLINICAL TAKEAWAY</w:t>
            </w:r>
          </w:p>
          <w:p>
            <w:pPr>
              <w:spacing w:after="0"/>
            </w:pPr>
            <w:r>
              <w:rPr>
                <w:rFonts w:ascii="Arial" w:hAnsi="Arial"/>
                <w:color w:val="1F2937"/>
                <w:sz w:val="18"/>
              </w:rPr>
              <w:t>Risk management is not fear-driven overdocumentation. It is a coordinated practice of accurate care, transparent policies, secure records, ethical billing, emergency preparation, and reliable follow-through.</w:t>
            </w:r>
          </w:p>
        </w:tc>
      </w:tr>
    </w:tbl>
    <w:p>
      <w:pPr>
        <w:spacing w:after="0"/>
      </w:pPr>
    </w:p>
    <w:p>
      <w:pPr>
        <w:pStyle w:val="ListBullet"/>
        <w:spacing w:after="36"/>
      </w:pPr>
      <w:r>
        <w:t>Document what actually occurred.</w:t>
      </w:r>
    </w:p>
    <w:p>
      <w:pPr>
        <w:pStyle w:val="ListBullet"/>
        <w:spacing w:after="36"/>
      </w:pPr>
      <w:r>
        <w:t>Never backdate or silently alter records.</w:t>
      </w:r>
    </w:p>
    <w:p>
      <w:pPr>
        <w:pStyle w:val="ListBullet"/>
        <w:spacing w:after="36"/>
      </w:pPr>
      <w:r>
        <w:t>Bill accurately and transparently.</w:t>
      </w:r>
    </w:p>
    <w:p>
      <w:pPr>
        <w:pStyle w:val="ListBullet"/>
        <w:spacing w:after="36"/>
      </w:pPr>
      <w:r>
        <w:t>Plan for emergencies and service disruption.</w:t>
      </w:r>
    </w:p>
    <w:p>
      <w:pPr>
        <w:pStyle w:val="ListBullet"/>
        <w:spacing w:after="36"/>
      </w:pPr>
      <w:r>
        <w:t>Protect continuity at termination and transfer.</w:t>
      </w:r>
    </w:p>
    <w:p>
      <w:r>
        <w:br w:type="page"/>
      </w:r>
    </w:p>
    <w:p>
      <w:pPr>
        <w:pStyle w:val="Heading1"/>
        <w:keepNext/>
      </w:pPr>
      <w:r>
        <w:t>Cumulative Three-Part Case Lab</w:t>
      </w:r>
    </w:p>
    <w:tbl>
      <w:tblPr>
        <w:tblW w:type="auto" w:w="0"/>
        <w:jc w:val="center"/>
        <w:tblLook w:firstColumn="1" w:firstRow="1" w:lastColumn="0" w:lastRow="0" w:noHBand="0" w:noVBand="1" w:val="04A0"/>
      </w:tblPr>
      <w:tblGrid>
        <w:gridCol w:w="10282"/>
      </w:tblGrid>
      <w:tr>
        <w:tc>
          <w:tcPr>
            <w:tcW w:type="dxa" w:w="10282"/>
            <w:shd w:fill="EAF0F7"/>
            <w:tcBorders>
              <w:top w:val="single" w:sz="8" w:color="159C9C"/>
              <w:left w:val="single" w:sz="8" w:color="159C9C"/>
              <w:bottom w:val="single" w:sz="8" w:color="159C9C"/>
              <w:right w:val="single" w:sz="8" w:color="159C9C"/>
            </w:tcBorders>
            <w:tcMar>
              <w:top w:w="90" w:type="dxa"/>
              <w:start w:w="120" w:type="dxa"/>
              <w:bottom w:w="90" w:type="dxa"/>
              <w:end w:w="120" w:type="dxa"/>
            </w:tcMar>
          </w:tcPr>
          <w:p>
            <w:pPr>
              <w:spacing w:after="40"/>
            </w:pPr>
            <w:r>
              <w:rPr>
                <w:rFonts w:ascii="Arial" w:hAnsi="Arial"/>
                <w:b/>
                <w:color w:val="17365D"/>
                <w:sz w:val="19"/>
              </w:rPr>
              <w:t>CASE INSTRUCTIONS</w:t>
            </w:r>
          </w:p>
          <w:p>
            <w:pPr>
              <w:spacing w:after="0"/>
            </w:pPr>
            <w:r>
              <w:rPr>
                <w:rFonts w:ascii="Arial" w:hAnsi="Arial"/>
                <w:color w:val="1F2937"/>
                <w:sz w:val="18"/>
              </w:rPr>
              <w:t>Read only the information available in each part. Answer the prompts before continuing. Do not add facts or assume that an agency policy, signed form, or technology vendor automatically resolves the professional issue.</w:t>
            </w:r>
          </w:p>
        </w:tc>
      </w:tr>
    </w:tbl>
    <w:p>
      <w:pPr>
        <w:spacing w:after="0"/>
      </w:pPr>
    </w:p>
    <w:p>
      <w:pPr>
        <w:pStyle w:val="Heading2"/>
        <w:keepNext/>
      </w:pPr>
      <w:r>
        <w:t>Case: Morgan Lee</w:t>
      </w:r>
    </w:p>
    <w:p>
      <w:pPr>
        <w:spacing w:after="100"/>
      </w:pPr>
      <w:r>
        <w:rPr>
          <w:rFonts w:ascii="Arial" w:hAnsi="Arial"/>
          <w:b w:val="0"/>
          <w:i w:val="0"/>
          <w:color w:val="1F2937"/>
          <w:sz w:val="18"/>
        </w:rPr>
        <w:t>Morgan is a California LPCC in a small group practice. A new client, Elena, age 34, begins treatment for panic symptoms, insomnia, and work-related conflict. The practice uses telehealth, an electronic health record, automated appointment texts, and an optional AI transcription feature.</w:t>
      </w:r>
    </w:p>
    <w:p>
      <w:pPr>
        <w:pStyle w:val="Heading2"/>
        <w:keepNext/>
      </w:pPr>
      <w:r>
        <w:t>Part 1 - Intake, Technology, and Consent</w:t>
      </w:r>
    </w:p>
    <w:p>
      <w:pPr>
        <w:spacing w:after="100"/>
      </w:pPr>
      <w:r>
        <w:rPr>
          <w:rFonts w:ascii="Arial" w:hAnsi="Arial"/>
          <w:b w:val="0"/>
          <w:i w:val="0"/>
          <w:color w:val="1F2937"/>
          <w:sz w:val="18"/>
        </w:rPr>
        <w:t>At the first video session, Elena is in California and confirms identity and location. Morgan reviews telehealth, emergency procedures, fees, electronic communication limits, and the Notice to Clients. Midway through the session, Morgan notices that the platform’s AI transcription feature was enabled by default and is sending audio to a third-party service. The consent materials do not mention transcription or AI processing.</w:t>
      </w:r>
    </w:p>
    <w:p>
      <w:pPr>
        <w:pStyle w:val="ListBullet"/>
        <w:spacing w:after="56"/>
      </w:pPr>
      <w:r>
        <w:t>What is the first professional-practice problem Morgan must address?</w:t>
      </w:r>
    </w:p>
    <w:p>
      <w:pPr>
        <w:pStyle w:val="ListBullet"/>
        <w:spacing w:after="56"/>
      </w:pPr>
      <w:r>
        <w:t>Which facts should be documented immediately?</w:t>
      </w:r>
    </w:p>
    <w:p>
      <w:pPr>
        <w:pStyle w:val="ListBullet"/>
        <w:spacing w:after="56"/>
      </w:pPr>
      <w:r>
        <w:t>What must Morgan verify about the vendor, data handling, consent, and the status of any generated transcript?</w:t>
      </w:r>
    </w:p>
    <w:p>
      <w:pPr>
        <w:pStyle w:val="ListBullet"/>
        <w:spacing w:after="56"/>
      </w:pPr>
      <w:r>
        <w:t>Which response would be premature or insufficient?</w:t>
      </w:r>
    </w:p>
    <w:tbl>
      <w:tblPr>
        <w:tblW w:type="auto" w:w="0"/>
        <w:jc w:val="center"/>
        <w:tblLook w:firstColumn="1" w:firstRow="1" w:lastColumn="0" w:lastRow="0" w:noHBand="0" w:noVBand="1" w:val="04A0"/>
      </w:tblPr>
      <w:tblGrid>
        <w:gridCol w:w="10282"/>
      </w:tblGrid>
      <w:tr>
        <w:tc>
          <w:tcPr>
            <w:tcW w:type="dxa" w:w="10282"/>
            <w:shd w:fill="E8F4F4"/>
            <w:tcBorders>
              <w:top w:val="single" w:sz="8" w:color="159C9C"/>
              <w:left w:val="single" w:sz="8" w:color="159C9C"/>
              <w:bottom w:val="single" w:sz="8" w:color="159C9C"/>
              <w:right w:val="single" w:sz="8" w:color="159C9C"/>
            </w:tcBorders>
            <w:tcMar>
              <w:top w:w="90" w:type="dxa"/>
              <w:start w:w="120" w:type="dxa"/>
              <w:bottom w:w="90" w:type="dxa"/>
              <w:end w:w="120" w:type="dxa"/>
            </w:tcMar>
          </w:tcPr>
          <w:p>
            <w:pPr>
              <w:spacing w:after="40"/>
            </w:pPr>
            <w:r>
              <w:rPr>
                <w:rFonts w:ascii="Arial" w:hAnsi="Arial"/>
                <w:b/>
                <w:color w:val="17365D"/>
                <w:sz w:val="19"/>
              </w:rPr>
              <w:t>MODEL REASONING</w:t>
            </w:r>
          </w:p>
          <w:p>
            <w:pPr>
              <w:spacing w:after="0"/>
            </w:pPr>
            <w:r>
              <w:rPr>
                <w:rFonts w:ascii="Arial" w:hAnsi="Arial"/>
                <w:color w:val="1F2937"/>
                <w:sz w:val="18"/>
              </w:rPr>
              <w:t>Pause the unapproved transcription, protect any captured data, inform Elena transparently, assess whether authorization or consent is required, review vendor/security terms, and decide whether the tool should be disabled or used only after a lawful and clinically appropriate process. Document the event and response without deleting or disguising what occurred.</w:t>
            </w:r>
          </w:p>
        </w:tc>
      </w:tr>
    </w:tbl>
    <w:p>
      <w:pPr>
        <w:spacing w:after="0"/>
      </w:pPr>
    </w:p>
    <w:p>
      <w:pPr>
        <w:pStyle w:val="Heading2"/>
        <w:keepNext/>
      </w:pPr>
      <w:r>
        <w:t>Part 2 - Mandated Duty and Third-Party Contact</w:t>
      </w:r>
    </w:p>
    <w:p>
      <w:pPr>
        <w:spacing w:after="100"/>
      </w:pPr>
      <w:r>
        <w:rPr>
          <w:rFonts w:ascii="Arial" w:hAnsi="Arial"/>
          <w:b w:val="0"/>
          <w:i w:val="0"/>
          <w:color w:val="1F2937"/>
          <w:sz w:val="18"/>
        </w:rPr>
        <w:t>In session three, Elena reports that her sister repeatedly leaves an eight-year-old child alone overnight while intoxicated. Elena provides the child’s name, location, and recent details. She pleads with Morgan not to tell anyone. Later that day, Elena’s employer’s EAP coordinator emails Morgan and asks for “a full update” because the employer is paying for the sessions.</w:t>
      </w:r>
    </w:p>
    <w:p>
      <w:pPr>
        <w:pStyle w:val="ListBullet"/>
        <w:spacing w:after="56"/>
      </w:pPr>
      <w:r>
        <w:t>What legal category and threshold should Morgan evaluate first?</w:t>
      </w:r>
    </w:p>
    <w:p>
      <w:pPr>
        <w:pStyle w:val="ListBullet"/>
        <w:spacing w:after="56"/>
      </w:pPr>
      <w:r>
        <w:t>Why does Elena’s request for secrecy not control a mandatory reporting duty?</w:t>
      </w:r>
    </w:p>
    <w:p>
      <w:pPr>
        <w:pStyle w:val="ListBullet"/>
        <w:spacing w:after="56"/>
      </w:pPr>
      <w:r>
        <w:t>How should Morgan respond to the EAP request?</w:t>
      </w:r>
    </w:p>
    <w:p>
      <w:pPr>
        <w:pStyle w:val="ListBullet"/>
        <w:spacing w:after="56"/>
      </w:pPr>
      <w:r>
        <w:t>What information belongs in the documentation and follow-up plan?</w:t>
      </w:r>
    </w:p>
    <w:tbl>
      <w:tblPr>
        <w:tblW w:type="auto" w:w="0"/>
        <w:jc w:val="center"/>
        <w:tblLook w:firstColumn="1" w:firstRow="1" w:lastColumn="0" w:lastRow="0" w:noHBand="0" w:noVBand="1" w:val="04A0"/>
      </w:tblPr>
      <w:tblGrid>
        <w:gridCol w:w="10282"/>
      </w:tblGrid>
      <w:tr>
        <w:tc>
          <w:tcPr>
            <w:tcW w:type="dxa" w:w="10282"/>
            <w:shd w:fill="E8F4F4"/>
            <w:tcBorders>
              <w:top w:val="single" w:sz="8" w:color="159C9C"/>
              <w:left w:val="single" w:sz="8" w:color="159C9C"/>
              <w:bottom w:val="single" w:sz="8" w:color="159C9C"/>
              <w:right w:val="single" w:sz="8" w:color="159C9C"/>
            </w:tcBorders>
            <w:tcMar>
              <w:top w:w="90" w:type="dxa"/>
              <w:start w:w="120" w:type="dxa"/>
              <w:bottom w:w="90" w:type="dxa"/>
              <w:end w:w="120" w:type="dxa"/>
            </w:tcMar>
          </w:tcPr>
          <w:p>
            <w:pPr>
              <w:spacing w:after="40"/>
            </w:pPr>
            <w:r>
              <w:rPr>
                <w:rFonts w:ascii="Arial" w:hAnsi="Arial"/>
                <w:b/>
                <w:color w:val="17365D"/>
                <w:sz w:val="19"/>
              </w:rPr>
              <w:t>MODEL REASONING</w:t>
            </w:r>
          </w:p>
          <w:p>
            <w:pPr>
              <w:spacing w:after="0"/>
            </w:pPr>
            <w:r>
              <w:rPr>
                <w:rFonts w:ascii="Arial" w:hAnsi="Arial"/>
                <w:color w:val="1F2937"/>
                <w:sz w:val="18"/>
              </w:rPr>
              <w:t>Evaluate reasonable suspicion and complete the individual mandated-reporting duty without delaying for proof or substituting internal discussion. Explain the limit of confidentiality and address therapeutic impact. Treat the EAP email as a separate third-party request: verify the service agreement and authorization, identify the exact permitted purpose, and disclose only what is lawfully authorized and necessary.</w:t>
            </w:r>
          </w:p>
        </w:tc>
      </w:tr>
    </w:tbl>
    <w:p>
      <w:pPr>
        <w:spacing w:after="0"/>
      </w:pPr>
    </w:p>
    <w:p>
      <w:r>
        <w:br w:type="page"/>
      </w:r>
    </w:p>
    <w:p>
      <w:pPr>
        <w:pStyle w:val="Heading2"/>
        <w:keepNext/>
      </w:pPr>
      <w:r>
        <w:t>Part 3 - Subpoena, Billing, and Record Integrity</w:t>
      </w:r>
    </w:p>
    <w:p>
      <w:pPr>
        <w:spacing w:after="100"/>
      </w:pPr>
      <w:r>
        <w:rPr>
          <w:rFonts w:ascii="Arial" w:hAnsi="Arial"/>
          <w:b w:val="0"/>
          <w:i w:val="0"/>
          <w:color w:val="1F2937"/>
          <w:sz w:val="18"/>
        </w:rPr>
        <w:t>Two months later, Morgan receives a subpoena from an attorney seeking Elena’s complete record. The practice manager says to send everything immediately. An insurer also asks Morgan to change the original diagnostic date and add a more severe diagnosis so prior sessions will be reimbursed. Morgan notices that several AI-generated progress-note summaries contain statements Elena never made.</w:t>
      </w:r>
    </w:p>
    <w:p>
      <w:pPr>
        <w:pStyle w:val="ListBullet"/>
        <w:spacing w:after="56"/>
      </w:pPr>
      <w:r>
        <w:t>What should Morgan do first with the subpoena?</w:t>
      </w:r>
    </w:p>
    <w:p>
      <w:pPr>
        <w:pStyle w:val="ListBullet"/>
        <w:spacing w:after="56"/>
      </w:pPr>
      <w:r>
        <w:t>How should Morgan respond to the insurer request?</w:t>
      </w:r>
    </w:p>
    <w:p>
      <w:pPr>
        <w:pStyle w:val="ListBullet"/>
        <w:spacing w:after="56"/>
      </w:pPr>
      <w:r>
        <w:t>How should the inaccurate AI-generated notes be corrected?</w:t>
      </w:r>
    </w:p>
    <w:p>
      <w:pPr>
        <w:pStyle w:val="ListBullet"/>
        <w:spacing w:after="56"/>
      </w:pPr>
      <w:r>
        <w:t>What system-level changes should follow?</w:t>
      </w:r>
    </w:p>
    <w:tbl>
      <w:tblPr>
        <w:tblW w:type="auto" w:w="0"/>
        <w:jc w:val="center"/>
        <w:tblLook w:firstColumn="1" w:firstRow="1" w:lastColumn="0" w:lastRow="0" w:noHBand="0" w:noVBand="1" w:val="04A0"/>
      </w:tblPr>
      <w:tblGrid>
        <w:gridCol w:w="10282"/>
      </w:tblGrid>
      <w:tr>
        <w:tc>
          <w:tcPr>
            <w:tcW w:type="dxa" w:w="10282"/>
            <w:shd w:fill="E8F4F4"/>
            <w:tcBorders>
              <w:top w:val="single" w:sz="8" w:color="159C9C"/>
              <w:left w:val="single" w:sz="8" w:color="159C9C"/>
              <w:bottom w:val="single" w:sz="8" w:color="159C9C"/>
              <w:right w:val="single" w:sz="8" w:color="159C9C"/>
            </w:tcBorders>
            <w:tcMar>
              <w:top w:w="90" w:type="dxa"/>
              <w:start w:w="120" w:type="dxa"/>
              <w:bottom w:w="90" w:type="dxa"/>
              <w:end w:w="120" w:type="dxa"/>
            </w:tcMar>
          </w:tcPr>
          <w:p>
            <w:pPr>
              <w:spacing w:after="40"/>
            </w:pPr>
            <w:r>
              <w:rPr>
                <w:rFonts w:ascii="Arial" w:hAnsi="Arial"/>
                <w:b/>
                <w:color w:val="17365D"/>
                <w:sz w:val="19"/>
              </w:rPr>
              <w:t>MODEL REASONING</w:t>
            </w:r>
          </w:p>
          <w:p>
            <w:pPr>
              <w:spacing w:after="0"/>
            </w:pPr>
            <w:r>
              <w:rPr>
                <w:rFonts w:ascii="Arial" w:hAnsi="Arial"/>
                <w:color w:val="1F2937"/>
                <w:sz w:val="18"/>
              </w:rPr>
              <w:t>Preserve the subpoena and records, identify privilege and authorization issues, follow practice procedure, and obtain qualified legal/risk guidance rather than ignoring the subpoena or releasing automatically. Refuse to falsify diagnosis or dates. Correct inaccurate notes transparently through dated amendments or addenda that preserve the original record. Disable or redesign the AI workflow until human review, privacy, consent, and accuracy controls are reliable.</w:t>
            </w:r>
          </w:p>
        </w:tc>
      </w:tr>
    </w:tbl>
    <w:p>
      <w:pPr>
        <w:spacing w:after="0"/>
      </w:pPr>
    </w:p>
    <w:p>
      <w:r>
        <w:br w:type="page"/>
      </w:r>
    </w:p>
    <w:p>
      <w:pPr>
        <w:pStyle w:val="Heading1"/>
        <w:keepNext/>
      </w:pPr>
      <w:r>
        <w:t>Workbook 12 Knowledge Check</w:t>
      </w:r>
    </w:p>
    <w:p>
      <w:pPr>
        <w:spacing w:after="100"/>
      </w:pPr>
      <w:r>
        <w:rPr>
          <w:rFonts w:ascii="Arial" w:hAnsi="Arial"/>
          <w:b w:val="0"/>
          <w:i w:val="0"/>
          <w:color w:val="1F2937"/>
          <w:sz w:val="18"/>
        </w:rPr>
        <w:t>Select the one best answer. Record confidence from 1 (guess) to 4 (high confidence).</w:t>
      </w:r>
    </w:p>
    <w:p>
      <w:pPr>
        <w:spacing w:before="80" w:after="40"/>
      </w:pPr>
      <w:r>
        <w:rPr>
          <w:rFonts w:ascii="Arial" w:hAnsi="Arial"/>
          <w:b/>
          <w:color w:val="17365D"/>
          <w:sz w:val="18"/>
        </w:rPr>
        <w:t>1. An agency policy requires counselors to release any record requested by a payer. A client has not authorized the requested disclosure. What should the counselor do FIRST?</w:t>
      </w:r>
    </w:p>
    <w:p>
      <w:pPr>
        <w:spacing w:after="20"/>
        <w:ind w:left="259" w:hanging="259"/>
      </w:pPr>
      <w:r>
        <w:rPr>
          <w:rFonts w:ascii="Arial" w:hAnsi="Arial"/>
          <w:b/>
          <w:sz w:val="18"/>
        </w:rPr>
        <w:t xml:space="preserve">A. </w:t>
      </w:r>
      <w:r>
        <w:rPr>
          <w:rFonts w:ascii="Arial" w:hAnsi="Arial"/>
          <w:sz w:val="18"/>
        </w:rPr>
        <w:t>Follow the policy because the agency owns the record.</w:t>
      </w:r>
    </w:p>
    <w:p>
      <w:pPr>
        <w:spacing w:after="20"/>
        <w:ind w:left="259" w:hanging="259"/>
      </w:pPr>
      <w:r>
        <w:rPr>
          <w:rFonts w:ascii="Arial" w:hAnsi="Arial"/>
          <w:b/>
          <w:sz w:val="18"/>
        </w:rPr>
        <w:t xml:space="preserve">B. </w:t>
      </w:r>
      <w:r>
        <w:rPr>
          <w:rFonts w:ascii="Arial" w:hAnsi="Arial"/>
          <w:sz w:val="18"/>
        </w:rPr>
        <w:t>Identify the lawful basis and scope for disclosure and clarify the conflict with the agency before releasing information.</w:t>
      </w:r>
    </w:p>
    <w:p>
      <w:pPr>
        <w:spacing w:after="20"/>
        <w:ind w:left="259" w:hanging="259"/>
      </w:pPr>
      <w:r>
        <w:rPr>
          <w:rFonts w:ascii="Arial" w:hAnsi="Arial"/>
          <w:b/>
          <w:sz w:val="18"/>
        </w:rPr>
        <w:t xml:space="preserve">C. </w:t>
      </w:r>
      <w:r>
        <w:rPr>
          <w:rFonts w:ascii="Arial" w:hAnsi="Arial"/>
          <w:sz w:val="18"/>
        </w:rPr>
        <w:t>Release only the progress notes because they are less sensitive.</w:t>
      </w:r>
    </w:p>
    <w:p>
      <w:pPr>
        <w:spacing w:after="20"/>
        <w:ind w:left="259" w:hanging="259"/>
      </w:pPr>
      <w:r>
        <w:rPr>
          <w:rFonts w:ascii="Arial" w:hAnsi="Arial"/>
          <w:b/>
          <w:sz w:val="18"/>
        </w:rPr>
        <w:t xml:space="preserve">D. </w:t>
      </w:r>
      <w:r>
        <w:rPr>
          <w:rFonts w:ascii="Arial" w:hAnsi="Arial"/>
          <w:sz w:val="18"/>
        </w:rPr>
        <w:t>Ask the payer to promise confidentiality.</w:t>
      </w:r>
    </w:p>
    <w:p>
      <w:pPr>
        <w:spacing w:before="80" w:after="40"/>
      </w:pPr>
      <w:r>
        <w:rPr>
          <w:rFonts w:ascii="Arial" w:hAnsi="Arial"/>
          <w:b/>
          <w:color w:val="17365D"/>
          <w:sz w:val="18"/>
        </w:rPr>
        <w:t>2. Which statement BEST distinguishes psychotherapist-patient privilege from confidentiality?</w:t>
      </w:r>
    </w:p>
    <w:p>
      <w:pPr>
        <w:spacing w:after="20"/>
        <w:ind w:left="259" w:hanging="259"/>
      </w:pPr>
      <w:r>
        <w:rPr>
          <w:rFonts w:ascii="Arial" w:hAnsi="Arial"/>
          <w:b/>
          <w:sz w:val="18"/>
        </w:rPr>
        <w:t xml:space="preserve">A. </w:t>
      </w:r>
      <w:r>
        <w:rPr>
          <w:rFonts w:ascii="Arial" w:hAnsi="Arial"/>
          <w:sz w:val="18"/>
        </w:rPr>
        <w:t>Privilege generally concerns protected disclosure in legal proceedings and is held by the patient, while confidentiality is the counselor’s broader professional duty.</w:t>
      </w:r>
    </w:p>
    <w:p>
      <w:pPr>
        <w:spacing w:after="20"/>
        <w:ind w:left="259" w:hanging="259"/>
      </w:pPr>
      <w:r>
        <w:rPr>
          <w:rFonts w:ascii="Arial" w:hAnsi="Arial"/>
          <w:b/>
          <w:sz w:val="18"/>
        </w:rPr>
        <w:t xml:space="preserve">B. </w:t>
      </w:r>
      <w:r>
        <w:rPr>
          <w:rFonts w:ascii="Arial" w:hAnsi="Arial"/>
          <w:sz w:val="18"/>
        </w:rPr>
        <w:t>Privilege and confidentiality are identical terms.</w:t>
      </w:r>
    </w:p>
    <w:p>
      <w:pPr>
        <w:spacing w:after="20"/>
        <w:ind w:left="259" w:hanging="259"/>
      </w:pPr>
      <w:r>
        <w:rPr>
          <w:rFonts w:ascii="Arial" w:hAnsi="Arial"/>
          <w:b/>
          <w:sz w:val="18"/>
        </w:rPr>
        <w:t xml:space="preserve">C. </w:t>
      </w:r>
      <w:r>
        <w:rPr>
          <w:rFonts w:ascii="Arial" w:hAnsi="Arial"/>
          <w:sz w:val="18"/>
        </w:rPr>
        <w:t>Confidentiality applies only to written records, while privilege applies to spoken information.</w:t>
      </w:r>
    </w:p>
    <w:p>
      <w:pPr>
        <w:spacing w:after="20"/>
        <w:ind w:left="259" w:hanging="259"/>
      </w:pPr>
      <w:r>
        <w:rPr>
          <w:rFonts w:ascii="Arial" w:hAnsi="Arial"/>
          <w:b/>
          <w:sz w:val="18"/>
        </w:rPr>
        <w:t xml:space="preserve">D. </w:t>
      </w:r>
      <w:r>
        <w:rPr>
          <w:rFonts w:ascii="Arial" w:hAnsi="Arial"/>
          <w:sz w:val="18"/>
        </w:rPr>
        <w:t>The counselor always holds and may waive both rights.</w:t>
      </w:r>
    </w:p>
    <w:p>
      <w:pPr>
        <w:spacing w:before="80" w:after="40"/>
      </w:pPr>
      <w:r>
        <w:rPr>
          <w:rFonts w:ascii="Arial" w:hAnsi="Arial"/>
          <w:b/>
          <w:color w:val="17365D"/>
          <w:sz w:val="18"/>
        </w:rPr>
        <w:t>3. A California LPCC terminates therapy with an adult client. What is the minimum record-retention period identified in California LPCC law?</w:t>
      </w:r>
    </w:p>
    <w:p>
      <w:pPr>
        <w:spacing w:after="20"/>
        <w:ind w:left="259" w:hanging="259"/>
      </w:pPr>
      <w:r>
        <w:rPr>
          <w:rFonts w:ascii="Arial" w:hAnsi="Arial"/>
          <w:b/>
          <w:sz w:val="18"/>
        </w:rPr>
        <w:t xml:space="preserve">A. </w:t>
      </w:r>
      <w:r>
        <w:rPr>
          <w:rFonts w:ascii="Arial" w:hAnsi="Arial"/>
          <w:sz w:val="18"/>
        </w:rPr>
        <w:t>Two years from the last contact.</w:t>
      </w:r>
    </w:p>
    <w:p>
      <w:pPr>
        <w:spacing w:after="20"/>
        <w:ind w:left="259" w:hanging="259"/>
      </w:pPr>
      <w:r>
        <w:rPr>
          <w:rFonts w:ascii="Arial" w:hAnsi="Arial"/>
          <w:b/>
          <w:sz w:val="18"/>
        </w:rPr>
        <w:t xml:space="preserve">B. </w:t>
      </w:r>
      <w:r>
        <w:rPr>
          <w:rFonts w:ascii="Arial" w:hAnsi="Arial"/>
          <w:sz w:val="18"/>
        </w:rPr>
        <w:t>Five years from the date of intake.</w:t>
      </w:r>
    </w:p>
    <w:p>
      <w:pPr>
        <w:spacing w:after="20"/>
        <w:ind w:left="259" w:hanging="259"/>
      </w:pPr>
      <w:r>
        <w:rPr>
          <w:rFonts w:ascii="Arial" w:hAnsi="Arial"/>
          <w:b/>
          <w:sz w:val="18"/>
        </w:rPr>
        <w:t xml:space="preserve">C. </w:t>
      </w:r>
      <w:r>
        <w:rPr>
          <w:rFonts w:ascii="Arial" w:hAnsi="Arial"/>
          <w:sz w:val="18"/>
        </w:rPr>
        <w:t>Seven years from termination.</w:t>
      </w:r>
    </w:p>
    <w:p>
      <w:pPr>
        <w:spacing w:after="20"/>
        <w:ind w:left="259" w:hanging="259"/>
      </w:pPr>
      <w:r>
        <w:rPr>
          <w:rFonts w:ascii="Arial" w:hAnsi="Arial"/>
          <w:b/>
          <w:sz w:val="18"/>
        </w:rPr>
        <w:t xml:space="preserve">D. </w:t>
      </w:r>
      <w:r>
        <w:rPr>
          <w:rFonts w:ascii="Arial" w:hAnsi="Arial"/>
          <w:sz w:val="18"/>
        </w:rPr>
        <w:t>Until the client requests destruction.</w:t>
      </w:r>
    </w:p>
    <w:p>
      <w:pPr>
        <w:spacing w:before="80" w:after="40"/>
      </w:pPr>
      <w:r>
        <w:rPr>
          <w:rFonts w:ascii="Arial" w:hAnsi="Arial"/>
          <w:b/>
          <w:color w:val="17365D"/>
          <w:sz w:val="18"/>
        </w:rPr>
        <w:t>4. A mandated reporter reasonably suspects child neglect. The supervisor says to wait until the next team meeting. What is the BEST response?</w:t>
      </w:r>
    </w:p>
    <w:p>
      <w:pPr>
        <w:spacing w:after="20"/>
        <w:ind w:left="259" w:hanging="259"/>
      </w:pPr>
      <w:r>
        <w:rPr>
          <w:rFonts w:ascii="Arial" w:hAnsi="Arial"/>
          <w:b/>
          <w:sz w:val="18"/>
        </w:rPr>
        <w:t xml:space="preserve">A. </w:t>
      </w:r>
      <w:r>
        <w:rPr>
          <w:rFonts w:ascii="Arial" w:hAnsi="Arial"/>
          <w:sz w:val="18"/>
        </w:rPr>
        <w:t>Wait because supervision transfers responsibility.</w:t>
      </w:r>
    </w:p>
    <w:p>
      <w:pPr>
        <w:spacing w:after="20"/>
        <w:ind w:left="259" w:hanging="259"/>
      </w:pPr>
      <w:r>
        <w:rPr>
          <w:rFonts w:ascii="Arial" w:hAnsi="Arial"/>
          <w:b/>
          <w:sz w:val="18"/>
        </w:rPr>
        <w:t xml:space="preserve">B. </w:t>
      </w:r>
      <w:r>
        <w:rPr>
          <w:rFonts w:ascii="Arial" w:hAnsi="Arial"/>
          <w:sz w:val="18"/>
        </w:rPr>
        <w:t>Document the concern but do not report without certainty.</w:t>
      </w:r>
    </w:p>
    <w:p>
      <w:pPr>
        <w:spacing w:after="20"/>
        <w:ind w:left="259" w:hanging="259"/>
      </w:pPr>
      <w:r>
        <w:rPr>
          <w:rFonts w:ascii="Arial" w:hAnsi="Arial"/>
          <w:b/>
          <w:sz w:val="18"/>
        </w:rPr>
        <w:t xml:space="preserve">C. </w:t>
      </w:r>
      <w:r>
        <w:rPr>
          <w:rFonts w:ascii="Arial" w:hAnsi="Arial"/>
          <w:sz w:val="18"/>
        </w:rPr>
        <w:t>Ask another staff member to investigate first.</w:t>
      </w:r>
    </w:p>
    <w:p>
      <w:pPr>
        <w:spacing w:after="20"/>
        <w:ind w:left="259" w:hanging="259"/>
      </w:pPr>
      <w:r>
        <w:rPr>
          <w:rFonts w:ascii="Arial" w:hAnsi="Arial"/>
          <w:b/>
          <w:sz w:val="18"/>
        </w:rPr>
        <w:t xml:space="preserve">D. </w:t>
      </w:r>
      <w:r>
        <w:rPr>
          <w:rFonts w:ascii="Arial" w:hAnsi="Arial"/>
          <w:sz w:val="18"/>
        </w:rPr>
        <w:t>Make the required report to the designated agency within the statutory sequence and notify the supervisor as appropriate.</w:t>
      </w:r>
    </w:p>
    <w:p>
      <w:pPr>
        <w:spacing w:before="80" w:after="40"/>
      </w:pPr>
      <w:r>
        <w:rPr>
          <w:rFonts w:ascii="Arial" w:hAnsi="Arial"/>
          <w:b/>
          <w:color w:val="17365D"/>
          <w:sz w:val="18"/>
        </w:rPr>
        <w:t>5. A counselor receives an attorney subpoena for a client record. What should the counselor do FIRST?</w:t>
      </w:r>
    </w:p>
    <w:p>
      <w:pPr>
        <w:spacing w:after="20"/>
        <w:ind w:left="259" w:hanging="259"/>
      </w:pPr>
      <w:r>
        <w:rPr>
          <w:rFonts w:ascii="Arial" w:hAnsi="Arial"/>
          <w:b/>
          <w:sz w:val="18"/>
        </w:rPr>
        <w:t xml:space="preserve">A. </w:t>
      </w:r>
      <w:r>
        <w:rPr>
          <w:rFonts w:ascii="Arial" w:hAnsi="Arial"/>
          <w:sz w:val="18"/>
        </w:rPr>
        <w:t>Send the complete record immediately.</w:t>
      </w:r>
    </w:p>
    <w:p>
      <w:pPr>
        <w:spacing w:after="20"/>
        <w:ind w:left="259" w:hanging="259"/>
      </w:pPr>
      <w:r>
        <w:rPr>
          <w:rFonts w:ascii="Arial" w:hAnsi="Arial"/>
          <w:b/>
          <w:sz w:val="18"/>
        </w:rPr>
        <w:t xml:space="preserve">B. </w:t>
      </w:r>
      <w:r>
        <w:rPr>
          <w:rFonts w:ascii="Arial" w:hAnsi="Arial"/>
          <w:sz w:val="18"/>
        </w:rPr>
        <w:t>Destroy personal process notes before responding.</w:t>
      </w:r>
    </w:p>
    <w:p>
      <w:pPr>
        <w:spacing w:after="20"/>
        <w:ind w:left="259" w:hanging="259"/>
      </w:pPr>
      <w:r>
        <w:rPr>
          <w:rFonts w:ascii="Arial" w:hAnsi="Arial"/>
          <w:b/>
          <w:sz w:val="18"/>
        </w:rPr>
        <w:t xml:space="preserve">C. </w:t>
      </w:r>
      <w:r>
        <w:rPr>
          <w:rFonts w:ascii="Arial" w:hAnsi="Arial"/>
          <w:sz w:val="18"/>
        </w:rPr>
        <w:t>Preserve the request and records, protect confidentiality and privilege, and obtain appropriate legal or organizational guidance.</w:t>
      </w:r>
    </w:p>
    <w:p>
      <w:pPr>
        <w:spacing w:after="20"/>
        <w:ind w:left="259" w:hanging="259"/>
      </w:pPr>
      <w:r>
        <w:rPr>
          <w:rFonts w:ascii="Arial" w:hAnsi="Arial"/>
          <w:b/>
          <w:sz w:val="18"/>
        </w:rPr>
        <w:t xml:space="preserve">D. </w:t>
      </w:r>
      <w:r>
        <w:rPr>
          <w:rFonts w:ascii="Arial" w:hAnsi="Arial"/>
          <w:sz w:val="18"/>
        </w:rPr>
        <w:t>Ignore it unless a judge personally calls.</w:t>
      </w:r>
    </w:p>
    <w:p>
      <w:r>
        <w:br w:type="page"/>
      </w:r>
    </w:p>
    <w:p>
      <w:pPr>
        <w:spacing w:before="80" w:after="40"/>
      </w:pPr>
      <w:r>
        <w:rPr>
          <w:rFonts w:ascii="Arial" w:hAnsi="Arial"/>
          <w:b/>
          <w:color w:val="17365D"/>
          <w:sz w:val="18"/>
        </w:rPr>
        <w:t>6. During telehealth, a client reports that they are temporarily located in another state. What is the BEST initial response?</w:t>
      </w:r>
    </w:p>
    <w:p>
      <w:pPr>
        <w:spacing w:after="20"/>
        <w:ind w:left="259" w:hanging="259"/>
      </w:pPr>
      <w:r>
        <w:rPr>
          <w:rFonts w:ascii="Arial" w:hAnsi="Arial"/>
          <w:b/>
          <w:sz w:val="18"/>
        </w:rPr>
        <w:t xml:space="preserve">A. </w:t>
      </w:r>
      <w:r>
        <w:rPr>
          <w:rFonts w:ascii="Arial" w:hAnsi="Arial"/>
          <w:sz w:val="18"/>
        </w:rPr>
        <w:t>Continue because the counselor is licensed in California.</w:t>
      </w:r>
    </w:p>
    <w:p>
      <w:pPr>
        <w:spacing w:after="20"/>
        <w:ind w:left="259" w:hanging="259"/>
      </w:pPr>
      <w:r>
        <w:rPr>
          <w:rFonts w:ascii="Arial" w:hAnsi="Arial"/>
          <w:b/>
          <w:sz w:val="18"/>
        </w:rPr>
        <w:t xml:space="preserve">B. </w:t>
      </w:r>
      <w:r>
        <w:rPr>
          <w:rFonts w:ascii="Arial" w:hAnsi="Arial"/>
          <w:sz w:val="18"/>
        </w:rPr>
        <w:t>Verify the client’s current location, assess immediate needs, and determine whether the counselor is authorized to practice in that jurisdiction before continuing routine care.</w:t>
      </w:r>
    </w:p>
    <w:p>
      <w:pPr>
        <w:spacing w:after="20"/>
        <w:ind w:left="259" w:hanging="259"/>
      </w:pPr>
      <w:r>
        <w:rPr>
          <w:rFonts w:ascii="Arial" w:hAnsi="Arial"/>
          <w:b/>
          <w:sz w:val="18"/>
        </w:rPr>
        <w:t xml:space="preserve">C. </w:t>
      </w:r>
      <w:r>
        <w:rPr>
          <w:rFonts w:ascii="Arial" w:hAnsi="Arial"/>
          <w:sz w:val="18"/>
        </w:rPr>
        <w:t>Ask the client to avoid mentioning the trip in the record.</w:t>
      </w:r>
    </w:p>
    <w:p>
      <w:pPr>
        <w:spacing w:after="20"/>
        <w:ind w:left="259" w:hanging="259"/>
      </w:pPr>
      <w:r>
        <w:rPr>
          <w:rFonts w:ascii="Arial" w:hAnsi="Arial"/>
          <w:b/>
          <w:sz w:val="18"/>
        </w:rPr>
        <w:t xml:space="preserve">D. </w:t>
      </w:r>
      <w:r>
        <w:rPr>
          <w:rFonts w:ascii="Arial" w:hAnsi="Arial"/>
          <w:sz w:val="18"/>
        </w:rPr>
        <w:t>Convert the session to text messaging so it is not telehealth.</w:t>
      </w:r>
    </w:p>
    <w:p>
      <w:pPr>
        <w:spacing w:before="80" w:after="40"/>
      </w:pPr>
      <w:r>
        <w:rPr>
          <w:rFonts w:ascii="Arial" w:hAnsi="Arial"/>
          <w:b/>
          <w:color w:val="17365D"/>
          <w:sz w:val="18"/>
        </w:rPr>
        <w:t>7. A practice enables an AI note generator that creates an inaccurate risk statement. What should the counselor do?</w:t>
      </w:r>
    </w:p>
    <w:p>
      <w:pPr>
        <w:spacing w:after="20"/>
        <w:ind w:left="259" w:hanging="259"/>
      </w:pPr>
      <w:r>
        <w:rPr>
          <w:rFonts w:ascii="Arial" w:hAnsi="Arial"/>
          <w:b/>
          <w:sz w:val="18"/>
        </w:rPr>
        <w:t xml:space="preserve">A. </w:t>
      </w:r>
      <w:r>
        <w:rPr>
          <w:rFonts w:ascii="Arial" w:hAnsi="Arial"/>
          <w:sz w:val="18"/>
        </w:rPr>
        <w:t>Keep the statement because automated notes are presumed objective.</w:t>
      </w:r>
    </w:p>
    <w:p>
      <w:pPr>
        <w:spacing w:after="20"/>
        <w:ind w:left="259" w:hanging="259"/>
      </w:pPr>
      <w:r>
        <w:rPr>
          <w:rFonts w:ascii="Arial" w:hAnsi="Arial"/>
          <w:b/>
          <w:sz w:val="18"/>
        </w:rPr>
        <w:t xml:space="preserve">B. </w:t>
      </w:r>
      <w:r>
        <w:rPr>
          <w:rFonts w:ascii="Arial" w:hAnsi="Arial"/>
          <w:sz w:val="18"/>
        </w:rPr>
        <w:t>Delete the entire record and recreate it without showing the change.</w:t>
      </w:r>
    </w:p>
    <w:p>
      <w:pPr>
        <w:spacing w:after="20"/>
        <w:ind w:left="259" w:hanging="259"/>
      </w:pPr>
      <w:r>
        <w:rPr>
          <w:rFonts w:ascii="Arial" w:hAnsi="Arial"/>
          <w:b/>
          <w:sz w:val="18"/>
        </w:rPr>
        <w:t xml:space="preserve">C. </w:t>
      </w:r>
      <w:r>
        <w:rPr>
          <w:rFonts w:ascii="Arial" w:hAnsi="Arial"/>
          <w:sz w:val="18"/>
        </w:rPr>
        <w:t>Add the client as a coauthor so responsibility is shared.</w:t>
      </w:r>
    </w:p>
    <w:p>
      <w:pPr>
        <w:spacing w:after="20"/>
        <w:ind w:left="259" w:hanging="259"/>
      </w:pPr>
      <w:r>
        <w:rPr>
          <w:rFonts w:ascii="Arial" w:hAnsi="Arial"/>
          <w:b/>
          <w:sz w:val="18"/>
        </w:rPr>
        <w:t xml:space="preserve">D. </w:t>
      </w:r>
      <w:r>
        <w:rPr>
          <w:rFonts w:ascii="Arial" w:hAnsi="Arial"/>
          <w:sz w:val="18"/>
        </w:rPr>
        <w:t>Correct the record transparently, preserve the original audit trail, assess any safety effect, and revise the workflow before further use.</w:t>
      </w:r>
    </w:p>
    <w:p>
      <w:pPr>
        <w:spacing w:before="80" w:after="40"/>
      </w:pPr>
      <w:r>
        <w:rPr>
          <w:rFonts w:ascii="Arial" w:hAnsi="Arial"/>
          <w:b/>
          <w:color w:val="17365D"/>
          <w:sz w:val="18"/>
        </w:rPr>
        <w:t>8. An insurer asks a counselor to add a diagnosis that is not clinically supported so treatment will be reimbursed. What is the BEST response?</w:t>
      </w:r>
    </w:p>
    <w:p>
      <w:pPr>
        <w:spacing w:after="20"/>
        <w:ind w:left="259" w:hanging="259"/>
      </w:pPr>
      <w:r>
        <w:rPr>
          <w:rFonts w:ascii="Arial" w:hAnsi="Arial"/>
          <w:b/>
          <w:sz w:val="18"/>
        </w:rPr>
        <w:t xml:space="preserve">A. </w:t>
      </w:r>
      <w:r>
        <w:rPr>
          <w:rFonts w:ascii="Arial" w:hAnsi="Arial"/>
          <w:sz w:val="18"/>
        </w:rPr>
        <w:t>Refuse to falsify the record or claim and provide only clinically supportable documentation.</w:t>
      </w:r>
    </w:p>
    <w:p>
      <w:pPr>
        <w:spacing w:after="20"/>
        <w:ind w:left="259" w:hanging="259"/>
      </w:pPr>
      <w:r>
        <w:rPr>
          <w:rFonts w:ascii="Arial" w:hAnsi="Arial"/>
          <w:b/>
          <w:sz w:val="18"/>
        </w:rPr>
        <w:t xml:space="preserve">B. </w:t>
      </w:r>
      <w:r>
        <w:rPr>
          <w:rFonts w:ascii="Arial" w:hAnsi="Arial"/>
          <w:sz w:val="18"/>
        </w:rPr>
        <w:t>Add the diagnosis but note privately that it was for billing.</w:t>
      </w:r>
    </w:p>
    <w:p>
      <w:pPr>
        <w:spacing w:after="20"/>
        <w:ind w:left="259" w:hanging="259"/>
      </w:pPr>
      <w:r>
        <w:rPr>
          <w:rFonts w:ascii="Arial" w:hAnsi="Arial"/>
          <w:b/>
          <w:sz w:val="18"/>
        </w:rPr>
        <w:t xml:space="preserve">C. </w:t>
      </w:r>
      <w:r>
        <w:rPr>
          <w:rFonts w:ascii="Arial" w:hAnsi="Arial"/>
          <w:sz w:val="18"/>
        </w:rPr>
        <w:t>Ask the client to choose a reimbursable diagnosis.</w:t>
      </w:r>
    </w:p>
    <w:p>
      <w:pPr>
        <w:spacing w:after="20"/>
        <w:ind w:left="259" w:hanging="259"/>
      </w:pPr>
      <w:r>
        <w:rPr>
          <w:rFonts w:ascii="Arial" w:hAnsi="Arial"/>
          <w:b/>
          <w:sz w:val="18"/>
        </w:rPr>
        <w:t xml:space="preserve">D. </w:t>
      </w:r>
      <w:r>
        <w:rPr>
          <w:rFonts w:ascii="Arial" w:hAnsi="Arial"/>
          <w:sz w:val="18"/>
        </w:rPr>
        <w:t>Use the diagnosis temporarily and remove it after payment.</w:t>
      </w:r>
    </w:p>
    <w:p>
      <w:pPr>
        <w:spacing w:before="80" w:after="40"/>
      </w:pPr>
      <w:r>
        <w:rPr>
          <w:rFonts w:ascii="Arial" w:hAnsi="Arial"/>
          <w:b/>
          <w:color w:val="17365D"/>
          <w:sz w:val="18"/>
        </w:rPr>
        <w:t>9. Which progress note is MOST professionally defensible?</w:t>
      </w:r>
    </w:p>
    <w:p>
      <w:pPr>
        <w:spacing w:after="20"/>
        <w:ind w:left="259" w:hanging="259"/>
      </w:pPr>
      <w:r>
        <w:rPr>
          <w:rFonts w:ascii="Arial" w:hAnsi="Arial"/>
          <w:b/>
          <w:sz w:val="18"/>
        </w:rPr>
        <w:t xml:space="preserve">A. </w:t>
      </w:r>
      <w:r>
        <w:rPr>
          <w:rFonts w:ascii="Arial" w:hAnsi="Arial"/>
          <w:sz w:val="18"/>
        </w:rPr>
        <w:t>“Client was manipulative and difficult as usual.”</w:t>
      </w:r>
    </w:p>
    <w:p>
      <w:pPr>
        <w:spacing w:after="20"/>
        <w:ind w:left="259" w:hanging="259"/>
      </w:pPr>
      <w:r>
        <w:rPr>
          <w:rFonts w:ascii="Arial" w:hAnsi="Arial"/>
          <w:b/>
          <w:sz w:val="18"/>
        </w:rPr>
        <w:t xml:space="preserve">B. </w:t>
      </w:r>
      <w:r>
        <w:rPr>
          <w:rFonts w:ascii="Arial" w:hAnsi="Arial"/>
          <w:sz w:val="18"/>
        </w:rPr>
        <w:t>“Session went well. Continue plan.”</w:t>
      </w:r>
    </w:p>
    <w:p>
      <w:pPr>
        <w:spacing w:after="20"/>
        <w:ind w:left="259" w:hanging="259"/>
      </w:pPr>
      <w:r>
        <w:rPr>
          <w:rFonts w:ascii="Arial" w:hAnsi="Arial"/>
          <w:b/>
          <w:sz w:val="18"/>
        </w:rPr>
        <w:t xml:space="preserve">C. </w:t>
      </w:r>
      <w:r>
        <w:rPr>
          <w:rFonts w:ascii="Arial" w:hAnsi="Arial"/>
          <w:sz w:val="18"/>
        </w:rPr>
        <w:t>“Client reported two panic episodes; counselor reviewed breathing practice, client demonstrated the skill, distress decreased from 8/10 to 5/10, and follow-up was scheduled for one week.”</w:t>
      </w:r>
    </w:p>
    <w:p>
      <w:pPr>
        <w:spacing w:after="20"/>
        <w:ind w:left="259" w:hanging="259"/>
      </w:pPr>
      <w:r>
        <w:rPr>
          <w:rFonts w:ascii="Arial" w:hAnsi="Arial"/>
          <w:b/>
          <w:sz w:val="18"/>
        </w:rPr>
        <w:t xml:space="preserve">D. </w:t>
      </w:r>
      <w:r>
        <w:rPr>
          <w:rFonts w:ascii="Arial" w:hAnsi="Arial"/>
          <w:sz w:val="18"/>
        </w:rPr>
        <w:t>“No risk,” with no supporting assessment.</w:t>
      </w:r>
    </w:p>
    <w:p>
      <w:pPr>
        <w:spacing w:before="80" w:after="40"/>
      </w:pPr>
      <w:r>
        <w:rPr>
          <w:rFonts w:ascii="Arial" w:hAnsi="Arial"/>
          <w:b/>
          <w:color w:val="17365D"/>
          <w:sz w:val="18"/>
        </w:rPr>
        <w:t>10. A client needs ongoing care, but the counselor is closing the practice unexpectedly due to illness. What is the BEST professional-practice response?</w:t>
      </w:r>
    </w:p>
    <w:p>
      <w:pPr>
        <w:spacing w:after="20"/>
        <w:ind w:left="259" w:hanging="259"/>
      </w:pPr>
      <w:r>
        <w:rPr>
          <w:rFonts w:ascii="Arial" w:hAnsi="Arial"/>
          <w:b/>
          <w:sz w:val="18"/>
        </w:rPr>
        <w:t xml:space="preserve">A. </w:t>
      </w:r>
      <w:r>
        <w:rPr>
          <w:rFonts w:ascii="Arial" w:hAnsi="Arial"/>
          <w:sz w:val="18"/>
        </w:rPr>
        <w:t>Stop scheduling and let clients locate new providers independently.</w:t>
      </w:r>
    </w:p>
    <w:p>
      <w:pPr>
        <w:spacing w:after="20"/>
        <w:ind w:left="259" w:hanging="259"/>
      </w:pPr>
      <w:r>
        <w:rPr>
          <w:rFonts w:ascii="Arial" w:hAnsi="Arial"/>
          <w:b/>
          <w:sz w:val="18"/>
        </w:rPr>
        <w:t xml:space="preserve">B. </w:t>
      </w:r>
      <w:r>
        <w:rPr>
          <w:rFonts w:ascii="Arial" w:hAnsi="Arial"/>
          <w:sz w:val="18"/>
        </w:rPr>
        <w:t>Activate the practice emergency/continuity plan, communicate within capacity, provide appropriate referrals and crisis information, arrange records access, and document transitions.</w:t>
      </w:r>
    </w:p>
    <w:p>
      <w:pPr>
        <w:spacing w:after="20"/>
        <w:ind w:left="259" w:hanging="259"/>
      </w:pPr>
      <w:r>
        <w:rPr>
          <w:rFonts w:ascii="Arial" w:hAnsi="Arial"/>
          <w:b/>
          <w:sz w:val="18"/>
        </w:rPr>
        <w:t xml:space="preserve">C. </w:t>
      </w:r>
      <w:r>
        <w:rPr>
          <w:rFonts w:ascii="Arial" w:hAnsi="Arial"/>
          <w:sz w:val="18"/>
        </w:rPr>
        <w:t>Transfer every client to the same provider without consent.</w:t>
      </w:r>
    </w:p>
    <w:p>
      <w:pPr>
        <w:spacing w:after="20"/>
        <w:ind w:left="259" w:hanging="259"/>
      </w:pPr>
      <w:r>
        <w:rPr>
          <w:rFonts w:ascii="Arial" w:hAnsi="Arial"/>
          <w:b/>
          <w:sz w:val="18"/>
        </w:rPr>
        <w:t xml:space="preserve">D. </w:t>
      </w:r>
      <w:r>
        <w:rPr>
          <w:rFonts w:ascii="Arial" w:hAnsi="Arial"/>
          <w:sz w:val="18"/>
        </w:rPr>
        <w:t>Leave a voicemail stating that all services are permanently unavailable.</w:t>
      </w:r>
    </w:p>
    <w:tbl>
      <w:tblPr>
        <w:tblW w:type="auto" w:w="0"/>
        <w:jc w:val="center"/>
        <w:tblLook w:firstColumn="1" w:firstRow="1" w:lastColumn="0" w:lastRow="0" w:noHBand="0" w:noVBand="1" w:val="04A0"/>
      </w:tblPr>
      <w:tblGrid>
        <w:gridCol w:w="10282"/>
      </w:tblGrid>
      <w:tr>
        <w:tc>
          <w:tcPr>
            <w:tcW w:type="dxa" w:w="10282"/>
            <w:shd w:fill="F2F4F6"/>
            <w:tcBorders>
              <w:top w:val="single" w:sz="8" w:color="9CA3AF"/>
              <w:left w:val="single" w:sz="8" w:color="9CA3AF"/>
              <w:bottom w:val="single" w:sz="8" w:color="9CA3AF"/>
              <w:right w:val="single" w:sz="8" w:color="9CA3AF"/>
            </w:tcBorders>
            <w:tcMar>
              <w:top w:w="90" w:type="dxa"/>
              <w:start w:w="120" w:type="dxa"/>
              <w:bottom w:w="90" w:type="dxa"/>
              <w:end w:w="120" w:type="dxa"/>
            </w:tcMar>
          </w:tcPr>
          <w:p>
            <w:pPr>
              <w:spacing w:after="40"/>
            </w:pPr>
            <w:r>
              <w:rPr>
                <w:rFonts w:ascii="Arial" w:hAnsi="Arial"/>
                <w:b/>
                <w:color w:val="17365D"/>
                <w:sz w:val="19"/>
              </w:rPr>
              <w:t>SCORE REFLECTION</w:t>
            </w:r>
          </w:p>
          <w:p>
            <w:pPr>
              <w:spacing w:after="0"/>
            </w:pPr>
            <w:r>
              <w:rPr>
                <w:rFonts w:ascii="Arial" w:hAnsi="Arial"/>
                <w:color w:val="1F2937"/>
                <w:sz w:val="18"/>
              </w:rPr>
              <w:t>Raw score: ____ / 10    High-confidence misses: ____    Primary error code: ____    One rule I will apply next time: ____________________________________________</w:t>
            </w:r>
          </w:p>
        </w:tc>
      </w:tr>
    </w:tbl>
    <w:p>
      <w:pPr>
        <w:spacing w:after="0"/>
      </w:pPr>
    </w:p>
    <w:p>
      <w:r>
        <w:br w:type="page"/>
      </w:r>
    </w:p>
    <w:p>
      <w:pPr>
        <w:pStyle w:val="Heading1"/>
        <w:keepNext/>
      </w:pPr>
      <w:r>
        <w:t>Answer Key and Detailed Rationales</w:t>
      </w:r>
    </w:p>
    <w:p>
      <w:pPr>
        <w:spacing w:after="100"/>
      </w:pPr>
      <w:r>
        <w:rPr>
          <w:rFonts w:ascii="Arial" w:hAnsi="Arial"/>
          <w:b w:val="0"/>
          <w:i w:val="0"/>
          <w:color w:val="1F2937"/>
          <w:sz w:val="18"/>
        </w:rPr>
        <w:t>Review the reasoning, not only the correct letter. For each miss, name the controlling authority, the professional task, and the first action that should have occurred.</w:t>
      </w:r>
    </w:p>
    <w:p>
      <w:pPr>
        <w:spacing w:before="100" w:after="40"/>
      </w:pPr>
      <w:r>
        <w:rPr>
          <w:rFonts w:ascii="Arial" w:hAnsi="Arial"/>
          <w:b/>
          <w:color w:val="17365D"/>
          <w:sz w:val="18"/>
        </w:rPr>
        <w:t>1. Correct Answer: B</w:t>
      </w:r>
    </w:p>
    <w:p>
      <w:pPr>
        <w:spacing w:after="40"/>
      </w:pPr>
      <w:r>
        <w:rPr>
          <w:rFonts w:ascii="Arial" w:hAnsi="Arial"/>
          <w:b/>
          <w:sz w:val="17"/>
        </w:rPr>
        <w:t xml:space="preserve">Why B is correct: </w:t>
      </w:r>
      <w:r>
        <w:rPr>
          <w:rFonts w:ascii="Arial" w:hAnsi="Arial"/>
          <w:sz w:val="17"/>
        </w:rPr>
        <w:t>The counselor must identify whether law, contract, authorization, or another valid basis permits the disclosure and resolve the policy conflict before releasing protected information.</w:t>
      </w:r>
    </w:p>
    <w:p>
      <w:pPr>
        <w:spacing w:after="20"/>
      </w:pPr>
      <w:r>
        <w:rPr>
          <w:rFonts w:ascii="Arial" w:hAnsi="Arial"/>
          <w:b/>
          <w:sz w:val="17"/>
        </w:rPr>
        <w:t xml:space="preserve">Why A is not best: </w:t>
      </w:r>
      <w:r>
        <w:rPr>
          <w:rFonts w:ascii="Arial" w:hAnsi="Arial"/>
          <w:sz w:val="17"/>
        </w:rPr>
        <w:t>Record ownership does not erase client confidentiality or disclosure law.</w:t>
      </w:r>
    </w:p>
    <w:p>
      <w:pPr>
        <w:spacing w:after="20"/>
      </w:pPr>
      <w:r>
        <w:rPr>
          <w:rFonts w:ascii="Arial" w:hAnsi="Arial"/>
          <w:b/>
          <w:sz w:val="17"/>
        </w:rPr>
        <w:t xml:space="preserve">Why C is not best: </w:t>
      </w:r>
      <w:r>
        <w:rPr>
          <w:rFonts w:ascii="Arial" w:hAnsi="Arial"/>
          <w:sz w:val="17"/>
        </w:rPr>
        <w:t>Selecting one document type without authority is still an unauthorized disclosure.</w:t>
      </w:r>
    </w:p>
    <w:p>
      <w:pPr>
        <w:spacing w:after="20"/>
      </w:pPr>
      <w:r>
        <w:rPr>
          <w:rFonts w:ascii="Arial" w:hAnsi="Arial"/>
          <w:b/>
          <w:sz w:val="17"/>
        </w:rPr>
        <w:t xml:space="preserve">Why D is not best: </w:t>
      </w:r>
      <w:r>
        <w:rPr>
          <w:rFonts w:ascii="Arial" w:hAnsi="Arial"/>
          <w:sz w:val="17"/>
        </w:rPr>
        <w:t>A promise does not create legal authority or define the proper scope.</w:t>
      </w:r>
    </w:p>
    <w:tbl>
      <w:tblPr>
        <w:tblW w:type="auto" w:w="0"/>
        <w:jc w:val="center"/>
        <w:tblLook w:firstColumn="1" w:firstRow="1" w:lastColumn="0" w:lastRow="0" w:noHBand="0" w:noVBand="1" w:val="04A0"/>
      </w:tblPr>
      <w:tblGrid>
        <w:gridCol w:w="10282"/>
      </w:tblGrid>
      <w:tr>
        <w:tc>
          <w:tcPr>
            <w:tcW w:type="dxa" w:w="10282"/>
            <w:shd w:fill="EAF0F7"/>
            <w:tcBorders>
              <w:top w:val="single" w:sz="8" w:color="159C9C"/>
              <w:left w:val="single" w:sz="8" w:color="159C9C"/>
              <w:bottom w:val="single" w:sz="8" w:color="159C9C"/>
              <w:right w:val="single" w:sz="8" w:color="159C9C"/>
            </w:tcBorders>
            <w:tcMar>
              <w:top w:w="90" w:type="dxa"/>
              <w:start w:w="120" w:type="dxa"/>
              <w:bottom w:w="90" w:type="dxa"/>
              <w:end w:w="120" w:type="dxa"/>
            </w:tcMar>
          </w:tcPr>
          <w:p>
            <w:pPr>
              <w:spacing w:after="40"/>
            </w:pPr>
            <w:r>
              <w:rPr>
                <w:rFonts w:ascii="Arial" w:hAnsi="Arial"/>
                <w:b/>
                <w:color w:val="17365D"/>
                <w:sz w:val="19"/>
              </w:rPr>
              <w:t>CTA EXAM STRATEGY</w:t>
            </w:r>
          </w:p>
          <w:p>
            <w:pPr>
              <w:spacing w:after="0"/>
            </w:pPr>
            <w:r>
              <w:rPr>
                <w:rFonts w:ascii="Arial" w:hAnsi="Arial"/>
                <w:color w:val="1F2937"/>
                <w:sz w:val="18"/>
              </w:rPr>
              <w:t>When policy and confidentiality conflict, do not release first and research later. Identify authority, purpose, and minimum necessary information.</w:t>
            </w:r>
          </w:p>
        </w:tc>
      </w:tr>
    </w:tbl>
    <w:p>
      <w:pPr>
        <w:spacing w:after="0"/>
      </w:pPr>
    </w:p>
    <w:p>
      <w:pPr>
        <w:spacing w:before="100" w:after="40"/>
      </w:pPr>
      <w:r>
        <w:rPr>
          <w:rFonts w:ascii="Arial" w:hAnsi="Arial"/>
          <w:b/>
          <w:color w:val="17365D"/>
          <w:sz w:val="18"/>
        </w:rPr>
        <w:t>2. Correct Answer: A</w:t>
      </w:r>
    </w:p>
    <w:p>
      <w:pPr>
        <w:spacing w:after="40"/>
      </w:pPr>
      <w:r>
        <w:rPr>
          <w:rFonts w:ascii="Arial" w:hAnsi="Arial"/>
          <w:b/>
          <w:sz w:val="17"/>
        </w:rPr>
        <w:t xml:space="preserve">Why A is correct: </w:t>
      </w:r>
      <w:r>
        <w:rPr>
          <w:rFonts w:ascii="Arial" w:hAnsi="Arial"/>
          <w:sz w:val="17"/>
        </w:rPr>
        <w:t>Privilege is an evidentiary right generally held by the patient, while confidentiality is the counselor’s broader duty to protect information in and outside legal proceedings.</w:t>
      </w:r>
    </w:p>
    <w:p>
      <w:pPr>
        <w:spacing w:after="20"/>
      </w:pPr>
      <w:r>
        <w:rPr>
          <w:rFonts w:ascii="Arial" w:hAnsi="Arial"/>
          <w:b/>
          <w:sz w:val="17"/>
        </w:rPr>
        <w:t xml:space="preserve">Why B is not best: </w:t>
      </w:r>
      <w:r>
        <w:rPr>
          <w:rFonts w:ascii="Arial" w:hAnsi="Arial"/>
          <w:sz w:val="17"/>
        </w:rPr>
        <w:t>The concepts overlap but are not identical.</w:t>
      </w:r>
    </w:p>
    <w:p>
      <w:pPr>
        <w:spacing w:after="20"/>
      </w:pPr>
      <w:r>
        <w:rPr>
          <w:rFonts w:ascii="Arial" w:hAnsi="Arial"/>
          <w:b/>
          <w:sz w:val="17"/>
        </w:rPr>
        <w:t xml:space="preserve">Why C is not best: </w:t>
      </w:r>
      <w:r>
        <w:rPr>
          <w:rFonts w:ascii="Arial" w:hAnsi="Arial"/>
          <w:sz w:val="17"/>
        </w:rPr>
        <w:t>Both may apply to oral and written information.</w:t>
      </w:r>
    </w:p>
    <w:p>
      <w:pPr>
        <w:spacing w:after="20"/>
      </w:pPr>
      <w:r>
        <w:rPr>
          <w:rFonts w:ascii="Arial" w:hAnsi="Arial"/>
          <w:b/>
          <w:sz w:val="17"/>
        </w:rPr>
        <w:t xml:space="preserve">Why D is not best: </w:t>
      </w:r>
      <w:r>
        <w:rPr>
          <w:rFonts w:ascii="Arial" w:hAnsi="Arial"/>
          <w:sz w:val="17"/>
        </w:rPr>
        <w:t>The counselor does not automatically own or waive the patient’s privilege.</w:t>
      </w:r>
    </w:p>
    <w:tbl>
      <w:tblPr>
        <w:tblW w:type="auto" w:w="0"/>
        <w:jc w:val="center"/>
        <w:tblLook w:firstColumn="1" w:firstRow="1" w:lastColumn="0" w:lastRow="0" w:noHBand="0" w:noVBand="1" w:val="04A0"/>
      </w:tblPr>
      <w:tblGrid>
        <w:gridCol w:w="10282"/>
      </w:tblGrid>
      <w:tr>
        <w:tc>
          <w:tcPr>
            <w:tcW w:type="dxa" w:w="10282"/>
            <w:shd w:fill="EAF0F7"/>
            <w:tcBorders>
              <w:top w:val="single" w:sz="8" w:color="159C9C"/>
              <w:left w:val="single" w:sz="8" w:color="159C9C"/>
              <w:bottom w:val="single" w:sz="8" w:color="159C9C"/>
              <w:right w:val="single" w:sz="8" w:color="159C9C"/>
            </w:tcBorders>
            <w:tcMar>
              <w:top w:w="90" w:type="dxa"/>
              <w:start w:w="120" w:type="dxa"/>
              <w:bottom w:w="90" w:type="dxa"/>
              <w:end w:w="120" w:type="dxa"/>
            </w:tcMar>
          </w:tcPr>
          <w:p>
            <w:pPr>
              <w:spacing w:after="40"/>
            </w:pPr>
            <w:r>
              <w:rPr>
                <w:rFonts w:ascii="Arial" w:hAnsi="Arial"/>
                <w:b/>
                <w:color w:val="17365D"/>
                <w:sz w:val="19"/>
              </w:rPr>
              <w:t>CTA EXAM STRATEGY</w:t>
            </w:r>
          </w:p>
          <w:p>
            <w:pPr>
              <w:spacing w:after="0"/>
            </w:pPr>
            <w:r>
              <w:rPr>
                <w:rFonts w:ascii="Arial" w:hAnsi="Arial"/>
                <w:color w:val="1F2937"/>
                <w:sz w:val="18"/>
              </w:rPr>
              <w:t>Ask what right is being tested, who holds it, and in what setting it operates.</w:t>
            </w:r>
          </w:p>
        </w:tc>
      </w:tr>
    </w:tbl>
    <w:p>
      <w:pPr>
        <w:spacing w:after="0"/>
      </w:pPr>
    </w:p>
    <w:p>
      <w:pPr>
        <w:spacing w:before="100" w:after="40"/>
      </w:pPr>
      <w:r>
        <w:rPr>
          <w:rFonts w:ascii="Arial" w:hAnsi="Arial"/>
          <w:b/>
          <w:color w:val="17365D"/>
          <w:sz w:val="18"/>
        </w:rPr>
        <w:t>3. Correct Answer: C</w:t>
      </w:r>
    </w:p>
    <w:p>
      <w:pPr>
        <w:spacing w:after="40"/>
      </w:pPr>
      <w:r>
        <w:rPr>
          <w:rFonts w:ascii="Arial" w:hAnsi="Arial"/>
          <w:b/>
          <w:sz w:val="17"/>
        </w:rPr>
        <w:t xml:space="preserve">Why C is correct: </w:t>
      </w:r>
      <w:r>
        <w:rPr>
          <w:rFonts w:ascii="Arial" w:hAnsi="Arial"/>
          <w:sz w:val="17"/>
        </w:rPr>
        <w:t>California Business and Professions Code section 4999.75 requires LPCC health service records to be retained for at least seven years from termination for an adult client.</w:t>
      </w:r>
    </w:p>
    <w:p>
      <w:pPr>
        <w:spacing w:after="20"/>
      </w:pPr>
      <w:r>
        <w:rPr>
          <w:rFonts w:ascii="Arial" w:hAnsi="Arial"/>
          <w:b/>
          <w:sz w:val="17"/>
        </w:rPr>
        <w:t xml:space="preserve">Why A is not best: </w:t>
      </w:r>
      <w:r>
        <w:rPr>
          <w:rFonts w:ascii="Arial" w:hAnsi="Arial"/>
          <w:sz w:val="17"/>
        </w:rPr>
        <w:t>Two years is shorter than the statutory minimum.</w:t>
      </w:r>
    </w:p>
    <w:p>
      <w:pPr>
        <w:spacing w:after="20"/>
      </w:pPr>
      <w:r>
        <w:rPr>
          <w:rFonts w:ascii="Arial" w:hAnsi="Arial"/>
          <w:b/>
          <w:sz w:val="17"/>
        </w:rPr>
        <w:t xml:space="preserve">Why B is not best: </w:t>
      </w:r>
      <w:r>
        <w:rPr>
          <w:rFonts w:ascii="Arial" w:hAnsi="Arial"/>
          <w:sz w:val="17"/>
        </w:rPr>
        <w:t>The retention period is not measured from intake.</w:t>
      </w:r>
    </w:p>
    <w:p>
      <w:pPr>
        <w:spacing w:after="20"/>
      </w:pPr>
      <w:r>
        <w:rPr>
          <w:rFonts w:ascii="Arial" w:hAnsi="Arial"/>
          <w:b/>
          <w:sz w:val="17"/>
        </w:rPr>
        <w:t xml:space="preserve">Why D is not best: </w:t>
      </w:r>
      <w:r>
        <w:rPr>
          <w:rFonts w:ascii="Arial" w:hAnsi="Arial"/>
          <w:sz w:val="17"/>
        </w:rPr>
        <w:t>A client request does not automatically eliminate the provider’s retention duty.</w:t>
      </w:r>
    </w:p>
    <w:tbl>
      <w:tblPr>
        <w:tblW w:type="auto" w:w="0"/>
        <w:jc w:val="center"/>
        <w:tblLook w:firstColumn="1" w:firstRow="1" w:lastColumn="0" w:lastRow="0" w:noHBand="0" w:noVBand="1" w:val="04A0"/>
      </w:tblPr>
      <w:tblGrid>
        <w:gridCol w:w="10282"/>
      </w:tblGrid>
      <w:tr>
        <w:tc>
          <w:tcPr>
            <w:tcW w:type="dxa" w:w="10282"/>
            <w:shd w:fill="EAF0F7"/>
            <w:tcBorders>
              <w:top w:val="single" w:sz="8" w:color="159C9C"/>
              <w:left w:val="single" w:sz="8" w:color="159C9C"/>
              <w:bottom w:val="single" w:sz="8" w:color="159C9C"/>
              <w:right w:val="single" w:sz="8" w:color="159C9C"/>
            </w:tcBorders>
            <w:tcMar>
              <w:top w:w="90" w:type="dxa"/>
              <w:start w:w="120" w:type="dxa"/>
              <w:bottom w:w="90" w:type="dxa"/>
              <w:end w:w="120" w:type="dxa"/>
            </w:tcMar>
          </w:tcPr>
          <w:p>
            <w:pPr>
              <w:spacing w:after="40"/>
            </w:pPr>
            <w:r>
              <w:rPr>
                <w:rFonts w:ascii="Arial" w:hAnsi="Arial"/>
                <w:b/>
                <w:color w:val="17365D"/>
                <w:sz w:val="19"/>
              </w:rPr>
              <w:t>CTA EXAM STRATEGY</w:t>
            </w:r>
          </w:p>
          <w:p>
            <w:pPr>
              <w:spacing w:after="0"/>
            </w:pPr>
            <w:r>
              <w:rPr>
                <w:rFonts w:ascii="Arial" w:hAnsi="Arial"/>
                <w:color w:val="1F2937"/>
                <w:sz w:val="18"/>
              </w:rPr>
              <w:t>For record questions, identify profession, client age, termination date, and the current statutory minimum.</w:t>
            </w:r>
          </w:p>
        </w:tc>
      </w:tr>
    </w:tbl>
    <w:p>
      <w:pPr>
        <w:spacing w:after="0"/>
      </w:pPr>
    </w:p>
    <w:p>
      <w:pPr>
        <w:spacing w:before="100" w:after="40"/>
      </w:pPr>
      <w:r>
        <w:rPr>
          <w:rFonts w:ascii="Arial" w:hAnsi="Arial"/>
          <w:b/>
          <w:color w:val="17365D"/>
          <w:sz w:val="18"/>
        </w:rPr>
        <w:t>4. Correct Answer: D</w:t>
      </w:r>
    </w:p>
    <w:p>
      <w:pPr>
        <w:spacing w:after="40"/>
      </w:pPr>
      <w:r>
        <w:rPr>
          <w:rFonts w:ascii="Arial" w:hAnsi="Arial"/>
          <w:b/>
          <w:sz w:val="17"/>
        </w:rPr>
        <w:t xml:space="preserve">Why D is correct: </w:t>
      </w:r>
      <w:r>
        <w:rPr>
          <w:rFonts w:ascii="Arial" w:hAnsi="Arial"/>
          <w:sz w:val="17"/>
        </w:rPr>
        <w:t>The reporting duty is individual. A supervisor or internal meeting cannot delay or replace the required report to the designated agency.</w:t>
      </w:r>
    </w:p>
    <w:p>
      <w:pPr>
        <w:spacing w:after="20"/>
      </w:pPr>
      <w:r>
        <w:rPr>
          <w:rFonts w:ascii="Arial" w:hAnsi="Arial"/>
          <w:b/>
          <w:sz w:val="17"/>
        </w:rPr>
        <w:t xml:space="preserve">Why A is not best: </w:t>
      </w:r>
      <w:r>
        <w:rPr>
          <w:rFonts w:ascii="Arial" w:hAnsi="Arial"/>
          <w:sz w:val="17"/>
        </w:rPr>
        <w:t>Supervision supports judgment but does not transfer the reporter’s duty.</w:t>
      </w:r>
    </w:p>
    <w:p>
      <w:pPr>
        <w:spacing w:after="20"/>
      </w:pPr>
      <w:r>
        <w:rPr>
          <w:rFonts w:ascii="Arial" w:hAnsi="Arial"/>
          <w:b/>
          <w:sz w:val="17"/>
        </w:rPr>
        <w:t xml:space="preserve">Why B is not best: </w:t>
      </w:r>
      <w:r>
        <w:rPr>
          <w:rFonts w:ascii="Arial" w:hAnsi="Arial"/>
          <w:sz w:val="17"/>
        </w:rPr>
        <w:t>Reasonable suspicion, not certainty, is the relevant threshold.</w:t>
      </w:r>
    </w:p>
    <w:p>
      <w:pPr>
        <w:spacing w:after="20"/>
      </w:pPr>
      <w:r>
        <w:rPr>
          <w:rFonts w:ascii="Arial" w:hAnsi="Arial"/>
          <w:b/>
          <w:sz w:val="17"/>
        </w:rPr>
        <w:t xml:space="preserve">Why C is not best: </w:t>
      </w:r>
      <w:r>
        <w:rPr>
          <w:rFonts w:ascii="Arial" w:hAnsi="Arial"/>
          <w:sz w:val="17"/>
        </w:rPr>
        <w:t>The counselor should not delay a required report to conduct an investigation.</w:t>
      </w:r>
    </w:p>
    <w:tbl>
      <w:tblPr>
        <w:tblW w:type="auto" w:w="0"/>
        <w:jc w:val="center"/>
        <w:tblLook w:firstColumn="1" w:firstRow="1" w:lastColumn="0" w:lastRow="0" w:noHBand="0" w:noVBand="1" w:val="04A0"/>
      </w:tblPr>
      <w:tblGrid>
        <w:gridCol w:w="10282"/>
      </w:tblGrid>
      <w:tr>
        <w:tc>
          <w:tcPr>
            <w:tcW w:type="dxa" w:w="10282"/>
            <w:shd w:fill="EAF0F7"/>
            <w:tcBorders>
              <w:top w:val="single" w:sz="8" w:color="159C9C"/>
              <w:left w:val="single" w:sz="8" w:color="159C9C"/>
              <w:bottom w:val="single" w:sz="8" w:color="159C9C"/>
              <w:right w:val="single" w:sz="8" w:color="159C9C"/>
            </w:tcBorders>
            <w:tcMar>
              <w:top w:w="90" w:type="dxa"/>
              <w:start w:w="120" w:type="dxa"/>
              <w:bottom w:w="90" w:type="dxa"/>
              <w:end w:w="120" w:type="dxa"/>
            </w:tcMar>
          </w:tcPr>
          <w:p>
            <w:pPr>
              <w:spacing w:after="40"/>
            </w:pPr>
            <w:r>
              <w:rPr>
                <w:rFonts w:ascii="Arial" w:hAnsi="Arial"/>
                <w:b/>
                <w:color w:val="17365D"/>
                <w:sz w:val="19"/>
              </w:rPr>
              <w:t>CTA EXAM STRATEGY</w:t>
            </w:r>
          </w:p>
          <w:p>
            <w:pPr>
              <w:spacing w:after="0"/>
            </w:pPr>
            <w:r>
              <w:rPr>
                <w:rFonts w:ascii="Arial" w:hAnsi="Arial"/>
                <w:color w:val="1F2937"/>
                <w:sz w:val="18"/>
              </w:rPr>
              <w:t>Mandated-report questions turn on threshold, recipient, and timing. Internal notification is not the report.</w:t>
            </w:r>
          </w:p>
        </w:tc>
      </w:tr>
    </w:tbl>
    <w:p>
      <w:pPr>
        <w:spacing w:after="0"/>
      </w:pPr>
    </w:p>
    <w:p>
      <w:pPr>
        <w:spacing w:before="100" w:after="40"/>
      </w:pPr>
      <w:r>
        <w:rPr>
          <w:rFonts w:ascii="Arial" w:hAnsi="Arial"/>
          <w:b/>
          <w:color w:val="17365D"/>
          <w:sz w:val="18"/>
        </w:rPr>
        <w:t>5. Correct Answer: C</w:t>
      </w:r>
    </w:p>
    <w:p>
      <w:pPr>
        <w:spacing w:after="40"/>
      </w:pPr>
      <w:r>
        <w:rPr>
          <w:rFonts w:ascii="Arial" w:hAnsi="Arial"/>
          <w:b/>
          <w:sz w:val="17"/>
        </w:rPr>
        <w:t xml:space="preserve">Why C is correct: </w:t>
      </w:r>
      <w:r>
        <w:rPr>
          <w:rFonts w:ascii="Arial" w:hAnsi="Arial"/>
          <w:sz w:val="17"/>
        </w:rPr>
        <w:t>A subpoena requires timely attention, preservation, and qualified guidance, but it does not automatically authorize disclosure of the complete record or resolve privilege.</w:t>
      </w:r>
    </w:p>
    <w:p>
      <w:pPr>
        <w:spacing w:after="20"/>
      </w:pPr>
      <w:r>
        <w:rPr>
          <w:rFonts w:ascii="Arial" w:hAnsi="Arial"/>
          <w:b/>
          <w:sz w:val="17"/>
        </w:rPr>
        <w:t xml:space="preserve">Why A is not best: </w:t>
      </w:r>
      <w:r>
        <w:rPr>
          <w:rFonts w:ascii="Arial" w:hAnsi="Arial"/>
          <w:sz w:val="17"/>
        </w:rPr>
        <w:t>Automatic release may breach confidentiality and privilege.</w:t>
      </w:r>
    </w:p>
    <w:p>
      <w:pPr>
        <w:spacing w:after="20"/>
      </w:pPr>
      <w:r>
        <w:rPr>
          <w:rFonts w:ascii="Arial" w:hAnsi="Arial"/>
          <w:b/>
          <w:sz w:val="17"/>
        </w:rPr>
        <w:t xml:space="preserve">Why B is not best: </w:t>
      </w:r>
      <w:r>
        <w:rPr>
          <w:rFonts w:ascii="Arial" w:hAnsi="Arial"/>
          <w:sz w:val="17"/>
        </w:rPr>
        <w:t>Destruction after legal process is improper and may create additional liability.</w:t>
      </w:r>
    </w:p>
    <w:p>
      <w:pPr>
        <w:spacing w:after="20"/>
      </w:pPr>
      <w:r>
        <w:rPr>
          <w:rFonts w:ascii="Arial" w:hAnsi="Arial"/>
          <w:b/>
          <w:sz w:val="17"/>
        </w:rPr>
        <w:t xml:space="preserve">Why D is not best: </w:t>
      </w:r>
      <w:r>
        <w:rPr>
          <w:rFonts w:ascii="Arial" w:hAnsi="Arial"/>
          <w:sz w:val="17"/>
        </w:rPr>
        <w:t>Ignoring legal process is unsafe and may violate legal obligations.</w:t>
      </w:r>
    </w:p>
    <w:tbl>
      <w:tblPr>
        <w:tblW w:type="auto" w:w="0"/>
        <w:jc w:val="center"/>
        <w:tblLook w:firstColumn="1" w:firstRow="1" w:lastColumn="0" w:lastRow="0" w:noHBand="0" w:noVBand="1" w:val="04A0"/>
      </w:tblPr>
      <w:tblGrid>
        <w:gridCol w:w="10282"/>
      </w:tblGrid>
      <w:tr>
        <w:tc>
          <w:tcPr>
            <w:tcW w:type="dxa" w:w="10282"/>
            <w:shd w:fill="EAF0F7"/>
            <w:tcBorders>
              <w:top w:val="single" w:sz="8" w:color="159C9C"/>
              <w:left w:val="single" w:sz="8" w:color="159C9C"/>
              <w:bottom w:val="single" w:sz="8" w:color="159C9C"/>
              <w:right w:val="single" w:sz="8" w:color="159C9C"/>
            </w:tcBorders>
            <w:tcMar>
              <w:top w:w="90" w:type="dxa"/>
              <w:start w:w="120" w:type="dxa"/>
              <w:bottom w:w="90" w:type="dxa"/>
              <w:end w:w="120" w:type="dxa"/>
            </w:tcMar>
          </w:tcPr>
          <w:p>
            <w:pPr>
              <w:spacing w:after="40"/>
            </w:pPr>
            <w:r>
              <w:rPr>
                <w:rFonts w:ascii="Arial" w:hAnsi="Arial"/>
                <w:b/>
                <w:color w:val="17365D"/>
                <w:sz w:val="19"/>
              </w:rPr>
              <w:t>CTA EXAM STRATEGY</w:t>
            </w:r>
          </w:p>
          <w:p>
            <w:pPr>
              <w:spacing w:after="0"/>
            </w:pPr>
            <w:r>
              <w:rPr>
                <w:rFonts w:ascii="Arial" w:hAnsi="Arial"/>
                <w:color w:val="1F2937"/>
                <w:sz w:val="18"/>
              </w:rPr>
              <w:t>Subpoena: preserve, protect, consult, and respond through the proper process. Court order: read scope and comply narrowly with guidance.</w:t>
            </w:r>
          </w:p>
        </w:tc>
      </w:tr>
    </w:tbl>
    <w:p>
      <w:pPr>
        <w:spacing w:after="0"/>
      </w:pPr>
    </w:p>
    <w:p>
      <w:pPr>
        <w:spacing w:before="100" w:after="40"/>
      </w:pPr>
      <w:r>
        <w:rPr>
          <w:rFonts w:ascii="Arial" w:hAnsi="Arial"/>
          <w:b/>
          <w:color w:val="17365D"/>
          <w:sz w:val="18"/>
        </w:rPr>
        <w:t>6. Correct Answer: B</w:t>
      </w:r>
    </w:p>
    <w:p>
      <w:pPr>
        <w:spacing w:after="40"/>
      </w:pPr>
      <w:r>
        <w:rPr>
          <w:rFonts w:ascii="Arial" w:hAnsi="Arial"/>
          <w:b/>
          <w:sz w:val="17"/>
        </w:rPr>
        <w:t xml:space="preserve">Why B is correct: </w:t>
      </w:r>
      <w:r>
        <w:rPr>
          <w:rFonts w:ascii="Arial" w:hAnsi="Arial"/>
          <w:sz w:val="17"/>
        </w:rPr>
        <w:t>Client location affects jurisdiction and emergency response. The counselor should verify location, assess urgent needs, and determine legal authority before continuing routine care.</w:t>
      </w:r>
    </w:p>
    <w:p>
      <w:pPr>
        <w:spacing w:after="20"/>
      </w:pPr>
      <w:r>
        <w:rPr>
          <w:rFonts w:ascii="Arial" w:hAnsi="Arial"/>
          <w:b/>
          <w:sz w:val="17"/>
        </w:rPr>
        <w:t xml:space="preserve">Why A is not best: </w:t>
      </w:r>
      <w:r>
        <w:rPr>
          <w:rFonts w:ascii="Arial" w:hAnsi="Arial"/>
          <w:sz w:val="17"/>
        </w:rPr>
        <w:t>A California license does not automatically authorize practice everywhere the client travels.</w:t>
      </w:r>
    </w:p>
    <w:p>
      <w:pPr>
        <w:spacing w:after="20"/>
      </w:pPr>
      <w:r>
        <w:rPr>
          <w:rFonts w:ascii="Arial" w:hAnsi="Arial"/>
          <w:b/>
          <w:sz w:val="17"/>
        </w:rPr>
        <w:t xml:space="preserve">Why C is not best: </w:t>
      </w:r>
      <w:r>
        <w:rPr>
          <w:rFonts w:ascii="Arial" w:hAnsi="Arial"/>
          <w:sz w:val="17"/>
        </w:rPr>
        <w:t>The record should accurately reflect clinically and legally relevant facts.</w:t>
      </w:r>
    </w:p>
    <w:p>
      <w:pPr>
        <w:spacing w:after="20"/>
      </w:pPr>
      <w:r>
        <w:rPr>
          <w:rFonts w:ascii="Arial" w:hAnsi="Arial"/>
          <w:b/>
          <w:sz w:val="17"/>
        </w:rPr>
        <w:t xml:space="preserve">Why D is not best: </w:t>
      </w:r>
      <w:r>
        <w:rPr>
          <w:rFonts w:ascii="Arial" w:hAnsi="Arial"/>
          <w:sz w:val="17"/>
        </w:rPr>
        <w:t>Changing communication format does not eliminate the jurisdiction issue.</w:t>
      </w:r>
    </w:p>
    <w:tbl>
      <w:tblPr>
        <w:tblW w:type="auto" w:w="0"/>
        <w:jc w:val="center"/>
        <w:tblLook w:firstColumn="1" w:firstRow="1" w:lastColumn="0" w:lastRow="0" w:noHBand="0" w:noVBand="1" w:val="04A0"/>
      </w:tblPr>
      <w:tblGrid>
        <w:gridCol w:w="10282"/>
      </w:tblGrid>
      <w:tr>
        <w:tc>
          <w:tcPr>
            <w:tcW w:type="dxa" w:w="10282"/>
            <w:shd w:fill="EAF0F7"/>
            <w:tcBorders>
              <w:top w:val="single" w:sz="8" w:color="159C9C"/>
              <w:left w:val="single" w:sz="8" w:color="159C9C"/>
              <w:bottom w:val="single" w:sz="8" w:color="159C9C"/>
              <w:right w:val="single" w:sz="8" w:color="159C9C"/>
            </w:tcBorders>
            <w:tcMar>
              <w:top w:w="90" w:type="dxa"/>
              <w:start w:w="120" w:type="dxa"/>
              <w:bottom w:w="90" w:type="dxa"/>
              <w:end w:w="120" w:type="dxa"/>
            </w:tcMar>
          </w:tcPr>
          <w:p>
            <w:pPr>
              <w:spacing w:after="40"/>
            </w:pPr>
            <w:r>
              <w:rPr>
                <w:rFonts w:ascii="Arial" w:hAnsi="Arial"/>
                <w:b/>
                <w:color w:val="17365D"/>
                <w:sz w:val="19"/>
              </w:rPr>
              <w:t>CTA EXAM STRATEGY</w:t>
            </w:r>
          </w:p>
          <w:p>
            <w:pPr>
              <w:spacing w:after="0"/>
            </w:pPr>
            <w:r>
              <w:rPr>
                <w:rFonts w:ascii="Arial" w:hAnsi="Arial"/>
                <w:color w:val="1F2937"/>
                <w:sz w:val="18"/>
              </w:rPr>
              <w:t>For telehealth, check territory before technique: counselor location, client location, authorization, emergency plan, and continuity.</w:t>
            </w:r>
          </w:p>
        </w:tc>
      </w:tr>
    </w:tbl>
    <w:p>
      <w:pPr>
        <w:spacing w:after="0"/>
      </w:pPr>
    </w:p>
    <w:p>
      <w:pPr>
        <w:spacing w:before="100" w:after="40"/>
      </w:pPr>
      <w:r>
        <w:rPr>
          <w:rFonts w:ascii="Arial" w:hAnsi="Arial"/>
          <w:b/>
          <w:color w:val="17365D"/>
          <w:sz w:val="18"/>
        </w:rPr>
        <w:t>7. Correct Answer: D</w:t>
      </w:r>
    </w:p>
    <w:p>
      <w:pPr>
        <w:spacing w:after="40"/>
      </w:pPr>
      <w:r>
        <w:rPr>
          <w:rFonts w:ascii="Arial" w:hAnsi="Arial"/>
          <w:b/>
          <w:sz w:val="17"/>
        </w:rPr>
        <w:t xml:space="preserve">Why D is correct: </w:t>
      </w:r>
      <w:r>
        <w:rPr>
          <w:rFonts w:ascii="Arial" w:hAnsi="Arial"/>
          <w:sz w:val="17"/>
        </w:rPr>
        <w:t>The counselor remains accountable for note accuracy. A transparent correction should preserve the audit trail, address any clinical consequence, and trigger workflow review.</w:t>
      </w:r>
    </w:p>
    <w:p>
      <w:pPr>
        <w:spacing w:after="20"/>
      </w:pPr>
      <w:r>
        <w:rPr>
          <w:rFonts w:ascii="Arial" w:hAnsi="Arial"/>
          <w:b/>
          <w:sz w:val="17"/>
        </w:rPr>
        <w:t xml:space="preserve">Why A is not best: </w:t>
      </w:r>
      <w:r>
        <w:rPr>
          <w:rFonts w:ascii="Arial" w:hAnsi="Arial"/>
          <w:sz w:val="17"/>
        </w:rPr>
        <w:t>Automation does not make inaccurate content reliable.</w:t>
      </w:r>
    </w:p>
    <w:p>
      <w:pPr>
        <w:spacing w:after="20"/>
      </w:pPr>
      <w:r>
        <w:rPr>
          <w:rFonts w:ascii="Arial" w:hAnsi="Arial"/>
          <w:b/>
          <w:sz w:val="17"/>
        </w:rPr>
        <w:t xml:space="preserve">Why B is not best: </w:t>
      </w:r>
      <w:r>
        <w:rPr>
          <w:rFonts w:ascii="Arial" w:hAnsi="Arial"/>
          <w:sz w:val="17"/>
        </w:rPr>
        <w:t>Silent deletion or recreation undermines record integrity.</w:t>
      </w:r>
    </w:p>
    <w:p>
      <w:pPr>
        <w:spacing w:after="20"/>
      </w:pPr>
      <w:r>
        <w:rPr>
          <w:rFonts w:ascii="Arial" w:hAnsi="Arial"/>
          <w:b/>
          <w:sz w:val="17"/>
        </w:rPr>
        <w:t xml:space="preserve">Why C is not best: </w:t>
      </w:r>
      <w:r>
        <w:rPr>
          <w:rFonts w:ascii="Arial" w:hAnsi="Arial"/>
          <w:sz w:val="17"/>
        </w:rPr>
        <w:t>The client is not responsible for professional documentation accuracy.</w:t>
      </w:r>
    </w:p>
    <w:tbl>
      <w:tblPr>
        <w:tblW w:type="auto" w:w="0"/>
        <w:jc w:val="center"/>
        <w:tblLook w:firstColumn="1" w:firstRow="1" w:lastColumn="0" w:lastRow="0" w:noHBand="0" w:noVBand="1" w:val="04A0"/>
      </w:tblPr>
      <w:tblGrid>
        <w:gridCol w:w="10282"/>
      </w:tblGrid>
      <w:tr>
        <w:tc>
          <w:tcPr>
            <w:tcW w:type="dxa" w:w="10282"/>
            <w:shd w:fill="EAF0F7"/>
            <w:tcBorders>
              <w:top w:val="single" w:sz="8" w:color="159C9C"/>
              <w:left w:val="single" w:sz="8" w:color="159C9C"/>
              <w:bottom w:val="single" w:sz="8" w:color="159C9C"/>
              <w:right w:val="single" w:sz="8" w:color="159C9C"/>
            </w:tcBorders>
            <w:tcMar>
              <w:top w:w="90" w:type="dxa"/>
              <w:start w:w="120" w:type="dxa"/>
              <w:bottom w:w="90" w:type="dxa"/>
              <w:end w:w="120" w:type="dxa"/>
            </w:tcMar>
          </w:tcPr>
          <w:p>
            <w:pPr>
              <w:spacing w:after="40"/>
            </w:pPr>
            <w:r>
              <w:rPr>
                <w:rFonts w:ascii="Arial" w:hAnsi="Arial"/>
                <w:b/>
                <w:color w:val="17365D"/>
                <w:sz w:val="19"/>
              </w:rPr>
              <w:t>CTA EXAM STRATEGY</w:t>
            </w:r>
          </w:p>
          <w:p>
            <w:pPr>
              <w:spacing w:after="0"/>
            </w:pPr>
            <w:r>
              <w:rPr>
                <w:rFonts w:ascii="Arial" w:hAnsi="Arial"/>
                <w:color w:val="1F2937"/>
                <w:sz w:val="18"/>
              </w:rPr>
              <w:t>AI is an assistant, not an accountable clinician. Human review, correction, safety analysis, and system change are required.</w:t>
            </w:r>
          </w:p>
        </w:tc>
      </w:tr>
    </w:tbl>
    <w:p>
      <w:pPr>
        <w:spacing w:after="0"/>
      </w:pPr>
    </w:p>
    <w:p>
      <w:pPr>
        <w:spacing w:before="100" w:after="40"/>
      </w:pPr>
      <w:r>
        <w:rPr>
          <w:rFonts w:ascii="Arial" w:hAnsi="Arial"/>
          <w:b/>
          <w:color w:val="17365D"/>
          <w:sz w:val="18"/>
        </w:rPr>
        <w:t>8. Correct Answer: A</w:t>
      </w:r>
    </w:p>
    <w:p>
      <w:pPr>
        <w:spacing w:after="40"/>
      </w:pPr>
      <w:r>
        <w:rPr>
          <w:rFonts w:ascii="Arial" w:hAnsi="Arial"/>
          <w:b/>
          <w:sz w:val="17"/>
        </w:rPr>
        <w:t xml:space="preserve">Why A is correct: </w:t>
      </w:r>
      <w:r>
        <w:rPr>
          <w:rFonts w:ascii="Arial" w:hAnsi="Arial"/>
          <w:sz w:val="17"/>
        </w:rPr>
        <w:t>Changing a diagnosis for reimbursement when it is not clinically supported is false documentation and potentially fraudulent billing.</w:t>
      </w:r>
    </w:p>
    <w:p>
      <w:pPr>
        <w:spacing w:after="20"/>
      </w:pPr>
      <w:r>
        <w:rPr>
          <w:rFonts w:ascii="Arial" w:hAnsi="Arial"/>
          <w:b/>
          <w:sz w:val="17"/>
        </w:rPr>
        <w:t xml:space="preserve">Why B is not best: </w:t>
      </w:r>
      <w:r>
        <w:rPr>
          <w:rFonts w:ascii="Arial" w:hAnsi="Arial"/>
          <w:sz w:val="17"/>
        </w:rPr>
        <w:t>A private explanation does not cure a false claim.</w:t>
      </w:r>
    </w:p>
    <w:p>
      <w:pPr>
        <w:spacing w:after="20"/>
      </w:pPr>
      <w:r>
        <w:rPr>
          <w:rFonts w:ascii="Arial" w:hAnsi="Arial"/>
          <w:b/>
          <w:sz w:val="17"/>
        </w:rPr>
        <w:t xml:space="preserve">Why C is not best: </w:t>
      </w:r>
      <w:r>
        <w:rPr>
          <w:rFonts w:ascii="Arial" w:hAnsi="Arial"/>
          <w:sz w:val="17"/>
        </w:rPr>
        <w:t>Diagnosis is a professional clinical determination, not a consumer selection.</w:t>
      </w:r>
    </w:p>
    <w:p>
      <w:pPr>
        <w:spacing w:after="20"/>
      </w:pPr>
      <w:r>
        <w:rPr>
          <w:rFonts w:ascii="Arial" w:hAnsi="Arial"/>
          <w:b/>
          <w:sz w:val="17"/>
        </w:rPr>
        <w:t xml:space="preserve">Why D is not best: </w:t>
      </w:r>
      <w:r>
        <w:rPr>
          <w:rFonts w:ascii="Arial" w:hAnsi="Arial"/>
          <w:sz w:val="17"/>
        </w:rPr>
        <w:t>Temporary falsification remains falsification.</w:t>
      </w:r>
    </w:p>
    <w:tbl>
      <w:tblPr>
        <w:tblW w:type="auto" w:w="0"/>
        <w:jc w:val="center"/>
        <w:tblLook w:firstColumn="1" w:firstRow="1" w:lastColumn="0" w:lastRow="0" w:noHBand="0" w:noVBand="1" w:val="04A0"/>
      </w:tblPr>
      <w:tblGrid>
        <w:gridCol w:w="10282"/>
      </w:tblGrid>
      <w:tr>
        <w:tc>
          <w:tcPr>
            <w:tcW w:type="dxa" w:w="10282"/>
            <w:shd w:fill="EAF0F7"/>
            <w:tcBorders>
              <w:top w:val="single" w:sz="8" w:color="159C9C"/>
              <w:left w:val="single" w:sz="8" w:color="159C9C"/>
              <w:bottom w:val="single" w:sz="8" w:color="159C9C"/>
              <w:right w:val="single" w:sz="8" w:color="159C9C"/>
            </w:tcBorders>
            <w:tcMar>
              <w:top w:w="90" w:type="dxa"/>
              <w:start w:w="120" w:type="dxa"/>
              <w:bottom w:w="90" w:type="dxa"/>
              <w:end w:w="120" w:type="dxa"/>
            </w:tcMar>
          </w:tcPr>
          <w:p>
            <w:pPr>
              <w:spacing w:after="40"/>
            </w:pPr>
            <w:r>
              <w:rPr>
                <w:rFonts w:ascii="Arial" w:hAnsi="Arial"/>
                <w:b/>
                <w:color w:val="17365D"/>
                <w:sz w:val="19"/>
              </w:rPr>
              <w:t>CTA EXAM STRATEGY</w:t>
            </w:r>
          </w:p>
          <w:p>
            <w:pPr>
              <w:spacing w:after="0"/>
            </w:pPr>
            <w:r>
              <w:rPr>
                <w:rFonts w:ascii="Arial" w:hAnsi="Arial"/>
                <w:color w:val="1F2937"/>
                <w:sz w:val="18"/>
              </w:rPr>
              <w:t>When payer pressure conflicts with accuracy, protect the clinical record and claim integrity.</w:t>
            </w:r>
          </w:p>
        </w:tc>
      </w:tr>
    </w:tbl>
    <w:p>
      <w:pPr>
        <w:spacing w:after="0"/>
      </w:pPr>
    </w:p>
    <w:p>
      <w:pPr>
        <w:spacing w:before="100" w:after="40"/>
      </w:pPr>
      <w:r>
        <w:rPr>
          <w:rFonts w:ascii="Arial" w:hAnsi="Arial"/>
          <w:b/>
          <w:color w:val="17365D"/>
          <w:sz w:val="18"/>
        </w:rPr>
        <w:t>9. Correct Answer: C</w:t>
      </w:r>
    </w:p>
    <w:p>
      <w:pPr>
        <w:spacing w:after="40"/>
      </w:pPr>
      <w:r>
        <w:rPr>
          <w:rFonts w:ascii="Arial" w:hAnsi="Arial"/>
          <w:b/>
          <w:sz w:val="17"/>
        </w:rPr>
        <w:t xml:space="preserve">Why C is correct: </w:t>
      </w:r>
      <w:r>
        <w:rPr>
          <w:rFonts w:ascii="Arial" w:hAnsi="Arial"/>
          <w:sz w:val="17"/>
        </w:rPr>
        <w:t>This note records client report, intervention, observable response, a measure of change, and a specific follow-up plan without stigmatizing or unsupported language.</w:t>
      </w:r>
    </w:p>
    <w:p>
      <w:pPr>
        <w:spacing w:after="20"/>
      </w:pPr>
      <w:r>
        <w:rPr>
          <w:rFonts w:ascii="Arial" w:hAnsi="Arial"/>
          <w:b/>
          <w:sz w:val="17"/>
        </w:rPr>
        <w:t xml:space="preserve">Why A is not best: </w:t>
      </w:r>
      <w:r>
        <w:rPr>
          <w:rFonts w:ascii="Arial" w:hAnsi="Arial"/>
          <w:sz w:val="17"/>
        </w:rPr>
        <w:t>The language is pejorative and clinically vague.</w:t>
      </w:r>
    </w:p>
    <w:p>
      <w:pPr>
        <w:spacing w:after="20"/>
      </w:pPr>
      <w:r>
        <w:rPr>
          <w:rFonts w:ascii="Arial" w:hAnsi="Arial"/>
          <w:b/>
          <w:sz w:val="17"/>
        </w:rPr>
        <w:t xml:space="preserve">Why B is not best: </w:t>
      </w:r>
      <w:r>
        <w:rPr>
          <w:rFonts w:ascii="Arial" w:hAnsi="Arial"/>
          <w:sz w:val="17"/>
        </w:rPr>
        <w:t>The note lacks useful content and reasoning.</w:t>
      </w:r>
    </w:p>
    <w:p>
      <w:pPr>
        <w:spacing w:after="20"/>
      </w:pPr>
      <w:r>
        <w:rPr>
          <w:rFonts w:ascii="Arial" w:hAnsi="Arial"/>
          <w:b/>
          <w:sz w:val="17"/>
        </w:rPr>
        <w:t xml:space="preserve">Why D is not best: </w:t>
      </w:r>
      <w:r>
        <w:rPr>
          <w:rFonts w:ascii="Arial" w:hAnsi="Arial"/>
          <w:sz w:val="17"/>
        </w:rPr>
        <w:t>A risk conclusion without supporting assessment is insufficient.</w:t>
      </w:r>
    </w:p>
    <w:tbl>
      <w:tblPr>
        <w:tblW w:type="auto" w:w="0"/>
        <w:jc w:val="center"/>
        <w:tblLook w:firstColumn="1" w:firstRow="1" w:lastColumn="0" w:lastRow="0" w:noHBand="0" w:noVBand="1" w:val="04A0"/>
      </w:tblPr>
      <w:tblGrid>
        <w:gridCol w:w="10282"/>
      </w:tblGrid>
      <w:tr>
        <w:tc>
          <w:tcPr>
            <w:tcW w:type="dxa" w:w="10282"/>
            <w:shd w:fill="EAF0F7"/>
            <w:tcBorders>
              <w:top w:val="single" w:sz="8" w:color="159C9C"/>
              <w:left w:val="single" w:sz="8" w:color="159C9C"/>
              <w:bottom w:val="single" w:sz="8" w:color="159C9C"/>
              <w:right w:val="single" w:sz="8" w:color="159C9C"/>
            </w:tcBorders>
            <w:tcMar>
              <w:top w:w="90" w:type="dxa"/>
              <w:start w:w="120" w:type="dxa"/>
              <w:bottom w:w="90" w:type="dxa"/>
              <w:end w:w="120" w:type="dxa"/>
            </w:tcMar>
          </w:tcPr>
          <w:p>
            <w:pPr>
              <w:spacing w:after="40"/>
            </w:pPr>
            <w:r>
              <w:rPr>
                <w:rFonts w:ascii="Arial" w:hAnsi="Arial"/>
                <w:b/>
                <w:color w:val="17365D"/>
                <w:sz w:val="19"/>
              </w:rPr>
              <w:t>CTA EXAM STRATEGY</w:t>
            </w:r>
          </w:p>
          <w:p>
            <w:pPr>
              <w:spacing w:after="0"/>
            </w:pPr>
            <w:r>
              <w:rPr>
                <w:rFonts w:ascii="Arial" w:hAnsi="Arial"/>
                <w:color w:val="1F2937"/>
                <w:sz w:val="18"/>
              </w:rPr>
              <w:t>Choose documentation that lets another qualified professional understand what happened, why it mattered, and what comes next.</w:t>
            </w:r>
          </w:p>
        </w:tc>
      </w:tr>
    </w:tbl>
    <w:p>
      <w:pPr>
        <w:spacing w:after="0"/>
      </w:pPr>
    </w:p>
    <w:p>
      <w:pPr>
        <w:spacing w:before="100" w:after="40"/>
      </w:pPr>
      <w:r>
        <w:rPr>
          <w:rFonts w:ascii="Arial" w:hAnsi="Arial"/>
          <w:b/>
          <w:color w:val="17365D"/>
          <w:sz w:val="18"/>
        </w:rPr>
        <w:t>10. Correct Answer: B</w:t>
      </w:r>
    </w:p>
    <w:p>
      <w:pPr>
        <w:spacing w:after="40"/>
      </w:pPr>
      <w:r>
        <w:rPr>
          <w:rFonts w:ascii="Arial" w:hAnsi="Arial"/>
          <w:b/>
          <w:sz w:val="17"/>
        </w:rPr>
        <w:t xml:space="preserve">Why B is correct: </w:t>
      </w:r>
      <w:r>
        <w:rPr>
          <w:rFonts w:ascii="Arial" w:hAnsi="Arial"/>
          <w:sz w:val="17"/>
        </w:rPr>
        <w:t>A practice disruption requires activation of a continuity plan, reasonable communication, referrals, crisis information, record procedures, and documentation tailored to the counselor’s capacity and client needs.</w:t>
      </w:r>
    </w:p>
    <w:p>
      <w:pPr>
        <w:spacing w:after="20"/>
      </w:pPr>
      <w:r>
        <w:rPr>
          <w:rFonts w:ascii="Arial" w:hAnsi="Arial"/>
          <w:b/>
          <w:sz w:val="17"/>
        </w:rPr>
        <w:t xml:space="preserve">Why A is not best: </w:t>
      </w:r>
      <w:r>
        <w:rPr>
          <w:rFonts w:ascii="Arial" w:hAnsi="Arial"/>
          <w:sz w:val="17"/>
        </w:rPr>
        <w:t>Abrupt cessation may create abandonment and safety risks.</w:t>
      </w:r>
    </w:p>
    <w:p>
      <w:pPr>
        <w:spacing w:after="20"/>
      </w:pPr>
      <w:r>
        <w:rPr>
          <w:rFonts w:ascii="Arial" w:hAnsi="Arial"/>
          <w:b/>
          <w:sz w:val="17"/>
        </w:rPr>
        <w:t xml:space="preserve">Why C is not best: </w:t>
      </w:r>
      <w:r>
        <w:rPr>
          <w:rFonts w:ascii="Arial" w:hAnsi="Arial"/>
          <w:sz w:val="17"/>
        </w:rPr>
        <w:t>Transfers require appropriate fit, communication, and authorization rather than blanket assignment.</w:t>
      </w:r>
    </w:p>
    <w:p>
      <w:pPr>
        <w:spacing w:after="20"/>
      </w:pPr>
      <w:r>
        <w:rPr>
          <w:rFonts w:ascii="Arial" w:hAnsi="Arial"/>
          <w:b/>
          <w:sz w:val="17"/>
        </w:rPr>
        <w:t xml:space="preserve">Why D is not best: </w:t>
      </w:r>
      <w:r>
        <w:rPr>
          <w:rFonts w:ascii="Arial" w:hAnsi="Arial"/>
          <w:sz w:val="17"/>
        </w:rPr>
        <w:t>A voicemail alone does not address active clinical, record, and crisis needs.</w:t>
      </w:r>
    </w:p>
    <w:tbl>
      <w:tblPr>
        <w:tblW w:type="auto" w:w="0"/>
        <w:jc w:val="center"/>
        <w:tblLook w:firstColumn="1" w:firstRow="1" w:lastColumn="0" w:lastRow="0" w:noHBand="0" w:noVBand="1" w:val="04A0"/>
      </w:tblPr>
      <w:tblGrid>
        <w:gridCol w:w="10282"/>
      </w:tblGrid>
      <w:tr>
        <w:tc>
          <w:tcPr>
            <w:tcW w:type="dxa" w:w="10282"/>
            <w:shd w:fill="EAF0F7"/>
            <w:tcBorders>
              <w:top w:val="single" w:sz="8" w:color="159C9C"/>
              <w:left w:val="single" w:sz="8" w:color="159C9C"/>
              <w:bottom w:val="single" w:sz="8" w:color="159C9C"/>
              <w:right w:val="single" w:sz="8" w:color="159C9C"/>
            </w:tcBorders>
            <w:tcMar>
              <w:top w:w="90" w:type="dxa"/>
              <w:start w:w="120" w:type="dxa"/>
              <w:bottom w:w="90" w:type="dxa"/>
              <w:end w:w="120" w:type="dxa"/>
            </w:tcMar>
          </w:tcPr>
          <w:p>
            <w:pPr>
              <w:spacing w:after="40"/>
            </w:pPr>
            <w:r>
              <w:rPr>
                <w:rFonts w:ascii="Arial" w:hAnsi="Arial"/>
                <w:b/>
                <w:color w:val="17365D"/>
                <w:sz w:val="19"/>
              </w:rPr>
              <w:t>CTA EXAM STRATEGY</w:t>
            </w:r>
          </w:p>
          <w:p>
            <w:pPr>
              <w:spacing w:after="0"/>
            </w:pPr>
            <w:r>
              <w:rPr>
                <w:rFonts w:ascii="Arial" w:hAnsi="Arial"/>
                <w:color w:val="1F2937"/>
                <w:sz w:val="18"/>
              </w:rPr>
              <w:t>Professional closure is a continuity problem. The best answer combines communication, referrals, records, crisis planning, and documentation.</w:t>
            </w:r>
          </w:p>
        </w:tc>
      </w:tr>
    </w:tbl>
    <w:p>
      <w:pPr>
        <w:spacing w:after="0"/>
      </w:pPr>
    </w:p>
    <w:p>
      <w:r>
        <w:br w:type="page"/>
      </w:r>
    </w:p>
    <w:p>
      <w:pPr>
        <w:pStyle w:val="Heading1"/>
        <w:keepNext/>
      </w:pPr>
      <w:r>
        <w:t>Remediation and Final Workbook Readiness Plan</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17365D"/>
            <w:vAlign w:val="center"/>
            <w:tcMar>
              <w:top w:w="70" w:type="dxa"/>
              <w:start w:w="75" w:type="dxa"/>
              <w:bottom w:w="70" w:type="dxa"/>
              <w:end w:w="75" w:type="dxa"/>
            </w:tcMar>
          </w:tcPr>
          <w:p>
            <w:pPr>
              <w:jc w:val="center"/>
            </w:pPr>
            <w:r>
              <w:rPr>
                <w:rFonts w:ascii="Arial" w:hAnsi="Arial"/>
                <w:b/>
                <w:color w:val="FFFFFF"/>
                <w:sz w:val="15"/>
              </w:rPr>
              <w:t>Error Code</w:t>
            </w:r>
          </w:p>
        </w:tc>
        <w:tc>
          <w:tcPr>
            <w:tcW w:type="dxa" w:w="3427"/>
            <w:shd w:fill="17365D"/>
            <w:vAlign w:val="center"/>
            <w:tcMar>
              <w:top w:w="70" w:type="dxa"/>
              <w:start w:w="75" w:type="dxa"/>
              <w:bottom w:w="70" w:type="dxa"/>
              <w:end w:w="75" w:type="dxa"/>
            </w:tcMar>
          </w:tcPr>
          <w:p>
            <w:pPr>
              <w:jc w:val="center"/>
            </w:pPr>
            <w:r>
              <w:rPr>
                <w:rFonts w:ascii="Arial" w:hAnsi="Arial"/>
                <w:b/>
                <w:color w:val="FFFFFF"/>
                <w:sz w:val="15"/>
              </w:rPr>
              <w:t>Meaning</w:t>
            </w:r>
          </w:p>
        </w:tc>
        <w:tc>
          <w:tcPr>
            <w:tcW w:type="dxa" w:w="3427"/>
            <w:shd w:fill="17365D"/>
            <w:vAlign w:val="center"/>
            <w:tcMar>
              <w:top w:w="70" w:type="dxa"/>
              <w:start w:w="75" w:type="dxa"/>
              <w:bottom w:w="70" w:type="dxa"/>
              <w:end w:w="75" w:type="dxa"/>
            </w:tcMar>
          </w:tcPr>
          <w:p>
            <w:pPr>
              <w:jc w:val="center"/>
            </w:pPr>
            <w:r>
              <w:rPr>
                <w:rFonts w:ascii="Arial" w:hAnsi="Arial"/>
                <w:b/>
                <w:color w:val="FFFFFF"/>
                <w:sz w:val="15"/>
              </w:rPr>
              <w:t>Correction Rule</w:t>
            </w:r>
          </w:p>
        </w:tc>
      </w:tr>
      <w:tr>
        <w:tc>
          <w:tcPr>
            <w:tcW w:type="dxa" w:w="3427"/>
            <w:tcMar>
              <w:top w:w="55" w:type="dxa"/>
              <w:start w:w="70" w:type="dxa"/>
              <w:bottom w:w="55" w:type="dxa"/>
              <w:end w:w="70" w:type="dxa"/>
            </w:tcMar>
          </w:tcPr>
          <w:p>
            <w:r>
              <w:rPr>
                <w:rFonts w:ascii="Arial" w:hAnsi="Arial"/>
                <w:color w:val="1F2937"/>
                <w:sz w:val="15"/>
              </w:rPr>
              <w:t>AUTH</w:t>
            </w:r>
          </w:p>
        </w:tc>
        <w:tc>
          <w:tcPr>
            <w:tcW w:type="dxa" w:w="3427"/>
            <w:tcMar>
              <w:top w:w="55" w:type="dxa"/>
              <w:start w:w="70" w:type="dxa"/>
              <w:bottom w:w="55" w:type="dxa"/>
              <w:end w:w="70" w:type="dxa"/>
            </w:tcMar>
          </w:tcPr>
          <w:p>
            <w:r>
              <w:rPr>
                <w:rFonts w:ascii="Arial" w:hAnsi="Arial"/>
                <w:color w:val="1F2937"/>
                <w:sz w:val="15"/>
              </w:rPr>
              <w:t>Wrong or lower-level authority controlled the answer</w:t>
            </w:r>
          </w:p>
        </w:tc>
        <w:tc>
          <w:tcPr>
            <w:tcW w:type="dxa" w:w="3427"/>
            <w:tcMar>
              <w:top w:w="55" w:type="dxa"/>
              <w:start w:w="70" w:type="dxa"/>
              <w:bottom w:w="55" w:type="dxa"/>
              <w:end w:w="70" w:type="dxa"/>
            </w:tcMar>
          </w:tcPr>
          <w:p>
            <w:r>
              <w:rPr>
                <w:rFonts w:ascii="Arial" w:hAnsi="Arial"/>
                <w:color w:val="1F2937"/>
                <w:sz w:val="15"/>
              </w:rPr>
              <w:t>Use LAYER: identify the exact issue and highest applicable authority.</w:t>
            </w:r>
          </w:p>
        </w:tc>
      </w:tr>
      <w:tr>
        <w:tc>
          <w:tcPr>
            <w:tcW w:type="dxa" w:w="3427"/>
            <w:tcMar>
              <w:top w:w="55" w:type="dxa"/>
              <w:start w:w="70" w:type="dxa"/>
              <w:bottom w:w="55" w:type="dxa"/>
              <w:end w:w="70" w:type="dxa"/>
            </w:tcMar>
            <w:shd w:fill="F8FAFC"/>
          </w:tcPr>
          <w:p>
            <w:r>
              <w:rPr>
                <w:rFonts w:ascii="Arial" w:hAnsi="Arial"/>
                <w:color w:val="1F2937"/>
                <w:sz w:val="15"/>
              </w:rPr>
              <w:t>RIGHT</w:t>
            </w:r>
          </w:p>
        </w:tc>
        <w:tc>
          <w:tcPr>
            <w:tcW w:type="dxa" w:w="3427"/>
            <w:tcMar>
              <w:top w:w="55" w:type="dxa"/>
              <w:start w:w="70" w:type="dxa"/>
              <w:bottom w:w="55" w:type="dxa"/>
              <w:end w:w="70" w:type="dxa"/>
            </w:tcMar>
            <w:shd w:fill="F8FAFC"/>
          </w:tcPr>
          <w:p>
            <w:r>
              <w:rPr>
                <w:rFonts w:ascii="Arial" w:hAnsi="Arial"/>
                <w:color w:val="1F2937"/>
                <w:sz w:val="15"/>
              </w:rPr>
              <w:t>Confidentiality, privilege, consent, or access rights were confused</w:t>
            </w:r>
          </w:p>
        </w:tc>
        <w:tc>
          <w:tcPr>
            <w:tcW w:type="dxa" w:w="3427"/>
            <w:tcMar>
              <w:top w:w="55" w:type="dxa"/>
              <w:start w:w="70" w:type="dxa"/>
              <w:bottom w:w="55" w:type="dxa"/>
              <w:end w:w="70" w:type="dxa"/>
            </w:tcMar>
            <w:shd w:fill="F8FAFC"/>
          </w:tcPr>
          <w:p>
            <w:r>
              <w:rPr>
                <w:rFonts w:ascii="Arial" w:hAnsi="Arial"/>
                <w:color w:val="1F2937"/>
                <w:sz w:val="15"/>
              </w:rPr>
              <w:t>Use PRIVACY and identify the holder, information type, purpose, and authority.</w:t>
            </w:r>
          </w:p>
        </w:tc>
      </w:tr>
      <w:tr>
        <w:tc>
          <w:tcPr>
            <w:tcW w:type="dxa" w:w="3427"/>
            <w:tcMar>
              <w:top w:w="55" w:type="dxa"/>
              <w:start w:w="70" w:type="dxa"/>
              <w:bottom w:w="55" w:type="dxa"/>
              <w:end w:w="70" w:type="dxa"/>
            </w:tcMar>
          </w:tcPr>
          <w:p>
            <w:r>
              <w:rPr>
                <w:rFonts w:ascii="Arial" w:hAnsi="Arial"/>
                <w:color w:val="1F2937"/>
                <w:sz w:val="15"/>
              </w:rPr>
              <w:t>DUTY</w:t>
            </w:r>
          </w:p>
        </w:tc>
        <w:tc>
          <w:tcPr>
            <w:tcW w:type="dxa" w:w="3427"/>
            <w:tcMar>
              <w:top w:w="55" w:type="dxa"/>
              <w:start w:w="70" w:type="dxa"/>
              <w:bottom w:w="55" w:type="dxa"/>
              <w:end w:w="70" w:type="dxa"/>
            </w:tcMar>
          </w:tcPr>
          <w:p>
            <w:r>
              <w:rPr>
                <w:rFonts w:ascii="Arial" w:hAnsi="Arial"/>
                <w:color w:val="1F2937"/>
                <w:sz w:val="15"/>
              </w:rPr>
              <w:t>A mandatory trigger, recipient, or deadline was missed</w:t>
            </w:r>
          </w:p>
        </w:tc>
        <w:tc>
          <w:tcPr>
            <w:tcW w:type="dxa" w:w="3427"/>
            <w:tcMar>
              <w:top w:w="55" w:type="dxa"/>
              <w:start w:w="70" w:type="dxa"/>
              <w:bottom w:w="55" w:type="dxa"/>
              <w:end w:w="70" w:type="dxa"/>
            </w:tcMar>
          </w:tcPr>
          <w:p>
            <w:r>
              <w:rPr>
                <w:rFonts w:ascii="Arial" w:hAnsi="Arial"/>
                <w:color w:val="1F2937"/>
                <w:sz w:val="15"/>
              </w:rPr>
              <w:t>Use TRIGGER; act on the legal threshold without delaying for certainty.</w:t>
            </w:r>
          </w:p>
        </w:tc>
      </w:tr>
      <w:tr>
        <w:tc>
          <w:tcPr>
            <w:tcW w:type="dxa" w:w="3427"/>
            <w:tcMar>
              <w:top w:w="55" w:type="dxa"/>
              <w:start w:w="70" w:type="dxa"/>
              <w:bottom w:w="55" w:type="dxa"/>
              <w:end w:w="70" w:type="dxa"/>
            </w:tcMar>
            <w:shd w:fill="F8FAFC"/>
          </w:tcPr>
          <w:p>
            <w:r>
              <w:rPr>
                <w:rFonts w:ascii="Arial" w:hAnsi="Arial"/>
                <w:color w:val="1F2937"/>
                <w:sz w:val="15"/>
              </w:rPr>
              <w:t>OVER</w:t>
            </w:r>
          </w:p>
        </w:tc>
        <w:tc>
          <w:tcPr>
            <w:tcW w:type="dxa" w:w="3427"/>
            <w:tcMar>
              <w:top w:w="55" w:type="dxa"/>
              <w:start w:w="70" w:type="dxa"/>
              <w:bottom w:w="55" w:type="dxa"/>
              <w:end w:w="70" w:type="dxa"/>
            </w:tcMar>
            <w:shd w:fill="F8FAFC"/>
          </w:tcPr>
          <w:p>
            <w:r>
              <w:rPr>
                <w:rFonts w:ascii="Arial" w:hAnsi="Arial"/>
                <w:color w:val="1F2937"/>
                <w:sz w:val="15"/>
              </w:rPr>
              <w:t>Too much information was disclosed</w:t>
            </w:r>
          </w:p>
        </w:tc>
        <w:tc>
          <w:tcPr>
            <w:tcW w:type="dxa" w:w="3427"/>
            <w:tcMar>
              <w:top w:w="55" w:type="dxa"/>
              <w:start w:w="70" w:type="dxa"/>
              <w:bottom w:w="55" w:type="dxa"/>
              <w:end w:w="70" w:type="dxa"/>
            </w:tcMar>
            <w:shd w:fill="F8FAFC"/>
          </w:tcPr>
          <w:p>
            <w:r>
              <w:rPr>
                <w:rFonts w:ascii="Arial" w:hAnsi="Arial"/>
                <w:color w:val="1F2937"/>
                <w:sz w:val="15"/>
              </w:rPr>
              <w:t>Use the narrowest lawful response and minimum necessary information.</w:t>
            </w:r>
          </w:p>
        </w:tc>
      </w:tr>
      <w:tr>
        <w:tc>
          <w:tcPr>
            <w:tcW w:type="dxa" w:w="3427"/>
            <w:tcMar>
              <w:top w:w="55" w:type="dxa"/>
              <w:start w:w="70" w:type="dxa"/>
              <w:bottom w:w="55" w:type="dxa"/>
              <w:end w:w="70" w:type="dxa"/>
            </w:tcMar>
          </w:tcPr>
          <w:p>
            <w:r>
              <w:rPr>
                <w:rFonts w:ascii="Arial" w:hAnsi="Arial"/>
                <w:color w:val="1F2937"/>
                <w:sz w:val="15"/>
              </w:rPr>
              <w:t>TECH</w:t>
            </w:r>
          </w:p>
        </w:tc>
        <w:tc>
          <w:tcPr>
            <w:tcW w:type="dxa" w:w="3427"/>
            <w:tcMar>
              <w:top w:w="55" w:type="dxa"/>
              <w:start w:w="70" w:type="dxa"/>
              <w:bottom w:w="55" w:type="dxa"/>
              <w:end w:w="70" w:type="dxa"/>
            </w:tcMar>
          </w:tcPr>
          <w:p>
            <w:r>
              <w:rPr>
                <w:rFonts w:ascii="Arial" w:hAnsi="Arial"/>
                <w:color w:val="1F2937"/>
                <w:sz w:val="15"/>
              </w:rPr>
              <w:t>Jurisdiction, consent, security, or human oversight was missed</w:t>
            </w:r>
          </w:p>
        </w:tc>
        <w:tc>
          <w:tcPr>
            <w:tcW w:type="dxa" w:w="3427"/>
            <w:tcMar>
              <w:top w:w="55" w:type="dxa"/>
              <w:start w:w="70" w:type="dxa"/>
              <w:bottom w:w="55" w:type="dxa"/>
              <w:end w:w="70" w:type="dxa"/>
            </w:tcMar>
          </w:tcPr>
          <w:p>
            <w:r>
              <w:rPr>
                <w:rFonts w:ascii="Arial" w:hAnsi="Arial"/>
                <w:color w:val="1F2937"/>
                <w:sz w:val="15"/>
              </w:rPr>
              <w:t>Use TECH before continuing the platform, channel, or AI workflow.</w:t>
            </w:r>
          </w:p>
        </w:tc>
      </w:tr>
      <w:tr>
        <w:tc>
          <w:tcPr>
            <w:tcW w:type="dxa" w:w="3427"/>
            <w:tcMar>
              <w:top w:w="55" w:type="dxa"/>
              <w:start w:w="70" w:type="dxa"/>
              <w:bottom w:w="55" w:type="dxa"/>
              <w:end w:w="70" w:type="dxa"/>
            </w:tcMar>
            <w:shd w:fill="F8FAFC"/>
          </w:tcPr>
          <w:p>
            <w:r>
              <w:rPr>
                <w:rFonts w:ascii="Arial" w:hAnsi="Arial"/>
                <w:color w:val="1F2937"/>
                <w:sz w:val="15"/>
              </w:rPr>
              <w:t>DOC</w:t>
            </w:r>
          </w:p>
        </w:tc>
        <w:tc>
          <w:tcPr>
            <w:tcW w:type="dxa" w:w="3427"/>
            <w:tcMar>
              <w:top w:w="55" w:type="dxa"/>
              <w:start w:w="70" w:type="dxa"/>
              <w:bottom w:w="55" w:type="dxa"/>
              <w:end w:w="70" w:type="dxa"/>
            </w:tcMar>
            <w:shd w:fill="F8FAFC"/>
          </w:tcPr>
          <w:p>
            <w:r>
              <w:rPr>
                <w:rFonts w:ascii="Arial" w:hAnsi="Arial"/>
                <w:color w:val="1F2937"/>
                <w:sz w:val="15"/>
              </w:rPr>
              <w:t>Documentation was vague, altered, defensive, or unsupported</w:t>
            </w:r>
          </w:p>
        </w:tc>
        <w:tc>
          <w:tcPr>
            <w:tcW w:type="dxa" w:w="3427"/>
            <w:tcMar>
              <w:top w:w="55" w:type="dxa"/>
              <w:start w:w="70" w:type="dxa"/>
              <w:bottom w:w="55" w:type="dxa"/>
              <w:end w:w="70" w:type="dxa"/>
            </w:tcMar>
            <w:shd w:fill="F8FAFC"/>
          </w:tcPr>
          <w:p>
            <w:r>
              <w:rPr>
                <w:rFonts w:ascii="Arial" w:hAnsi="Arial"/>
                <w:color w:val="1F2937"/>
                <w:sz w:val="15"/>
              </w:rPr>
              <w:t>Record facts, reasoning, action, response, and follow-up; correct transparently.</w:t>
            </w:r>
          </w:p>
        </w:tc>
      </w:tr>
      <w:tr>
        <w:tc>
          <w:tcPr>
            <w:tcW w:type="dxa" w:w="3427"/>
            <w:tcMar>
              <w:top w:w="55" w:type="dxa"/>
              <w:start w:w="70" w:type="dxa"/>
              <w:bottom w:w="55" w:type="dxa"/>
              <w:end w:w="70" w:type="dxa"/>
            </w:tcMar>
          </w:tcPr>
          <w:p>
            <w:r>
              <w:rPr>
                <w:rFonts w:ascii="Arial" w:hAnsi="Arial"/>
                <w:color w:val="1F2937"/>
                <w:sz w:val="15"/>
              </w:rPr>
              <w:t>BILL</w:t>
            </w:r>
          </w:p>
        </w:tc>
        <w:tc>
          <w:tcPr>
            <w:tcW w:type="dxa" w:w="3427"/>
            <w:tcMar>
              <w:top w:w="55" w:type="dxa"/>
              <w:start w:w="70" w:type="dxa"/>
              <w:bottom w:w="55" w:type="dxa"/>
              <w:end w:w="70" w:type="dxa"/>
            </w:tcMar>
          </w:tcPr>
          <w:p>
            <w:r>
              <w:rPr>
                <w:rFonts w:ascii="Arial" w:hAnsi="Arial"/>
                <w:color w:val="1F2937"/>
                <w:sz w:val="15"/>
              </w:rPr>
              <w:t>Fee, diagnosis, coding, or claim integrity was compromised</w:t>
            </w:r>
          </w:p>
        </w:tc>
        <w:tc>
          <w:tcPr>
            <w:tcW w:type="dxa" w:w="3427"/>
            <w:tcMar>
              <w:top w:w="55" w:type="dxa"/>
              <w:start w:w="70" w:type="dxa"/>
              <w:bottom w:w="55" w:type="dxa"/>
              <w:end w:w="70" w:type="dxa"/>
            </w:tcMar>
          </w:tcPr>
          <w:p>
            <w:r>
              <w:rPr>
                <w:rFonts w:ascii="Arial" w:hAnsi="Arial"/>
                <w:color w:val="1F2937"/>
                <w:sz w:val="15"/>
              </w:rPr>
              <w:t>Bill only accurate, supported, documented services.</w:t>
            </w:r>
          </w:p>
        </w:tc>
      </w:tr>
      <w:tr>
        <w:tc>
          <w:tcPr>
            <w:tcW w:type="dxa" w:w="3427"/>
            <w:tcMar>
              <w:top w:w="55" w:type="dxa"/>
              <w:start w:w="70" w:type="dxa"/>
              <w:bottom w:w="55" w:type="dxa"/>
              <w:end w:w="70" w:type="dxa"/>
            </w:tcMar>
            <w:shd w:fill="F8FAFC"/>
          </w:tcPr>
          <w:p>
            <w:r>
              <w:rPr>
                <w:rFonts w:ascii="Arial" w:hAnsi="Arial"/>
                <w:color w:val="1F2937"/>
                <w:sz w:val="15"/>
              </w:rPr>
              <w:t>CONT</w:t>
            </w:r>
          </w:p>
        </w:tc>
        <w:tc>
          <w:tcPr>
            <w:tcW w:type="dxa" w:w="3427"/>
            <w:tcMar>
              <w:top w:w="55" w:type="dxa"/>
              <w:start w:w="70" w:type="dxa"/>
              <w:bottom w:w="55" w:type="dxa"/>
              <w:end w:w="70" w:type="dxa"/>
            </w:tcMar>
            <w:shd w:fill="F8FAFC"/>
          </w:tcPr>
          <w:p>
            <w:r>
              <w:rPr>
                <w:rFonts w:ascii="Arial" w:hAnsi="Arial"/>
                <w:color w:val="1F2937"/>
                <w:sz w:val="15"/>
              </w:rPr>
              <w:t>Emergency, transfer, termination, or practice-disruption continuity was missed</w:t>
            </w:r>
          </w:p>
        </w:tc>
        <w:tc>
          <w:tcPr>
            <w:tcW w:type="dxa" w:w="3427"/>
            <w:tcMar>
              <w:top w:w="55" w:type="dxa"/>
              <w:start w:w="70" w:type="dxa"/>
              <w:bottom w:w="55" w:type="dxa"/>
              <w:end w:w="70" w:type="dxa"/>
            </w:tcMar>
            <w:shd w:fill="F8FAFC"/>
          </w:tcPr>
          <w:p>
            <w:r>
              <w:rPr>
                <w:rFonts w:ascii="Arial" w:hAnsi="Arial"/>
                <w:color w:val="1F2937"/>
                <w:sz w:val="15"/>
              </w:rPr>
              <w:t>Activate the plan and assign clear follow-up.</w:t>
            </w:r>
          </w:p>
        </w:tc>
      </w:tr>
    </w:tbl>
    <w:p>
      <w:pPr>
        <w:spacing w:after="0"/>
      </w:pPr>
    </w:p>
    <w:p>
      <w:pPr>
        <w:pStyle w:val="Heading2"/>
        <w:keepNext/>
      </w:pPr>
      <w:r>
        <w:t>My Workbook 12 Action Plan</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17365D"/>
            <w:vAlign w:val="center"/>
            <w:tcMar>
              <w:top w:w="70" w:type="dxa"/>
              <w:start w:w="75" w:type="dxa"/>
              <w:bottom w:w="70" w:type="dxa"/>
              <w:end w:w="75" w:type="dxa"/>
            </w:tcMar>
          </w:tcPr>
          <w:p>
            <w:pPr>
              <w:jc w:val="center"/>
            </w:pPr>
            <w:r>
              <w:rPr>
                <w:rFonts w:ascii="Arial" w:hAnsi="Arial"/>
                <w:b/>
                <w:color w:val="FFFFFF"/>
                <w:sz w:val="16"/>
              </w:rPr>
              <w:t>Priority Skill</w:t>
            </w:r>
          </w:p>
        </w:tc>
        <w:tc>
          <w:tcPr>
            <w:tcW w:type="dxa" w:w="2570"/>
            <w:shd w:fill="17365D"/>
            <w:vAlign w:val="center"/>
            <w:tcMar>
              <w:top w:w="70" w:type="dxa"/>
              <w:start w:w="75" w:type="dxa"/>
              <w:bottom w:w="70" w:type="dxa"/>
              <w:end w:w="75" w:type="dxa"/>
            </w:tcMar>
          </w:tcPr>
          <w:p>
            <w:pPr>
              <w:jc w:val="center"/>
            </w:pPr>
            <w:r>
              <w:rPr>
                <w:rFonts w:ascii="Arial" w:hAnsi="Arial"/>
                <w:b/>
                <w:color w:val="FFFFFF"/>
                <w:sz w:val="16"/>
              </w:rPr>
              <w:t>Evidence from My Work</w:t>
            </w:r>
          </w:p>
        </w:tc>
        <w:tc>
          <w:tcPr>
            <w:tcW w:type="dxa" w:w="2570"/>
            <w:shd w:fill="17365D"/>
            <w:vAlign w:val="center"/>
            <w:tcMar>
              <w:top w:w="70" w:type="dxa"/>
              <w:start w:w="75" w:type="dxa"/>
              <w:bottom w:w="70" w:type="dxa"/>
              <w:end w:w="75" w:type="dxa"/>
            </w:tcMar>
          </w:tcPr>
          <w:p>
            <w:pPr>
              <w:jc w:val="center"/>
            </w:pPr>
            <w:r>
              <w:rPr>
                <w:rFonts w:ascii="Arial" w:hAnsi="Arial"/>
                <w:b/>
                <w:color w:val="FFFFFF"/>
                <w:sz w:val="16"/>
              </w:rPr>
              <w:t>Next Practice Action</w:t>
            </w:r>
          </w:p>
        </w:tc>
        <w:tc>
          <w:tcPr>
            <w:tcW w:type="dxa" w:w="2570"/>
            <w:shd w:fill="17365D"/>
            <w:vAlign w:val="center"/>
            <w:tcMar>
              <w:top w:w="70" w:type="dxa"/>
              <w:start w:w="75" w:type="dxa"/>
              <w:bottom w:w="70" w:type="dxa"/>
              <w:end w:w="75" w:type="dxa"/>
            </w:tcMar>
          </w:tcPr>
          <w:p>
            <w:pPr>
              <w:jc w:val="center"/>
            </w:pPr>
            <w:r>
              <w:rPr>
                <w:rFonts w:ascii="Arial" w:hAnsi="Arial"/>
                <w:b/>
                <w:color w:val="FFFFFF"/>
                <w:sz w:val="16"/>
              </w:rPr>
              <w:t>Date / Result</w:t>
            </w:r>
          </w:p>
        </w:tc>
      </w:tr>
      <w:tr>
        <w:tc>
          <w:tcPr>
            <w:tcW w:type="dxa" w:w="2570"/>
            <w:tcMar>
              <w:top w:w="55" w:type="dxa"/>
              <w:start w:w="70" w:type="dxa"/>
              <w:bottom w:w="55" w:type="dxa"/>
              <w:end w:w="70" w:type="dxa"/>
            </w:tcMar>
          </w:tcPr>
          <w:p>
            <w:r>
              <w:rPr>
                <w:rFonts w:ascii="Arial" w:hAnsi="Arial"/>
                <w:color w:val="1F2937"/>
                <w:sz w:val="16"/>
              </w:rPr>
              <w:t>________________</w:t>
            </w:r>
          </w:p>
        </w:tc>
        <w:tc>
          <w:tcPr>
            <w:tcW w:type="dxa" w:w="2570"/>
            <w:tcMar>
              <w:top w:w="55" w:type="dxa"/>
              <w:start w:w="70" w:type="dxa"/>
              <w:bottom w:w="55" w:type="dxa"/>
              <w:end w:w="70" w:type="dxa"/>
            </w:tcMar>
          </w:tcPr>
          <w:p>
            <w:r>
              <w:rPr>
                <w:rFonts w:ascii="Arial" w:hAnsi="Arial"/>
                <w:color w:val="1F2937"/>
                <w:sz w:val="16"/>
              </w:rPr>
              <w:t>________________</w:t>
            </w:r>
          </w:p>
        </w:tc>
        <w:tc>
          <w:tcPr>
            <w:tcW w:type="dxa" w:w="2570"/>
            <w:tcMar>
              <w:top w:w="55" w:type="dxa"/>
              <w:start w:w="70" w:type="dxa"/>
              <w:bottom w:w="55" w:type="dxa"/>
              <w:end w:w="70" w:type="dxa"/>
            </w:tcMar>
          </w:tcPr>
          <w:p>
            <w:r>
              <w:rPr>
                <w:rFonts w:ascii="Arial" w:hAnsi="Arial"/>
                <w:color w:val="1F2937"/>
                <w:sz w:val="16"/>
              </w:rPr>
              <w:t>________________</w:t>
            </w:r>
          </w:p>
        </w:tc>
        <w:tc>
          <w:tcPr>
            <w:tcW w:type="dxa" w:w="2570"/>
            <w:tcMar>
              <w:top w:w="55" w:type="dxa"/>
              <w:start w:w="70" w:type="dxa"/>
              <w:bottom w:w="55" w:type="dxa"/>
              <w:end w:w="70" w:type="dxa"/>
            </w:tcMar>
          </w:tcPr>
          <w:p>
            <w:r>
              <w:rPr>
                <w:rFonts w:ascii="Arial" w:hAnsi="Arial"/>
                <w:color w:val="1F2937"/>
                <w:sz w:val="16"/>
              </w:rPr>
              <w:t>________________</w:t>
            </w:r>
          </w:p>
        </w:tc>
      </w:tr>
      <w:tr>
        <w:tc>
          <w:tcPr>
            <w:tcW w:type="dxa" w:w="2570"/>
            <w:tcMar>
              <w:top w:w="55" w:type="dxa"/>
              <w:start w:w="70" w:type="dxa"/>
              <w:bottom w:w="55" w:type="dxa"/>
              <w:end w:w="70" w:type="dxa"/>
            </w:tcMar>
            <w:shd w:fill="F8FAFC"/>
          </w:tcPr>
          <w:p>
            <w:r>
              <w:rPr>
                <w:rFonts w:ascii="Arial" w:hAnsi="Arial"/>
                <w:color w:val="1F2937"/>
                <w:sz w:val="16"/>
              </w:rPr>
              <w:t>________________</w:t>
            </w:r>
          </w:p>
        </w:tc>
        <w:tc>
          <w:tcPr>
            <w:tcW w:type="dxa" w:w="2570"/>
            <w:tcMar>
              <w:top w:w="55" w:type="dxa"/>
              <w:start w:w="70" w:type="dxa"/>
              <w:bottom w:w="55" w:type="dxa"/>
              <w:end w:w="70" w:type="dxa"/>
            </w:tcMar>
            <w:shd w:fill="F8FAFC"/>
          </w:tcPr>
          <w:p>
            <w:r>
              <w:rPr>
                <w:rFonts w:ascii="Arial" w:hAnsi="Arial"/>
                <w:color w:val="1F2937"/>
                <w:sz w:val="16"/>
              </w:rPr>
              <w:t>________________</w:t>
            </w:r>
          </w:p>
        </w:tc>
        <w:tc>
          <w:tcPr>
            <w:tcW w:type="dxa" w:w="2570"/>
            <w:tcMar>
              <w:top w:w="55" w:type="dxa"/>
              <w:start w:w="70" w:type="dxa"/>
              <w:bottom w:w="55" w:type="dxa"/>
              <w:end w:w="70" w:type="dxa"/>
            </w:tcMar>
            <w:shd w:fill="F8FAFC"/>
          </w:tcPr>
          <w:p>
            <w:r>
              <w:rPr>
                <w:rFonts w:ascii="Arial" w:hAnsi="Arial"/>
                <w:color w:val="1F2937"/>
                <w:sz w:val="16"/>
              </w:rPr>
              <w:t>________________</w:t>
            </w:r>
          </w:p>
        </w:tc>
        <w:tc>
          <w:tcPr>
            <w:tcW w:type="dxa" w:w="2570"/>
            <w:tcMar>
              <w:top w:w="55" w:type="dxa"/>
              <w:start w:w="70" w:type="dxa"/>
              <w:bottom w:w="55" w:type="dxa"/>
              <w:end w:w="70" w:type="dxa"/>
            </w:tcMar>
            <w:shd w:fill="F8FAFC"/>
          </w:tcPr>
          <w:p>
            <w:r>
              <w:rPr>
                <w:rFonts w:ascii="Arial" w:hAnsi="Arial"/>
                <w:color w:val="1F2937"/>
                <w:sz w:val="16"/>
              </w:rPr>
              <w:t>________________</w:t>
            </w:r>
          </w:p>
        </w:tc>
      </w:tr>
      <w:tr>
        <w:tc>
          <w:tcPr>
            <w:tcW w:type="dxa" w:w="2570"/>
            <w:tcMar>
              <w:top w:w="55" w:type="dxa"/>
              <w:start w:w="70" w:type="dxa"/>
              <w:bottom w:w="55" w:type="dxa"/>
              <w:end w:w="70" w:type="dxa"/>
            </w:tcMar>
          </w:tcPr>
          <w:p>
            <w:r>
              <w:rPr>
                <w:rFonts w:ascii="Arial" w:hAnsi="Arial"/>
                <w:color w:val="1F2937"/>
                <w:sz w:val="16"/>
              </w:rPr>
              <w:t>________________</w:t>
            </w:r>
          </w:p>
        </w:tc>
        <w:tc>
          <w:tcPr>
            <w:tcW w:type="dxa" w:w="2570"/>
            <w:tcMar>
              <w:top w:w="55" w:type="dxa"/>
              <w:start w:w="70" w:type="dxa"/>
              <w:bottom w:w="55" w:type="dxa"/>
              <w:end w:w="70" w:type="dxa"/>
            </w:tcMar>
          </w:tcPr>
          <w:p>
            <w:r>
              <w:rPr>
                <w:rFonts w:ascii="Arial" w:hAnsi="Arial"/>
                <w:color w:val="1F2937"/>
                <w:sz w:val="16"/>
              </w:rPr>
              <w:t>________________</w:t>
            </w:r>
          </w:p>
        </w:tc>
        <w:tc>
          <w:tcPr>
            <w:tcW w:type="dxa" w:w="2570"/>
            <w:tcMar>
              <w:top w:w="55" w:type="dxa"/>
              <w:start w:w="70" w:type="dxa"/>
              <w:bottom w:w="55" w:type="dxa"/>
              <w:end w:w="70" w:type="dxa"/>
            </w:tcMar>
          </w:tcPr>
          <w:p>
            <w:r>
              <w:rPr>
                <w:rFonts w:ascii="Arial" w:hAnsi="Arial"/>
                <w:color w:val="1F2937"/>
                <w:sz w:val="16"/>
              </w:rPr>
              <w:t>________________</w:t>
            </w:r>
          </w:p>
        </w:tc>
        <w:tc>
          <w:tcPr>
            <w:tcW w:type="dxa" w:w="2570"/>
            <w:tcMar>
              <w:top w:w="55" w:type="dxa"/>
              <w:start w:w="70" w:type="dxa"/>
              <w:bottom w:w="55" w:type="dxa"/>
              <w:end w:w="70" w:type="dxa"/>
            </w:tcMar>
          </w:tcPr>
          <w:p>
            <w:r>
              <w:rPr>
                <w:rFonts w:ascii="Arial" w:hAnsi="Arial"/>
                <w:color w:val="1F2937"/>
                <w:sz w:val="16"/>
              </w:rPr>
              <w:t>________________</w:t>
            </w:r>
          </w:p>
        </w:tc>
      </w:tr>
    </w:tbl>
    <w:p>
      <w:pPr>
        <w:spacing w:after="0"/>
      </w:pPr>
    </w:p>
    <w:tbl>
      <w:tblPr>
        <w:tblW w:type="auto" w:w="0"/>
        <w:jc w:val="center"/>
        <w:tblLook w:firstColumn="1" w:firstRow="1" w:lastColumn="0" w:lastRow="0" w:noHBand="0" w:noVBand="1" w:val="04A0"/>
      </w:tblPr>
      <w:tblGrid>
        <w:gridCol w:w="10282"/>
      </w:tblGrid>
      <w:tr>
        <w:tc>
          <w:tcPr>
            <w:tcW w:type="dxa" w:w="10282"/>
            <w:shd w:fill="E8F4F4"/>
            <w:tcBorders>
              <w:top w:val="single" w:sz="8" w:color="159C9C"/>
              <w:left w:val="single" w:sz="8" w:color="159C9C"/>
              <w:bottom w:val="single" w:sz="8" w:color="159C9C"/>
              <w:right w:val="single" w:sz="8" w:color="159C9C"/>
            </w:tcBorders>
            <w:tcMar>
              <w:top w:w="90" w:type="dxa"/>
              <w:start w:w="120" w:type="dxa"/>
              <w:bottom w:w="90" w:type="dxa"/>
              <w:end w:w="120" w:type="dxa"/>
            </w:tcMar>
          </w:tcPr>
          <w:p>
            <w:pPr>
              <w:spacing w:after="40"/>
            </w:pPr>
            <w:r>
              <w:rPr>
                <w:rFonts w:ascii="Arial" w:hAnsi="Arial"/>
                <w:b/>
                <w:color w:val="17365D"/>
                <w:sz w:val="19"/>
              </w:rPr>
              <w:t>WORKBOOK 12 READINESS GATE</w:t>
            </w:r>
          </w:p>
          <w:p>
            <w:pPr>
              <w:spacing w:after="0"/>
            </w:pPr>
            <w:r>
              <w:rPr>
                <w:rFonts w:ascii="Arial" w:hAnsi="Arial"/>
                <w:color w:val="1F2937"/>
                <w:sz w:val="18"/>
              </w:rPr>
              <w:t>Proceed to the Workbook 12 practice bank when you can identify controlling authority, separate privacy concepts, sequence mandated and court-related responses, evaluate telehealth and AI use, and create accurate documentation and continuity actions without over-disclosure or record alteration.</w:t>
            </w:r>
          </w:p>
        </w:tc>
      </w:tr>
    </w:tbl>
    <w:p>
      <w:pPr>
        <w:spacing w:after="0"/>
      </w:pPr>
    </w:p>
    <w:p>
      <w:pPr>
        <w:pStyle w:val="Heading2"/>
        <w:keepNext/>
      </w:pPr>
      <w:r>
        <w:t>Official and Foundational Sources</w:t>
      </w:r>
    </w:p>
    <w:p>
      <w:pPr>
        <w:pStyle w:val="ListBullet"/>
        <w:spacing w:after="36"/>
      </w:pPr>
      <w:r>
        <w:t>California Board of Behavioral Sciences. Licensed Professional Clinical Counselor statutes, regulations, required notices, telehealth guidance, advertising guidance, and official LPCC resources (reviewed July 2026).</w:t>
      </w:r>
    </w:p>
    <w:p>
      <w:pPr>
        <w:pStyle w:val="ListBullet"/>
        <w:spacing w:after="36"/>
      </w:pPr>
      <w:r>
        <w:t>California Business and Professions Code sections 2290.5, 4999.20, 4999.70, 4999.71, 4999.75, and 4999.90.</w:t>
      </w:r>
    </w:p>
    <w:p>
      <w:pPr>
        <w:pStyle w:val="ListBullet"/>
        <w:spacing w:after="36"/>
      </w:pPr>
      <w:r>
        <w:t>California Evidence Code sections 912 and 1014, psychotherapist-patient privilege.</w:t>
      </w:r>
    </w:p>
    <w:p>
      <w:pPr>
        <w:pStyle w:val="ListBullet"/>
        <w:spacing w:after="36"/>
      </w:pPr>
      <w:r>
        <w:t>California Civil Code section 43.92, duty to protect.</w:t>
      </w:r>
    </w:p>
    <w:p>
      <w:pPr>
        <w:pStyle w:val="ListBullet"/>
        <w:spacing w:after="36"/>
      </w:pPr>
      <w:r>
        <w:t>California Penal Code section 11166, Child Abuse and Neglect Reporting Act reporting duties.</w:t>
      </w:r>
    </w:p>
    <w:p>
      <w:pPr>
        <w:pStyle w:val="ListBullet"/>
        <w:spacing w:after="36"/>
      </w:pPr>
      <w:r>
        <w:t>California Welfare and Institutions Code section 15630, elder and dependent-adult reporting duties.</w:t>
      </w:r>
    </w:p>
    <w:p>
      <w:pPr>
        <w:pStyle w:val="ListBullet"/>
        <w:spacing w:after="36"/>
      </w:pPr>
      <w:r>
        <w:t>California Health and Safety Code sections 123100-123149.5, patient access to health records.</w:t>
      </w:r>
    </w:p>
    <w:p>
      <w:pPr>
        <w:pStyle w:val="ListBullet"/>
        <w:spacing w:after="36"/>
      </w:pPr>
      <w:r>
        <w:t>U.S. Department of Health and Human Services, Office for Civil Rights. HIPAA mental-health, psychotherapy-note, access, care-coordination, and telehealth guidance (current official resources reviewed July 2026).</w:t>
      </w:r>
    </w:p>
    <w:p>
      <w:pPr>
        <w:pStyle w:val="ListBullet"/>
        <w:spacing w:after="36"/>
      </w:pPr>
      <w:r>
        <w:t>National Board for Certified Counselors. 2023 NBCC Code of Ethics and current Ethics resources.</w:t>
      </w:r>
    </w:p>
    <w:p>
      <w:pPr>
        <w:pStyle w:val="ListBullet"/>
        <w:spacing w:after="36"/>
      </w:pPr>
      <w:r>
        <w:t>National Board for Certified Counselors. NCMHCE Content Outline, revised October 8, 2025; NCMHCE Candidate Handbook; and Examination Specifications effective July 1, 2027.</w:t>
      </w:r>
    </w:p>
    <w:p>
      <w:pPr>
        <w:spacing w:after="100"/>
      </w:pPr>
      <w:r>
        <w:rPr>
          <w:rFonts w:ascii="Arial" w:hAnsi="Arial"/>
          <w:b w:val="0"/>
          <w:i/>
          <w:color w:val="4B5563"/>
          <w:sz w:val="17"/>
        </w:rPr>
        <w:t>Content-control note: High-change legal, ethical, telehealth, records, privacy, mandated-reporting, artificial-intelligence, billing, and professional-practice content must be rechecked against current official sources before publication or re-release.</w:t>
      </w:r>
    </w:p>
    <w:sectPr w:rsidR="00FC693F" w:rsidRPr="0006063C" w:rsidSect="00034616">
      <w:headerReference w:type="default" r:id="rId9"/>
      <w:footerReference w:type="default" r:id="rId10"/>
      <w:pgSz w:w="12240" w:h="15840"/>
      <w:pgMar w:top="936" w:right="979" w:bottom="893" w:left="979" w:header="317"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olor w:val="4B5563"/>
        <w:sz w:val="16"/>
      </w:rPr>
      <w:t xml:space="preserve">Clinical Training Academy - LPCC Student Workbook 12 v1.0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159C9C"/>
        <w:sz w:val="15"/>
      </w:rPr>
      <w:t>CLINICAL TRAINING ACADEMY  |  LPCC EXAM PREPARATION</w:t>
    </w:r>
  </w:p>
  <w:tbl>
    <w:tblPr>
      <w:tblW w:type="auto" w:w="0"/>
      <w:jc w:val="center"/>
      <w:tblLayout w:type="fixed"/>
      <w:tblLook w:firstColumn="1" w:firstRow="1" w:lastColumn="0" w:lastRow="0" w:noHBand="0" w:noVBand="1" w:val="04A0"/>
    </w:tblPr>
    <w:tblGrid>
      <w:gridCol w:w="5256"/>
      <w:gridCol w:w="5256"/>
    </w:tblGrid>
    <w:tr>
      <w:tc>
        <w:tcPr>
          <w:tcW w:type="dxa" w:w="2520"/>
          <w:tcMar>
            <w:top w:w="0" w:type="dxa"/>
            <w:start w:w="0" w:type="dxa"/>
            <w:bottom w:w="0" w:type="dxa"/>
            <w:end w:w="0" w:type="dxa"/>
          </w:tcMar>
        </w:tcPr>
        <w:p>
          <w:pPr>
            <w:spacing w:after="0"/>
          </w:pPr>
          <w:r>
            <w:drawing>
              <wp:inline xmlns:a="http://schemas.openxmlformats.org/drawingml/2006/main" xmlns:pic="http://schemas.openxmlformats.org/drawingml/2006/picture">
                <wp:extent cx="1417320" cy="320220"/>
                <wp:docPr id="1" name="CTA horizontal logo" descr="Clinical Training and Supervision Academy logo"/>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1417320" cy="320220"/>
                        </a:xfrm>
                        <a:prstGeom prst="rect"/>
                      </pic:spPr>
                    </pic:pic>
                  </a:graphicData>
                </a:graphic>
              </wp:inline>
            </w:drawing>
          </w:r>
        </w:p>
      </w:tc>
      <w:tc>
        <w:tcPr>
          <w:tcW w:type="dxa" w:w="7992"/>
          <w:tcMar>
            <w:top w:w="0" w:type="dxa"/>
            <w:start w:w="0" w:type="dxa"/>
            <w:bottom w:w="0" w:type="dxa"/>
            <w:end w:w="0" w:type="dxa"/>
          </w:tcMar>
        </w:tcPr>
        <w:p>
          <w:pPr>
            <w:jc w:val="right"/>
          </w:pPr>
          <w:r>
            <w:rPr>
              <w:rFonts w:ascii="Arial" w:hAnsi="Arial" w:eastAsia="Arial"/>
              <w:color w:val="17365D"/>
              <w:sz w:val="14"/>
            </w:rPr>
            <w:t>CTA LPCC Workbook 12 - California Legal, Ethical &amp; Professional Practice</w:t>
          </w:r>
        </w:p>
      </w:tc>
    </w:tr>
  </w:tbl>
  <w:p>
    <w:pPr>
      <w:spacing w:after="0"/>
      <w:pBdr>
        <w:bottom w:val="single" w:sz="5" w:space="1" w:color="159C9C"/>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eastAsia="Arial"/>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60" w:after="80"/>
      <w:outlineLvl w:val="0"/>
    </w:pPr>
    <w:rPr>
      <w:rFonts w:asciiTheme="majorHAnsi" w:eastAsiaTheme="majorEastAsia" w:hAnsiTheme="majorHAnsi" w:cstheme="majorBidi" w:ascii="Arial" w:hAnsi="Arial" w:eastAsia="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7365D"/>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ind w:left="317" w:hanging="173"/>
      <w:contextualSpacing/>
    </w:pPr>
    <w:rPr>
      <w:rFonts w:ascii="Arial" w:hAnsi="Arial" w:eastAsia="Arial"/>
      <w:sz w:val="18"/>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yperlink" Target="https://www.bbs.ca.gov/exams/lpcc.html" TargetMode="External"/><Relationship Id="rId13" Type="http://schemas.openxmlformats.org/officeDocument/2006/relationships/hyperlink" Target="https://www.nbcc.org/assets/exam/ncmhce_content_outline.pdf" TargetMode="External"/><Relationship Id="rId14" Type="http://schemas.openxmlformats.org/officeDocument/2006/relationships/hyperlink" Target="https://www.nbcc.org/assets/exam/NCMHCE_exam_spec_2027.pdf" TargetMode="External"/><Relationship Id="rId15" Type="http://schemas.openxmlformats.org/officeDocument/2006/relationships/hyperlink" Target="https://www.psychiatry.org/psychiatrists/practice/dsm/updates-to-dsm" TargetMode="External"/><Relationship Id="rId16" Type="http://schemas.openxmlformats.org/officeDocument/2006/relationships/hyperlink" Target="https://www.nimh.nih.gov/health/topics/depression" TargetMode="External"/><Relationship Id="rId17" Type="http://schemas.openxmlformats.org/officeDocument/2006/relationships/hyperlink" Target="https://www.nimh.nih.gov/health/topics/bipolar-disorder" TargetMode="External"/><Relationship Id="rId18" Type="http://schemas.openxmlformats.org/officeDocument/2006/relationships/hyperlink" Target="https://www.nimh.nih.gov/health/topics/anxiety-disorders" TargetMode="External"/><Relationship Id="rId19" Type="http://schemas.openxmlformats.org/officeDocument/2006/relationships/hyperlink" Target="https://www.nimh.nih.gov/health/topics/obsessive-compulsive-disorder-ocd" TargetMode="External"/><Relationship Id="rId20" Type="http://schemas.openxmlformats.org/officeDocument/2006/relationships/hyperlink" Target="https://www.nimh.nih.gov/health/topics/post-traumatic-stress-disorder-ptsd" TargetMode="External"/><Relationship Id="rId21" Type="http://schemas.openxmlformats.org/officeDocument/2006/relationships/hyperlink" Target="https://www.healthquality.va.gov/HEALTHQUALITY/guidelines/MH/ptsd/" TargetMode="External"/><Relationship Id="rId22" Type="http://schemas.openxmlformats.org/officeDocument/2006/relationships/hyperlink" Target="https://www.nimh.nih.gov/health/topics/schizophrenia" TargetMode="External"/><Relationship Id="rId23" Type="http://schemas.openxmlformats.org/officeDocument/2006/relationships/hyperlink" Target="https://www.healthquality.va.gov/HEALTHQUALITY/guidelines/MH/scz/index.asp" TargetMode="External"/><Relationship Id="rId24" Type="http://schemas.openxmlformats.org/officeDocument/2006/relationships/hyperlink" Target="https://www.samhsa.gov/substance-use/treatment/co-occurring-disorders" TargetMode="External"/><Relationship Id="rId25" Type="http://schemas.openxmlformats.org/officeDocument/2006/relationships/hyperlink" Target="https://www.psychiatry.org/psychiatrists/practice/dsm/about-dsm" TargetMode="External"/><Relationship Id="rId26" Type="http://schemas.openxmlformats.org/officeDocument/2006/relationships/hyperlink" Target="https://www.psychiatry.org/psychiatrists/practice/dsm/updates-to-dsm/updates-to-dsm-5-tr-criteria-text" TargetMode="External"/><Relationship Id="rId27" Type="http://schemas.openxmlformats.org/officeDocument/2006/relationships/hyperlink" Target="https://www.nbcc.org/exams/ncmhce/" TargetMode="External"/><Relationship Id="rId28" Type="http://schemas.openxmlformats.org/officeDocument/2006/relationships/hyperlink" Target="https://leginfo.legislature.ca.gov/faces/codes_displaySection.xhtml?lawCode=BPC&amp;sectionNum=4999.20." TargetMode="External"/><Relationship Id="rId29" Type="http://schemas.openxmlformats.org/officeDocument/2006/relationships/hyperlink" Target="https://www.samhsa.gov/mental-health/serious-mental-illness/co-occurring-disorders" TargetMode="External"/><Relationship Id="rId30" Type="http://schemas.openxmlformats.org/officeDocument/2006/relationships/hyperlink" Target="https://www.samhsa.gov/resource/ebp/advisory-substance-use-disorder-treatment-people-co-occurring-disorders-based-tip-42" TargetMode="External"/><Relationship Id="rId31" Type="http://schemas.openxmlformats.org/officeDocument/2006/relationships/hyperlink" Target="https://www.samhsa.gov/resource/ebp/nida-modified-assist-nm-assist-clinicians-screening-tool-drug-use-general-medical" TargetMode="External"/><Relationship Id="rId32" Type="http://schemas.openxmlformats.org/officeDocument/2006/relationships/hyperlink" Target="https://rethinkingdrinking.niaaa.nih.gov/how-much-too-much/what-are-symptoms-alcohol-use-disorder-aud" TargetMode="External"/><Relationship Id="rId33" Type="http://schemas.openxmlformats.org/officeDocument/2006/relationships/hyperlink" Target="https://www.nimh.nih.gov/health/publications/attention-deficit-hyperactivity-disorder-what-you-need-to-know" TargetMode="External"/><Relationship Id="rId34" Type="http://schemas.openxmlformats.org/officeDocument/2006/relationships/hyperlink" Target="https://www.nimh.nih.gov/health/publications/autism-spectrum-disorder" TargetMode="External"/><Relationship Id="rId35" Type="http://schemas.openxmlformats.org/officeDocument/2006/relationships/hyperlink" Target="https://www.nimh.nih.gov/health/publications/eating-disorders" TargetMode="External"/><Relationship Id="rId36" Type="http://schemas.openxmlformats.org/officeDocument/2006/relationships/hyperlink" Target="https://www.nhlbi.nih.gov/health/sleep-deprivation/diagnosis-treatment" TargetMode="External"/><Relationship Id="rId37" Type="http://schemas.openxmlformats.org/officeDocument/2006/relationships/hyperlink" Target="https://library.samhsa.gov/product/advisory-evidence-based-care-clients-co-occurring-substance-use-disorders-eating-disorders/pep25-02-010" TargetMode="External"/><Relationship Id="rId38" Type="http://schemas.openxmlformats.org/officeDocument/2006/relationships/hyperlink" Target="https://www.nbcc.org/examinations/ncmhce" TargetMode="External"/><Relationship Id="rId39" Type="http://schemas.openxmlformats.org/officeDocument/2006/relationships/hyperlink" Target="https://leginfo.legislature.ca.gov/faces/codes_displaySection.xhtml?lawCode=BPC&amp;sectionNum=4999.32." TargetMode="External"/><Relationship Id="rId40" Type="http://schemas.openxmlformats.org/officeDocument/2006/relationships/hyperlink" Target="https://leginfo.legislature.ca.gov/faces/codes_displaySection.xhtml?lawCode=BPC&amp;sectionNum=4999.33." TargetMode="External"/><Relationship Id="rId41" Type="http://schemas.openxmlformats.org/officeDocument/2006/relationships/hyperlink" Target="https://www.samhsa.gov/find-support/learn-about-treatment/what-to-expect-from-treatment" TargetMode="External"/><Relationship Id="rId42" Type="http://schemas.openxmlformats.org/officeDocument/2006/relationships/hyperlink" Target="https://www.samhsa.gov/grants/how-to-apply/forms-and-resources/developing-goals-measurable-objectives" TargetMode="External"/><Relationship Id="rId43" Type="http://schemas.openxmlformats.org/officeDocument/2006/relationships/hyperlink" Target="https://www.research.va.gov/research_in_action/Measurement-Based-Mental-Health-Care.cfm" TargetMode="External"/><Relationship Id="rId44" Type="http://schemas.openxmlformats.org/officeDocument/2006/relationships/hyperlink" Target="https://www.mentalhealth.va.gov/about/index.asp" TargetMode="External"/><Relationship Id="rId45" Type="http://schemas.openxmlformats.org/officeDocument/2006/relationships/hyperlink" Target="https://www.nbcc.org/exams/ncmhce" TargetMode="External"/><Relationship Id="rId46" Type="http://schemas.openxmlformats.org/officeDocument/2006/relationships/hyperlink" Target="https://www.cacrep.org/for-programs/2024-cacrep-standards/" TargetMode="External"/><Relationship Id="rId47" Type="http://schemas.openxmlformats.org/officeDocument/2006/relationships/hyperlink" Target="https://library.samhsa.gov/sites/default/files/d7/priv/pep19-02-01-003_0.pdf" TargetMode="External"/><Relationship Id="rId48" Type="http://schemas.openxmlformats.org/officeDocument/2006/relationships/hyperlink" Target="https://pubmed.ncbi.nlm.nih.gov/29792475/" TargetMode="External"/><Relationship Id="rId49" Type="http://schemas.openxmlformats.org/officeDocument/2006/relationships/hyperlink" Target="https://pubmed.ncbi.nlm.nih.gov/30335462/" TargetMode="External"/><Relationship Id="rId50" Type="http://schemas.openxmlformats.org/officeDocument/2006/relationships/hyperlink" Target="https://pubmed.ncbi.nlm.nih.gov/33829817/" TargetMode="External"/><Relationship Id="rId51" Type="http://schemas.openxmlformats.org/officeDocument/2006/relationships/hyperlink" Target="https://pubmed.ncbi.nlm.nih.gov/39901761/" TargetMode="External"/><Relationship Id="rId5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Workbook 12: California Legal, Ethical, Documentation, Technology, and Professional Practice</dc:title>
  <dc:subject>LPCC NCMHCE Exam Preparation Program</dc:subject>
  <dc:creator>Clinical Training Academy</dc:creator>
  <cp:keywords>LPCC, NCMHCE, California law, ethics, confidentiality, records, telehealth, AI, documentation, professional practice</cp:keywords>
  <dc:description>Editable Word student workbook. Version 1.0, July 2026.</dc:description>
  <cp:lastModifiedBy/>
  <cp:revision>1</cp:revision>
  <dcterms:created xsi:type="dcterms:W3CDTF">2013-12-23T23:15:00Z</dcterms:created>
  <dcterms:modified xsi:type="dcterms:W3CDTF">2013-12-23T23:15:00Z</dcterms:modified>
  <cp:category/>
</cp:coreProperties>
</file>