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920240" cy="1388039"/>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1920240" cy="1388039"/>
                    </a:xfrm>
                    <a:prstGeom prst="rect"/>
                  </pic:spPr>
                </pic:pic>
              </a:graphicData>
            </a:graphic>
          </wp:inline>
        </w:drawing>
      </w:r>
    </w:p>
    <w:p>
      <w:pPr>
        <w:spacing w:after="40"/>
        <w:jc w:val="center"/>
      </w:pPr>
      <w:r>
        <w:rPr>
          <w:rFonts w:ascii="Arial" w:hAnsi="Arial" w:eastAsia="Arial"/>
          <w:b/>
          <w:color w:val="159C9C"/>
          <w:sz w:val="25"/>
        </w:rPr>
        <w:t>LPCC NCMHCE EXAM PREPARATION PROGRAM</w:t>
      </w:r>
    </w:p>
    <w:p>
      <w:pPr>
        <w:spacing w:after="80"/>
        <w:jc w:val="center"/>
      </w:pPr>
      <w:r>
        <w:rPr>
          <w:rFonts w:ascii="Arial" w:hAnsi="Arial" w:eastAsia="Arial"/>
          <w:b/>
          <w:color w:val="4E5B6B"/>
          <w:sz w:val="26"/>
        </w:rPr>
        <w:t>Student Workbook</w:t>
      </w:r>
    </w:p>
    <w:p>
      <w:pPr>
        <w:spacing w:after="140"/>
        <w:jc w:val="center"/>
      </w:pPr>
      <w:r>
        <w:rPr>
          <w:rFonts w:ascii="Arial" w:hAnsi="Arial" w:eastAsia="Arial"/>
          <w:b/>
          <w:color w:val="17365D"/>
          <w:sz w:val="38"/>
        </w:rPr>
        <w:t>CTA LPCC Workbook 2: Professional Identity, California Scope, Competence, and Counselor Self-Awareness</w:t>
      </w:r>
    </w:p>
    <w:p>
      <w:pPr>
        <w:spacing w:after="180"/>
        <w:jc w:val="center"/>
      </w:pPr>
      <w:r>
        <w:rPr>
          <w:rFonts w:ascii="Arial" w:hAnsi="Arial" w:eastAsia="Arial"/>
          <w:i/>
          <w:color w:val="1F7A8C"/>
          <w:sz w:val="23"/>
        </w:rPr>
        <w:t>How to practice as a counselor, recognize limits, use supervision, and protect client welfare</w:t>
      </w:r>
    </w:p>
    <w:p>
      <w:pPr>
        <w:spacing w:after="280"/>
        <w:jc w:val="center"/>
      </w:pPr>
      <w:r>
        <w:rPr>
          <w:rFonts w:ascii="Arial" w:hAnsi="Arial" w:eastAsia="Arial"/>
          <w:b/>
          <w:color w:val="4E5B6B"/>
          <w:sz w:val="21"/>
        </w:rPr>
        <w:t>Version 1.0 - July 2026</w:t>
      </w:r>
    </w:p>
    <w:tbl>
      <w:tblPr>
        <w:tblW w:type="auto" w:w="0"/>
        <w:jc w:val="center"/>
        <w:tblLook w:firstColumn="1" w:firstRow="1" w:lastColumn="0" w:lastRow="0" w:noHBand="0" w:noVBand="1" w:val="04A0"/>
      </w:tblPr>
      <w:tblGrid>
        <w:gridCol w:w="10310"/>
      </w:tblGrid>
      <w:tr>
        <w:trPr>
          <w:cantSplit/>
          <w:tblHeader/>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STUDENT-FACING EXAM PREPARATION MATERIAL</w:t>
            </w:r>
          </w:p>
          <w:p>
            <w:pPr>
              <w:spacing w:after="20" w:line="250" w:lineRule="auto"/>
            </w:pPr>
            <w:r>
              <w:rPr>
                <w:rFonts w:ascii="Arial" w:hAnsi="Arial" w:eastAsia="Arial"/>
                <w:color w:val="1F2937"/>
                <w:sz w:val="20"/>
              </w:rPr>
              <w:t>All teaching cases and practice questions are original CTA materials. They are not recalled, copied, or represented as actual NCMHCE items.</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EDUCATIONAL, NON-AFFILIATION, AND SCOPE NOTICE</w:t>
            </w:r>
          </w:p>
          <w:p>
            <w:pPr>
              <w:spacing w:after="20" w:line="250" w:lineRule="auto"/>
            </w:pPr>
            <w:r>
              <w:rPr>
                <w:rFonts w:ascii="Arial" w:hAnsi="Arial" w:eastAsia="Arial"/>
                <w:color w:val="1F2937"/>
                <w:sz w:val="20"/>
              </w:rPr>
              <w:t>Clinical Training Academy is not affiliated with the California Board of Behavioral Sciences, NBCC, CCE, Pearson VUE, or ACA. This workbook is educational and does not replace legal advice, clinical supervision, employer policy, current statutes, regulations, examination handbooks, or professional ethical codes.</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F2F4F7"/>
            <w:tcBorders>
              <w:top w:val="single" w:sz="10" w:color="D9E1E8"/>
              <w:left w:val="single" w:sz="10" w:color="D9E1E8"/>
              <w:bottom w:val="single" w:sz="10" w:color="D9E1E8"/>
              <w:right w:val="single" w:sz="10" w:color="D9E1E8"/>
            </w:tcBorders>
            <w:tcMar>
              <w:top w:w="110" w:type="dxa"/>
              <w:start w:w="140" w:type="dxa"/>
              <w:bottom w:w="110" w:type="dxa"/>
              <w:end w:w="140" w:type="dxa"/>
            </w:tcMar>
          </w:tcPr>
          <w:p>
            <w:pPr>
              <w:spacing w:after="60"/>
            </w:pPr>
            <w:r>
              <w:rPr>
                <w:rFonts w:ascii="Arial" w:hAnsi="Arial" w:eastAsia="Arial"/>
                <w:b/>
                <w:color w:val="17365D"/>
                <w:sz w:val="21"/>
              </w:rPr>
              <w:t>NO CONTINUING-EDUCATION CREDIT</w:t>
            </w:r>
          </w:p>
          <w:p>
            <w:pPr>
              <w:spacing w:after="20" w:line="250" w:lineRule="auto"/>
            </w:pPr>
            <w:r>
              <w:rPr>
                <w:rFonts w:ascii="Arial" w:hAnsi="Arial" w:eastAsia="Arial"/>
                <w:color w:val="1F2937"/>
                <w:sz w:val="20"/>
              </w:rPr>
              <w:t>This is an examination-preparation workbook. It does not award continuing-education credit.</w:t>
            </w:r>
          </w:p>
        </w:tc>
      </w:tr>
    </w:tbl>
    <w:p>
      <w:pPr>
        <w:spacing w:after="0"/>
      </w:pPr>
    </w:p>
    <w:p>
      <w:pPr>
        <w:pStyle w:val="Heading1"/>
        <w:spacing w:before="100" w:after="80"/>
        <w:keepNext/>
      </w:pPr>
      <w:r>
        <w:rPr>
          <w:rFonts w:ascii="Arial" w:hAnsi="Arial" w:eastAsia="Arial"/>
          <w:b/>
          <w:color w:val="17365D"/>
          <w:sz w:val="23"/>
        </w:rPr>
        <w:t>How to Use This Workbook</w:t>
      </w:r>
    </w:p>
    <w:p>
      <w:pPr>
        <w:spacing w:before="0" w:after="100" w:line="254" w:lineRule="auto"/>
      </w:pPr>
      <w:r>
        <w:rPr>
          <w:rFonts w:ascii="Arial" w:hAnsi="Arial" w:eastAsia="Arial"/>
          <w:b w:val="0"/>
          <w:i w:val="0"/>
          <w:color w:val="1F2937"/>
          <w:sz w:val="20"/>
        </w:rPr>
        <w:t>Workbook 2 develops the professional counselor lens that controls every later clinical decision. Complete the chapters in order, write through the worksheets, and explain each decision rule aloud before attempting the matching 17-question practice bank. This workbook introduces scope, competence, supervision, boundaries, and self-awareness; detailed California law and ethics applications are expanded in Workbook 12.</w:t>
      </w:r>
    </w:p>
    <w:tbl>
      <w:tblPr>
        <w:tblW w:type="auto" w:w="0"/>
        <w:jc w:val="center"/>
        <w:tblLook w:firstColumn="1" w:firstRow="1" w:lastColumn="0" w:lastRow="0" w:noHBand="0" w:noVBand="1" w:val="04A0"/>
      </w:tblPr>
      <w:tblGrid>
        <w:gridCol w:w="10310"/>
      </w:tblGrid>
      <w:tr>
        <w:trPr>
          <w:cantSplit/>
          <w:tblHeader/>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BIG IDEA</w:t>
            </w:r>
          </w:p>
          <w:p>
            <w:pPr>
              <w:spacing w:after="20" w:line="250" w:lineRule="auto"/>
            </w:pPr>
            <w:r>
              <w:rPr>
                <w:rFonts w:ascii="Arial" w:hAnsi="Arial" w:eastAsia="Arial"/>
                <w:color w:val="1F2937"/>
                <w:sz w:val="20"/>
              </w:rPr>
              <w:t>Competence is not proving that you can handle every client or task. Competence means knowing your professional role, recognizing your limits early, and taking the next action that protects the client.</w:t>
            </w:r>
          </w:p>
        </w:tc>
      </w:tr>
    </w:tbl>
    <w:p>
      <w:pPr>
        <w:spacing w:after="0"/>
      </w:pPr>
    </w:p>
    <w:p>
      <w:pPr>
        <w:pStyle w:val="Heading2"/>
        <w:spacing w:before="140" w:after="80"/>
        <w:keepNext/>
      </w:pPr>
      <w:r>
        <w:rPr>
          <w:rFonts w:ascii="Arial" w:hAnsi="Arial" w:eastAsia="Arial"/>
          <w:b/>
          <w:color w:val="159C9C"/>
          <w:sz w:val="26"/>
        </w:rPr>
        <w:t>Learning Objectives</w:t>
      </w:r>
    </w:p>
    <w:p>
      <w:pPr>
        <w:pStyle w:val="ListBullet"/>
        <w:spacing w:after="50" w:line="250" w:lineRule="auto"/>
        <w:keepLines/>
      </w:pPr>
      <w:r>
        <w:rPr>
          <w:rFonts w:ascii="Arial" w:hAnsi="Arial" w:eastAsia="Arial"/>
          <w:color w:val="1F2937"/>
          <w:sz w:val="20"/>
        </w:rPr>
        <w:t>Identify the professional clinical counselor role and distinguish California APCC and LPCC practice status.</w:t>
      </w:r>
    </w:p>
    <w:p>
      <w:pPr>
        <w:pStyle w:val="ListBullet"/>
        <w:spacing w:after="50" w:line="250" w:lineRule="auto"/>
        <w:keepLines/>
      </w:pPr>
      <w:r>
        <w:rPr>
          <w:rFonts w:ascii="Arial" w:hAnsi="Arial" w:eastAsia="Arial"/>
          <w:color w:val="1F2937"/>
          <w:sz w:val="20"/>
        </w:rPr>
        <w:t>Apply California LPCC scope rules to counseling services, assessments, specialized testing, competence, consultation, and referral decisions.</w:t>
      </w:r>
    </w:p>
    <w:p>
      <w:pPr>
        <w:pStyle w:val="ListBullet"/>
        <w:spacing w:after="50" w:line="250" w:lineRule="auto"/>
        <w:keepLines/>
      </w:pPr>
      <w:r>
        <w:rPr>
          <w:rFonts w:ascii="Arial" w:hAnsi="Arial" w:eastAsia="Arial"/>
          <w:color w:val="1F2937"/>
          <w:sz w:val="20"/>
        </w:rPr>
        <w:t>Evaluate counselor-client suitability, professional boundaries, power, transference, countertransference, and therapeutic rupture risks.</w:t>
      </w:r>
    </w:p>
    <w:p>
      <w:pPr>
        <w:pStyle w:val="ListBullet"/>
        <w:spacing w:after="50" w:line="250" w:lineRule="auto"/>
        <w:keepLines/>
      </w:pPr>
      <w:r>
        <w:rPr>
          <w:rFonts w:ascii="Arial" w:hAnsi="Arial" w:eastAsia="Arial"/>
          <w:color w:val="1F2937"/>
          <w:sz w:val="20"/>
        </w:rPr>
        <w:t>Select appropriate supervision, consultation, continuing education, research, and advocacy responses.</w:t>
      </w:r>
    </w:p>
    <w:p>
      <w:pPr>
        <w:pStyle w:val="ListBullet"/>
        <w:spacing w:after="50" w:line="250" w:lineRule="auto"/>
        <w:keepLines/>
      </w:pPr>
      <w:r>
        <w:rPr>
          <w:rFonts w:ascii="Arial" w:hAnsi="Arial" w:eastAsia="Arial"/>
          <w:color w:val="1F2937"/>
          <w:sz w:val="20"/>
        </w:rPr>
        <w:t>Recognize burnout, compassion fatigue, vicarious trauma, countertransference activation, and impairment risk, then choose a proportionate professional response.</w:t>
      </w:r>
    </w:p>
    <w:p>
      <w:pPr>
        <w:pStyle w:val="Heading2"/>
        <w:spacing w:before="140" w:after="80"/>
        <w:keepNext/>
      </w:pPr>
      <w:r>
        <w:rPr>
          <w:rFonts w:ascii="Arial" w:hAnsi="Arial" w:eastAsia="Arial"/>
          <w:b/>
          <w:color w:val="159C9C"/>
          <w:sz w:val="26"/>
        </w:rPr>
        <w:t>Why This Topic Matters</w:t>
      </w:r>
    </w:p>
    <w:p>
      <w:pPr>
        <w:spacing w:before="0" w:after="100" w:line="254" w:lineRule="auto"/>
      </w:pPr>
      <w:r>
        <w:rPr>
          <w:rFonts w:ascii="Arial" w:hAnsi="Arial" w:eastAsia="Arial"/>
          <w:b w:val="0"/>
          <w:i w:val="0"/>
          <w:color w:val="1F2937"/>
          <w:sz w:val="20"/>
        </w:rPr>
        <w:t>Many NCMHCE options sound clinically caring. The difference between a strong option and a weak one often depends on professional role, scope, competence, relationship fit, supervision, or counselor self-awareness. These are not background topics. They determine whether assessment, treatment, referral, documentation, and consultation occur safely and in the correct sequence.</w:t>
      </w:r>
    </w:p>
    <w:tbl>
      <w:tblPr>
        <w:tblW w:type="auto" w:w="0"/>
        <w:jc w:val="center"/>
        <w:tblLook w:firstColumn="1" w:firstRow="1" w:lastColumn="0" w:lastRow="0" w:noHBand="0" w:noVBand="1" w:val="04A0"/>
      </w:tblPr>
      <w:tblGrid>
        <w:gridCol w:w="10310"/>
      </w:tblGrid>
      <w:tr>
        <w:trPr>
          <w:cantSplit/>
          <w:tblHeader/>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2027 BLUEPRINT BRIDGE</w:t>
            </w:r>
          </w:p>
          <w:p>
            <w:pPr>
              <w:spacing w:after="20" w:line="250" w:lineRule="auto"/>
            </w:pPr>
            <w:r>
              <w:rPr>
                <w:rFonts w:ascii="Arial" w:hAnsi="Arial" w:eastAsia="Arial"/>
                <w:color w:val="1F2937"/>
                <w:sz w:val="20"/>
              </w:rPr>
              <w:t>The NCMHCE specifications effective July 1, 2027 assign 15% of items to Professional Development and Counselor Self-Awareness. The current examination also tests Professional Practice and Ethics and Core Counseling Attributes. The reasoning skills in this workbook support both versions.</w:t>
            </w:r>
          </w:p>
        </w:tc>
      </w:tr>
    </w:tbl>
    <w:p>
      <w:pPr>
        <w:spacing w:after="0"/>
      </w:pPr>
    </w:p>
    <w:p>
      <w:pPr>
        <w:pStyle w:val="Heading2"/>
        <w:spacing w:before="140" w:after="80"/>
        <w:keepNext/>
      </w:pPr>
      <w:r>
        <w:rPr>
          <w:rFonts w:ascii="Arial" w:hAnsi="Arial" w:eastAsia="Arial"/>
          <w:b/>
          <w:color w:val="159C9C"/>
          <w:sz w:val="26"/>
        </w:rPr>
        <w:t>Workbook Roadmap</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1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Chapter</w:t>
            </w:r>
          </w:p>
        </w:tc>
        <w:tc>
          <w:tcPr>
            <w:tcW w:type="dxa" w:w="57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Focus</w:t>
            </w:r>
          </w:p>
        </w:tc>
        <w:tc>
          <w:tcPr>
            <w:tcW w:type="dxa" w:w="36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Primary Tool</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Professional counseling identity and California LPCC scope</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Role-Scope-Status Map</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Competence, assessment limits, and referral</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SCOPE Decision Check</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Counselor-client fit, boundaries, and power</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FIT and BOUNDARY Review</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Supervision, consultation, research, and advocacy</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CONSULT Decision Guide</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Self-awareness, self-regulation, and professional wellbeing</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RESET Professional Wellbeing Plan</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1</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Professional Counseling Identity and California LPCC Scope</w:t>
            </w:r>
          </w:p>
        </w:tc>
        <w:trPr>
          <w:tblHeader/>
        </w:trPr>
      </w:tr>
    </w:tbl>
    <w:p>
      <w:pPr>
        <w:spacing w:before="100" w:after="180"/>
      </w:pPr>
      <w:r>
        <w:rPr>
          <w:rFonts w:ascii="Arial" w:hAnsi="Arial" w:eastAsia="Arial"/>
          <w:i/>
          <w:color w:val="4E5B6B"/>
          <w:sz w:val="21"/>
        </w:rPr>
        <w:t>Answer from the role of a clinical mental health counselor, not from the role of a generic helper or another profession.</w:t>
      </w:r>
    </w:p>
    <w:tbl>
      <w:tblPr>
        <w:tblW w:type="auto" w:w="0"/>
        <w:jc w:val="center"/>
        <w:tblLook w:firstColumn="1" w:firstRow="1" w:lastColumn="0" w:lastRow="0" w:noHBand="0" w:noVBand="1" w:val="04A0"/>
      </w:tblPr>
      <w:tblGrid>
        <w:gridCol w:w="10310"/>
      </w:tblGrid>
      <w:tr>
        <w:trPr>
          <w:cantSplit/>
          <w:tblHeader/>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The counselor identity combines mental-health treatment, developmental and wellness perspectives, pluralistic counseling theories, assessment for counseling goals, and a professional counseling relationship.</w:t>
            </w:r>
          </w:p>
        </w:tc>
      </w:tr>
    </w:tbl>
    <w:p>
      <w:pPr>
        <w:spacing w:after="0"/>
      </w:pPr>
    </w:p>
    <w:p>
      <w:pPr>
        <w:pStyle w:val="Heading2"/>
        <w:spacing w:before="140" w:after="80"/>
        <w:keepNext/>
      </w:pPr>
      <w:r>
        <w:rPr>
          <w:rFonts w:ascii="Arial" w:hAnsi="Arial" w:eastAsia="Arial"/>
          <w:b/>
          <w:color w:val="159C9C"/>
          <w:sz w:val="26"/>
        </w:rPr>
        <w:t>The Professional Clinical Counselor Lens</w:t>
      </w:r>
    </w:p>
    <w:p>
      <w:pPr>
        <w:spacing w:before="0" w:after="100" w:line="254" w:lineRule="auto"/>
      </w:pPr>
      <w:r>
        <w:rPr>
          <w:rFonts w:ascii="Arial" w:hAnsi="Arial" w:eastAsia="Arial"/>
          <w:b w:val="0"/>
          <w:i w:val="0"/>
          <w:color w:val="1F2937"/>
          <w:sz w:val="20"/>
        </w:rPr>
        <w:t>California defines professional clinical counseling as the use of counseling interventions and psychotherapeutic techniques to identify and address cognitive, mental, and emotional concerns. The statutory description includes personal growth, adjustment to disability, crisis intervention, and psychosocial and environmental problems. It also includes assessment used to establish counseling goals and objectives.</w:t>
      </w:r>
    </w:p>
    <w:p>
      <w:pPr>
        <w:spacing w:before="0" w:after="100" w:line="254" w:lineRule="auto"/>
      </w:pPr>
      <w:r>
        <w:rPr>
          <w:rFonts w:ascii="Arial" w:hAnsi="Arial" w:eastAsia="Arial"/>
          <w:b w:val="0"/>
          <w:i w:val="0"/>
          <w:color w:val="1F2937"/>
          <w:sz w:val="20"/>
        </w:rPr>
        <w:t>The same statute emphasizes that counseling interventions may be cognitive, affective, verbal, nonverbal, systemic, or holistic; reflect development, wellness, maladjustment, and a pluralistic society; and occur within an established professional clinical counseling relationship.</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5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Counselor Identity Element</w:t>
            </w:r>
          </w:p>
        </w:tc>
        <w:tc>
          <w:tcPr>
            <w:tcW w:type="dxa" w:w="79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What It Means on an Exam</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Mental-health purpose</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counselor addresses clinical mental, emotional, developmental, crisis, disability-adjustment, psychosocial, and environmental concerns.</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Development and wellness</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case is not limited to diagnosis. Growth, coping, life transitions, strengths, prevention, and functioning can be legitimate counseling targets.</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Pluralistic counseling</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counselor considers culture, worldview, development, context, and multiple counseling theories rather than imposing one universal explanation.</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Professional relationship</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Interventions occur within a defined counseling relationship with role clarity, consent, boundaries, and accountability.</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Assessment for counseling</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The counselor selects and interprets appropriate information to establish counseling goals, while staying within statutory and personal competence limits.</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ROLE CLARITY</w:t>
            </w:r>
          </w:p>
          <w:p>
            <w:pPr>
              <w:spacing w:after="20" w:line="250" w:lineRule="auto"/>
            </w:pPr>
            <w:r>
              <w:rPr>
                <w:rFonts w:ascii="Arial" w:hAnsi="Arial" w:eastAsia="Arial"/>
                <w:color w:val="1F2937"/>
                <w:sz w:val="20"/>
              </w:rPr>
              <w:t>California law expressly states that professional clinical counseling does not include providing clinical social work services. The exam may present similar tasks across professions, but the LPCC candidate should reason from counseling identity, authorized scope, and the client’s clinical needs.</w:t>
            </w:r>
          </w:p>
        </w:tc>
      </w:tr>
    </w:tbl>
    <w:p>
      <w:pPr>
        <w:spacing w:after="0"/>
      </w:pPr>
    </w:p>
    <w:p>
      <w:pPr>
        <w:pStyle w:val="Heading2"/>
        <w:spacing w:before="140" w:after="80"/>
        <w:keepNext/>
      </w:pPr>
      <w:r>
        <w:rPr>
          <w:rFonts w:ascii="Arial" w:hAnsi="Arial" w:eastAsia="Arial"/>
          <w:b/>
          <w:color w:val="159C9C"/>
          <w:sz w:val="26"/>
        </w:rPr>
        <w:t>APCC Status and LPCC Status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Status</w:t>
            </w:r>
          </w:p>
        </w:tc>
        <w:tc>
          <w:tcPr>
            <w:tcW w:type="dxa" w:w="44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Core Meaning</w:t>
            </w:r>
          </w:p>
        </w:tc>
        <w:tc>
          <w:tcPr>
            <w:tcW w:type="dxa" w:w="42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Exam-Safe Interpretation</w:t>
            </w:r>
          </w:p>
        </w:tc>
      </w:tr>
      <w:tr>
        <w:trPr>
          <w:cantSplit/>
        </w:trPr>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APCC</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 Board-registered associate accruing supervised experience toward LPCC licensure.</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Practices under required supervision and does not present as independently licensed or open an independent practice.</w:t>
            </w:r>
          </w:p>
        </w:tc>
      </w:tr>
      <w:tr>
        <w:trPr>
          <w:cantSplit/>
        </w:trPr>
        <w:tc>
          <w:tcPr>
            <w:tcW w:type="dxa" w:w="18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LPCC</w:t>
            </w:r>
          </w:p>
        </w:tc>
        <w:tc>
          <w:tcPr>
            <w:tcW w:type="dxa" w:w="44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 person issued an active California LPCC license.</w:t>
            </w:r>
          </w:p>
        </w:tc>
        <w:tc>
          <w:tcPr>
            <w:tcW w:type="dxa" w:w="42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May practice independently within legal scope, competence, ethical duties, setting requirements, and jurisdictional limits.</w:t>
            </w:r>
          </w:p>
        </w:tc>
      </w:tr>
      <w:tr>
        <w:trPr>
          <w:cantSplit/>
        </w:trPr>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NCMHCE candidate</w:t>
            </w:r>
          </w:p>
        </w:tc>
        <w:tc>
          <w:tcPr>
            <w:tcW w:type="dxa" w:w="44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 candidate whose eligibility is controlled by the relevant licensing or credentialing pathway.</w:t>
            </w:r>
          </w:p>
        </w:tc>
        <w:tc>
          <w:tcPr>
            <w:tcW w:type="dxa" w:w="42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Exam success does not itself create independent practice authority; the license must be issued before independent practice begins.</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FCE8E6"/>
            <w:tcBorders>
              <w:top w:val="single" w:sz="10" w:color="B94A48"/>
              <w:left w:val="single" w:sz="10" w:color="B94A48"/>
              <w:bottom w:val="single" w:sz="10" w:color="B94A48"/>
              <w:right w:val="single" w:sz="10" w:color="B94A48"/>
            </w:tcBorders>
            <w:tcMar>
              <w:top w:w="110" w:type="dxa"/>
              <w:start w:w="140" w:type="dxa"/>
              <w:bottom w:w="110" w:type="dxa"/>
              <w:end w:w="140" w:type="dxa"/>
            </w:tcMar>
          </w:tcPr>
          <w:p>
            <w:pPr>
              <w:spacing w:after="60"/>
            </w:pPr>
            <w:r>
              <w:rPr>
                <w:rFonts w:ascii="Arial" w:hAnsi="Arial" w:eastAsia="Arial"/>
                <w:b/>
                <w:color w:val="8B1E1E"/>
                <w:sz w:val="21"/>
              </w:rPr>
              <w:t>COMMON TRAP: CONFUSING EXAM ELIGIBILITY WITH LICENSURE</w:t>
            </w:r>
          </w:p>
          <w:p>
            <w:pPr>
              <w:spacing w:after="20" w:line="250" w:lineRule="auto"/>
            </w:pPr>
            <w:r>
              <w:rPr>
                <w:rFonts w:ascii="Arial" w:hAnsi="Arial" w:eastAsia="Arial"/>
                <w:color w:val="1F2937"/>
                <w:sz w:val="20"/>
              </w:rPr>
              <w:t>Passing the NCMHCE is a required step in California’s LPCC pathway, but an APCC does not become independently licensed until the Board issues the LPCC license.</w:t>
            </w:r>
          </w:p>
        </w:tc>
      </w:tr>
    </w:tbl>
    <w:p>
      <w:pPr>
        <w:spacing w:after="0"/>
      </w:pPr>
    </w:p>
    <w:p>
      <w:pPr>
        <w:pStyle w:val="Heading2"/>
        <w:spacing w:before="140" w:after="80"/>
        <w:keepNext/>
      </w:pPr>
      <w:r>
        <w:rPr>
          <w:rFonts w:ascii="Arial" w:hAnsi="Arial" w:eastAsia="Arial"/>
          <w:b/>
          <w:color w:val="159C9C"/>
          <w:sz w:val="26"/>
        </w:rPr>
        <w:t>Scope, Competence, and Status Are Different Questions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4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w:t>
            </w:r>
          </w:p>
        </w:tc>
        <w:tc>
          <w:tcPr>
            <w:tcW w:type="dxa" w:w="46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Meaning</w:t>
            </w:r>
          </w:p>
        </w:tc>
        <w:tc>
          <w:tcPr>
            <w:tcW w:type="dxa" w:w="338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Typical Response</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it within LPCC scope?</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California law authorize this type of professional clinical counseling activity?</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Proceed only if authorized; otherwise do not perform it.</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Am I competent?</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my education, training, supervised experience, current knowledge, and skills support this client, task, modality, and setting?</w:t>
            </w:r>
          </w:p>
        </w:tc>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Consult, train, modify, co-treat, or refer when competence is insufficient.</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my status allow it?</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May an APCC or LPCC perform the task in the present role, setting, and supervision structure?</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Follow supervision and licensure-status requirements.</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it clinically appropriate now?</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Even if allowed, is it the best next action for this client at this stage?</w:t>
            </w:r>
          </w:p>
        </w:tc>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assessment, proportionality, client preference, and safety to decide timing.</w:t>
            </w:r>
          </w:p>
        </w:tc>
      </w:tr>
    </w:tbl>
    <w:p>
      <w:pPr>
        <w:spacing w:after="0"/>
      </w:pPr>
    </w:p>
    <w:p>
      <w:pPr>
        <w:pStyle w:val="Heading2"/>
        <w:spacing w:before="140" w:after="80"/>
        <w:keepNext/>
      </w:pPr>
      <w:r>
        <w:rPr>
          <w:rFonts w:ascii="Arial" w:hAnsi="Arial" w:eastAsia="Arial"/>
          <w:b/>
          <w:color w:val="159C9C"/>
          <w:sz w:val="26"/>
        </w:rPr>
        <w:t>Role-Scope-Status Map</w:t>
      </w:r>
    </w:p>
    <w:p>
      <w:pPr>
        <w:spacing w:after="60" w:line="250" w:lineRule="auto"/>
        <w:keepLines/>
      </w:pPr>
      <w:r>
        <w:rPr>
          <w:rFonts w:ascii="Arial" w:hAnsi="Arial" w:eastAsia="Arial"/>
          <w:b/>
          <w:color w:val="17365D"/>
          <w:sz w:val="20"/>
        </w:rPr>
        <w:t xml:space="preserve">1.  </w:t>
      </w:r>
      <w:r>
        <w:rPr>
          <w:rFonts w:ascii="Arial" w:hAnsi="Arial" w:eastAsia="Arial"/>
          <w:sz w:val="20"/>
        </w:rPr>
        <w:t>Name the role you are being asked to perform: counselor, assessor, supervisor, consultant, advocate, evaluator, or another role.</w:t>
      </w:r>
    </w:p>
    <w:p>
      <w:pPr>
        <w:spacing w:after="60" w:line="250" w:lineRule="auto"/>
        <w:keepLines/>
      </w:pPr>
      <w:r>
        <w:rPr>
          <w:rFonts w:ascii="Arial" w:hAnsi="Arial" w:eastAsia="Arial"/>
          <w:b/>
          <w:color w:val="17365D"/>
          <w:sz w:val="20"/>
        </w:rPr>
        <w:t xml:space="preserve">2.  </w:t>
      </w:r>
      <w:r>
        <w:rPr>
          <w:rFonts w:ascii="Arial" w:hAnsi="Arial" w:eastAsia="Arial"/>
          <w:sz w:val="20"/>
        </w:rPr>
        <w:t>Confirm that the activity belongs within California LPCC scope.</w:t>
      </w:r>
    </w:p>
    <w:p>
      <w:pPr>
        <w:spacing w:after="60" w:line="250" w:lineRule="auto"/>
        <w:keepLines/>
      </w:pPr>
      <w:r>
        <w:rPr>
          <w:rFonts w:ascii="Arial" w:hAnsi="Arial" w:eastAsia="Arial"/>
          <w:b/>
          <w:color w:val="17365D"/>
          <w:sz w:val="20"/>
        </w:rPr>
        <w:t xml:space="preserve">3.  </w:t>
      </w:r>
      <w:r>
        <w:rPr>
          <w:rFonts w:ascii="Arial" w:hAnsi="Arial" w:eastAsia="Arial"/>
          <w:sz w:val="20"/>
        </w:rPr>
        <w:t>Confirm whether APCC or LPCC status and the current setting permit the activity.</w:t>
      </w:r>
    </w:p>
    <w:p>
      <w:pPr>
        <w:spacing w:after="60" w:line="250" w:lineRule="auto"/>
        <w:keepLines/>
      </w:pPr>
      <w:r>
        <w:rPr>
          <w:rFonts w:ascii="Arial" w:hAnsi="Arial" w:eastAsia="Arial"/>
          <w:b/>
          <w:color w:val="17365D"/>
          <w:sz w:val="20"/>
        </w:rPr>
        <w:t xml:space="preserve">4.  </w:t>
      </w:r>
      <w:r>
        <w:rPr>
          <w:rFonts w:ascii="Arial" w:hAnsi="Arial" w:eastAsia="Arial"/>
          <w:sz w:val="20"/>
        </w:rPr>
        <w:t>Assess your personal competence for the client, task, population, modality, culture, technology, and level of risk.</w:t>
      </w:r>
    </w:p>
    <w:p>
      <w:pPr>
        <w:spacing w:after="60" w:line="250" w:lineRule="auto"/>
        <w:keepLines/>
      </w:pPr>
      <w:r>
        <w:rPr>
          <w:rFonts w:ascii="Arial" w:hAnsi="Arial" w:eastAsia="Arial"/>
          <w:b/>
          <w:color w:val="17365D"/>
          <w:sz w:val="20"/>
        </w:rPr>
        <w:t xml:space="preserve">5.  </w:t>
      </w:r>
      <w:r>
        <w:rPr>
          <w:rFonts w:ascii="Arial" w:hAnsi="Arial" w:eastAsia="Arial"/>
          <w:sz w:val="20"/>
        </w:rPr>
        <w:t>Choose the next protective action: proceed, seek supervision, seek consultation, obtain training, collaborate, modify the service, or refer.</w:t>
      </w:r>
    </w:p>
    <w:p>
      <w:pPr>
        <w:pStyle w:val="Heading2"/>
        <w:spacing w:before="140" w:after="80"/>
        <w:keepNext/>
      </w:pPr>
      <w:r>
        <w:rPr>
          <w:rFonts w:ascii="Arial" w:hAnsi="Arial" w:eastAsia="Arial"/>
          <w:b/>
          <w:color w:val="159C9C"/>
          <w:sz w:val="26"/>
        </w:rPr>
        <w:t>Clinical Application: Independent-Practice Request</w:t>
      </w:r>
    </w:p>
    <w:p>
      <w:pPr>
        <w:spacing w:before="0" w:after="100" w:line="254" w:lineRule="auto"/>
      </w:pPr>
      <w:r>
        <w:rPr>
          <w:rFonts w:ascii="Arial" w:hAnsi="Arial" w:eastAsia="Arial"/>
          <w:b w:val="0"/>
          <w:i w:val="0"/>
          <w:color w:val="1F2937"/>
          <w:sz w:val="20"/>
        </w:rPr>
        <w:t>A newly registered APCC is asked by a community organization to advertise private counseling sessions under the APCC’s own business name. The organization says that a licensed clinician can “be available by phone” if questions arise.</w:t>
      </w:r>
    </w:p>
    <w:p>
      <w:pPr>
        <w:spacing w:before="0" w:after="100" w:line="254" w:lineRule="auto"/>
      </w:pPr>
      <w:r>
        <w:rPr>
          <w:rFonts w:ascii="Arial" w:hAnsi="Arial" w:eastAsia="Arial"/>
          <w:b/>
          <w:i w:val="0"/>
          <w:color w:val="17365D"/>
          <w:sz w:val="20"/>
        </w:rPr>
        <w:t>What is the strongest initial response?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Option</w:t>
            </w:r>
          </w:p>
        </w:tc>
        <w:tc>
          <w:tcPr>
            <w:tcW w:type="dxa" w:w="95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Response</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Accept because the APCC has a registration number and a master’s degree.</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Accept if the APCC limits services to low-risk clients.</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Decline the independent arrangement and verify a lawful employment and supervision structure before providing services.</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Accept after adding “associate” to the advertisement.</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BEST REASONING</w:t>
            </w:r>
          </w:p>
          <w:p>
            <w:pPr>
              <w:spacing w:after="20" w:line="250" w:lineRule="auto"/>
            </w:pPr>
            <w:r>
              <w:rPr>
                <w:rFonts w:ascii="Arial" w:hAnsi="Arial" w:eastAsia="Arial"/>
                <w:color w:val="1F2937"/>
                <w:sz w:val="20"/>
              </w:rPr>
              <w:t>C. Registration allows supervised associate practice; it does not authorize independent practice. Changing the label or selecting lower-risk clients does not correct the structural problem.</w:t>
            </w:r>
          </w:p>
        </w:tc>
      </w:tr>
    </w:tbl>
    <w:p>
      <w:pPr>
        <w:spacing w:after="0"/>
      </w:pPr>
    </w:p>
    <w:p>
      <w:pPr>
        <w:pStyle w:val="Heading2"/>
        <w:spacing w:before="140" w:after="80"/>
        <w:keepNext/>
      </w:pPr>
      <w:r>
        <w:rPr>
          <w:rFonts w:ascii="Arial" w:hAnsi="Arial" w:eastAsia="Arial"/>
          <w:b/>
          <w:color w:val="159C9C"/>
          <w:sz w:val="26"/>
        </w:rPr>
        <w:t>Chapter 1 Summary</w:t>
      </w:r>
    </w:p>
    <w:p>
      <w:pPr>
        <w:pStyle w:val="ListBullet"/>
        <w:spacing w:after="50" w:line="250" w:lineRule="auto"/>
        <w:keepLines/>
      </w:pPr>
      <w:r>
        <w:rPr>
          <w:rFonts w:ascii="Arial" w:hAnsi="Arial" w:eastAsia="Arial"/>
          <w:color w:val="1F2937"/>
          <w:sz w:val="20"/>
        </w:rPr>
        <w:t>Professional clinical counseling is a mental-health service grounded in counseling interventions, psychotherapy, development, wellness, and a professional counseling relationship.</w:t>
      </w:r>
    </w:p>
    <w:p>
      <w:pPr>
        <w:pStyle w:val="ListBullet"/>
        <w:spacing w:after="50" w:line="250" w:lineRule="auto"/>
        <w:keepLines/>
      </w:pPr>
      <w:r>
        <w:rPr>
          <w:rFonts w:ascii="Arial" w:hAnsi="Arial" w:eastAsia="Arial"/>
          <w:color w:val="1F2937"/>
          <w:sz w:val="20"/>
        </w:rPr>
        <w:t>California LPCC assessment is tied to counseling goals and has explicit exclusions.</w:t>
      </w:r>
    </w:p>
    <w:p>
      <w:pPr>
        <w:pStyle w:val="ListBullet"/>
        <w:spacing w:after="50" w:line="250" w:lineRule="auto"/>
        <w:keepLines/>
      </w:pPr>
      <w:r>
        <w:rPr>
          <w:rFonts w:ascii="Arial" w:hAnsi="Arial" w:eastAsia="Arial"/>
          <w:color w:val="1F2937"/>
          <w:sz w:val="20"/>
        </w:rPr>
        <w:t>Scope, competence, professional status, and clinical appropriateness are related but distinct questions.</w:t>
      </w:r>
    </w:p>
    <w:p>
      <w:pPr>
        <w:pStyle w:val="ListBullet"/>
        <w:spacing w:after="50" w:line="250" w:lineRule="auto"/>
        <w:keepLines/>
      </w:pPr>
      <w:r>
        <w:rPr>
          <w:rFonts w:ascii="Arial" w:hAnsi="Arial" w:eastAsia="Arial"/>
          <w:color w:val="1F2937"/>
          <w:sz w:val="20"/>
        </w:rPr>
        <w:t>APCC practice is supervised; independent practice begins only after the LPCC license is issued.</w:t>
      </w:r>
    </w:p>
    <w:p>
      <w:pPr>
        <w:pStyle w:val="ListBullet"/>
        <w:spacing w:after="50" w:line="250" w:lineRule="auto"/>
        <w:keepLines/>
      </w:pPr>
      <w:r>
        <w:rPr>
          <w:rFonts w:ascii="Arial" w:hAnsi="Arial" w:eastAsia="Arial"/>
          <w:color w:val="1F2937"/>
          <w:sz w:val="20"/>
        </w:rPr>
        <w:t>The strongest answer preserves role clarity and protects the client before moving to technique.</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2</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Competence, Assessment Limits, and Referral</w:t>
            </w:r>
          </w:p>
        </w:tc>
        <w:trPr>
          <w:tblHeader/>
        </w:trPr>
      </w:tr>
    </w:tbl>
    <w:p>
      <w:pPr>
        <w:spacing w:before="100" w:after="180"/>
      </w:pPr>
      <w:r>
        <w:rPr>
          <w:rFonts w:ascii="Arial" w:hAnsi="Arial" w:eastAsia="Arial"/>
          <w:i/>
          <w:color w:val="4E5B6B"/>
          <w:sz w:val="21"/>
        </w:rPr>
        <w:t>A task can be legally within the profession’s scope and still be outside one counselor’s competence.</w:t>
      </w:r>
    </w:p>
    <w:tbl>
      <w:tblPr>
        <w:tblW w:type="auto" w:w="0"/>
        <w:jc w:val="center"/>
        <w:tblLook w:firstColumn="1" w:firstRow="1" w:lastColumn="0" w:lastRow="0" w:noHBand="0" w:noVBand="1" w:val="04A0"/>
      </w:tblPr>
      <w:tblGrid>
        <w:gridCol w:w="10310"/>
      </w:tblGrid>
      <w:tr>
        <w:trPr>
          <w:cantSplit/>
          <w:tblHeader/>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Competence is specific to the client, task, modality, population, culture, setting, technology, and risk—not a permanent global trait.</w:t>
            </w:r>
          </w:p>
        </w:tc>
      </w:tr>
    </w:tbl>
    <w:p>
      <w:pPr>
        <w:spacing w:after="0"/>
      </w:pPr>
    </w:p>
    <w:p>
      <w:pPr>
        <w:pStyle w:val="Heading2"/>
        <w:spacing w:before="140" w:after="80"/>
        <w:keepNext/>
      </w:pPr>
      <w:r>
        <w:rPr>
          <w:rFonts w:ascii="Arial" w:hAnsi="Arial" w:eastAsia="Arial"/>
          <w:b/>
          <w:color w:val="159C9C"/>
          <w:sz w:val="26"/>
        </w:rPr>
        <w:t>The Competence Question</w:t>
      </w:r>
    </w:p>
    <w:p>
      <w:pPr>
        <w:spacing w:before="0" w:after="100" w:line="254" w:lineRule="auto"/>
      </w:pPr>
      <w:r>
        <w:rPr>
          <w:rFonts w:ascii="Arial" w:hAnsi="Arial" w:eastAsia="Arial"/>
          <w:b w:val="0"/>
          <w:i w:val="0"/>
          <w:color w:val="1F2937"/>
          <w:sz w:val="20"/>
        </w:rPr>
        <w:t>A degree, registration, license, or past training does not automatically establish competence for every service. On the exam, determine whether the counselor has enough current preparation and support for the exact work requested. A strong answer often uses supervision or consultation before action, or referral when the client’s needs exceed the counselor’s education, training, and experience.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5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Competence Dimension</w:t>
            </w:r>
          </w:p>
        </w:tc>
        <w:tc>
          <w:tcPr>
            <w:tcW w:type="dxa" w:w="79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Questions to Ask</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Education and training</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Was the counselor prepared for this task or population through relevant coursework, supervised practice, and structured training?</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Experience and currency</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Has the counselor performed the work recently and kept knowledge current?</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and population fit</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the counselor understand the client’s developmental, cultural, disability, language, diagnostic, and contextual needs?</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Modality and setting</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counselor competent in the intervention, group/family format, telehealth context, emergency procedures, and level of care?</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Assessment competence</w:t>
            </w:r>
          </w:p>
        </w:tc>
        <w:tc>
          <w:tcPr>
            <w:tcW w:type="dxa" w:w="79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the counselor select, administer, score, interpret, and communicate the instrument appropriately?</w:t>
            </w:r>
          </w:p>
        </w:tc>
      </w:tr>
      <w:tr>
        <w:trPr>
          <w:cantSplit/>
        </w:trPr>
        <w:tc>
          <w:tcPr>
            <w:tcW w:type="dxa" w:w="25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Risk and complexity</w:t>
            </w:r>
          </w:p>
        </w:tc>
        <w:tc>
          <w:tcPr>
            <w:tcW w:type="dxa" w:w="79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the case require specialized medical, psychological, neuropsychological, substance-use, trauma, eating-disorder, or other expertise?</w:t>
            </w:r>
          </w:p>
        </w:tc>
      </w:tr>
    </w:tbl>
    <w:p>
      <w:pPr>
        <w:spacing w:after="0"/>
      </w:pPr>
    </w:p>
    <w:p>
      <w:pPr>
        <w:pStyle w:val="Heading2"/>
        <w:spacing w:before="140" w:after="80"/>
        <w:keepNext/>
      </w:pPr>
      <w:r>
        <w:rPr>
          <w:rFonts w:ascii="Arial" w:hAnsi="Arial" w:eastAsia="Arial"/>
          <w:b/>
          <w:color w:val="159C9C"/>
          <w:sz w:val="26"/>
        </w:rPr>
        <w:t>California Assessment: Permitted Purpose and Explicit Exclusions</w:t>
      </w:r>
    </w:p>
    <w:p>
      <w:pPr>
        <w:spacing w:before="0" w:after="100" w:line="254" w:lineRule="auto"/>
      </w:pPr>
      <w:r>
        <w:rPr>
          <w:rFonts w:ascii="Arial" w:hAnsi="Arial" w:eastAsia="Arial"/>
          <w:b w:val="0"/>
          <w:i w:val="0"/>
          <w:color w:val="1F2937"/>
          <w:sz w:val="20"/>
        </w:rPr>
        <w:t>California permits LPCC assessment as part of the counseling process, including selecting, administering, scoring, and interpreting appropriate tests, instruments, tools, and methods. The purpose is to understand functioning and support counseling goals. The law also names assessment activities that are excluded from LPCC scope.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52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Generally Within LPCC Assessment Scope When Competent</w:t>
            </w:r>
          </w:p>
        </w:tc>
        <w:tc>
          <w:tcPr>
            <w:tcW w:type="dxa" w:w="52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Excluded by California LPCC Statute</w:t>
            </w:r>
          </w:p>
        </w:tc>
      </w:tr>
      <w:tr>
        <w:trPr>
          <w:cantSplit/>
        </w:trPr>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interview, mental status information, functional assessment, symptom screening, risk assessment, strengths and needs assessment, and appropriate counseling-related instruments.</w:t>
            </w:r>
          </w:p>
        </w:tc>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Projective personality techniques.</w:t>
            </w:r>
          </w:p>
        </w:tc>
      </w:tr>
      <w:tr>
        <w:trPr>
          <w:cantSplit/>
        </w:trPr>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Appropriate measures of attitudes, abilities, aptitudes, achievements, interests, personal characteristics, disabilities, and mental, emotional, behavioral, or developmental concerns.</w:t>
            </w:r>
          </w:p>
        </w:tc>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Individually administered intelligence tests.</w:t>
            </w:r>
          </w:p>
        </w:tc>
      </w:tr>
      <w:tr>
        <w:trPr>
          <w:cantSplit/>
        </w:trPr>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Interpretation and discussion of appropriate findings to guide counseling goals, treatment planning, referral, and progress monitoring.</w:t>
            </w:r>
          </w:p>
        </w:tc>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Neuropsychological testing.</w:t>
            </w:r>
          </w:p>
        </w:tc>
      </w:tr>
      <w:tr>
        <w:trPr>
          <w:cantSplit/>
        </w:trPr>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of data within the counselor’s education, training, experience, instrument qualifications, and cultural-developmental competence.</w:t>
            </w:r>
          </w:p>
        </w:tc>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battery of three or more tests used to determine psychosis, dementia, amnesia, cognitive impairment, or criminal behavior.</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FCE8E6"/>
            <w:tcBorders>
              <w:top w:val="single" w:sz="10" w:color="B94A48"/>
              <w:left w:val="single" w:sz="10" w:color="B94A48"/>
              <w:bottom w:val="single" w:sz="10" w:color="B94A48"/>
              <w:right w:val="single" w:sz="10" w:color="B94A48"/>
            </w:tcBorders>
            <w:tcMar>
              <w:top w:w="110" w:type="dxa"/>
              <w:start w:w="140" w:type="dxa"/>
              <w:bottom w:w="110" w:type="dxa"/>
              <w:end w:w="140" w:type="dxa"/>
            </w:tcMar>
          </w:tcPr>
          <w:p>
            <w:pPr>
              <w:spacing w:after="60"/>
            </w:pPr>
            <w:r>
              <w:rPr>
                <w:rFonts w:ascii="Arial" w:hAnsi="Arial" w:eastAsia="Arial"/>
                <w:b/>
                <w:color w:val="8B1E1E"/>
                <w:sz w:val="21"/>
              </w:rPr>
              <w:t>COMMON TRAP: “THE TEST IS COMMON, SO I CAN USE IT”</w:t>
            </w:r>
          </w:p>
          <w:p>
            <w:pPr>
              <w:spacing w:after="20" w:line="250" w:lineRule="auto"/>
            </w:pPr>
            <w:r>
              <w:rPr>
                <w:rFonts w:ascii="Arial" w:hAnsi="Arial" w:eastAsia="Arial"/>
                <w:color w:val="1F2937"/>
                <w:sz w:val="20"/>
              </w:rPr>
              <w:t>Popularity does not establish competence. The counselor must understand the purpose, qualifications, psychometrics, cultural and developmental limits, administration, scoring, interpretation, and consequences of use.</w:t>
            </w:r>
          </w:p>
        </w:tc>
      </w:tr>
    </w:tbl>
    <w:p>
      <w:pPr>
        <w:spacing w:after="0"/>
      </w:pPr>
    </w:p>
    <w:p>
      <w:pPr>
        <w:pStyle w:val="Heading2"/>
        <w:spacing w:before="140" w:after="80"/>
        <w:keepNext/>
      </w:pPr>
      <w:r>
        <w:rPr>
          <w:rFonts w:ascii="Arial" w:hAnsi="Arial" w:eastAsia="Arial"/>
          <w:b/>
          <w:color w:val="159C9C"/>
          <w:sz w:val="26"/>
        </w:rPr>
        <w:t>The SCOPE Decision Check</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51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Letter</w:t>
            </w:r>
          </w:p>
        </w:tc>
        <w:tc>
          <w:tcPr>
            <w:tcW w:type="dxa" w:w="46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w:t>
            </w:r>
          </w:p>
        </w:tc>
        <w:tc>
          <w:tcPr>
            <w:tcW w:type="dxa" w:w="43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Protective Action</w:t>
            </w:r>
          </w:p>
        </w:tc>
      </w:tr>
      <w:tr>
        <w:trPr>
          <w:cantSplit/>
        </w:trPr>
        <w:tc>
          <w:tcPr>
            <w:tcW w:type="dxa" w:w="15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Statutory authority</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service within California LPCC scope and allowed by my current status?</w:t>
            </w:r>
          </w:p>
        </w:tc>
        <w:tc>
          <w:tcPr>
            <w:tcW w:type="dxa" w:w="43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not perform a prohibited or unauthorized activity.</w:t>
            </w:r>
          </w:p>
        </w:tc>
      </w:tr>
      <w:tr>
        <w:trPr>
          <w:cantSplit/>
        </w:trPr>
        <w:tc>
          <w:tcPr>
            <w:tcW w:type="dxa" w:w="15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 - Competence</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my education, training, experience, current knowledge, and instrument qualifications support this task?</w:t>
            </w:r>
          </w:p>
        </w:tc>
        <w:tc>
          <w:tcPr>
            <w:tcW w:type="dxa" w:w="43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Seek supervision, consultation, training, collaboration, or referral.</w:t>
            </w:r>
          </w:p>
        </w:tc>
      </w:tr>
      <w:tr>
        <w:trPr>
          <w:cantSplit/>
        </w:trPr>
        <w:tc>
          <w:tcPr>
            <w:tcW w:type="dxa" w:w="15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 - Objective and client fit</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Will this service answer a relevant clinical question and fit the client’s culture, development, language, disability, values, and goals?</w:t>
            </w:r>
          </w:p>
        </w:tc>
        <w:tc>
          <w:tcPr>
            <w:tcW w:type="dxa" w:w="43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Select or adapt the service; avoid unnecessary testing.</w:t>
            </w:r>
          </w:p>
        </w:tc>
      </w:tr>
      <w:tr>
        <w:trPr>
          <w:cantSplit/>
        </w:trPr>
        <w:tc>
          <w:tcPr>
            <w:tcW w:type="dxa" w:w="151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 - Protection and proportionality</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risk could occur if I proceed, delay, or refer?</w:t>
            </w:r>
          </w:p>
        </w:tc>
        <w:tc>
          <w:tcPr>
            <w:tcW w:type="dxa" w:w="43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Stabilize urgent needs; use the least harmful effective response.</w:t>
            </w:r>
          </w:p>
        </w:tc>
      </w:tr>
      <w:tr>
        <w:trPr>
          <w:cantSplit/>
        </w:trPr>
        <w:tc>
          <w:tcPr>
            <w:tcW w:type="dxa" w:w="15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Escalate or refer</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the client require a specialist or level of expertise I cannot provide?</w:t>
            </w:r>
          </w:p>
        </w:tc>
        <w:tc>
          <w:tcPr>
            <w:tcW w:type="dxa" w:w="43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Coordinate a supported referral and avoid abandonment.</w:t>
            </w:r>
          </w:p>
        </w:tc>
      </w:tr>
    </w:tbl>
    <w:p>
      <w:pPr>
        <w:spacing w:after="0"/>
      </w:pPr>
    </w:p>
    <w:p>
      <w:pPr>
        <w:pStyle w:val="Heading2"/>
        <w:spacing w:before="140" w:after="80"/>
        <w:keepNext/>
      </w:pPr>
      <w:r>
        <w:rPr>
          <w:rFonts w:ascii="Arial" w:hAnsi="Arial" w:eastAsia="Arial"/>
          <w:b/>
          <w:color w:val="159C9C"/>
          <w:sz w:val="26"/>
        </w:rPr>
        <w:t>Referral Is a Clinical Intervention, Not a Rejection</w:t>
      </w:r>
    </w:p>
    <w:p>
      <w:pPr>
        <w:spacing w:before="0" w:after="100" w:line="254" w:lineRule="auto"/>
      </w:pPr>
      <w:r>
        <w:rPr>
          <w:rFonts w:ascii="Arial" w:hAnsi="Arial" w:eastAsia="Arial"/>
          <w:b w:val="0"/>
          <w:i w:val="0"/>
          <w:color w:val="1F2937"/>
          <w:sz w:val="20"/>
        </w:rPr>
        <w:t>California requires professional clinical counselors to refer clients to other licensed health care professionals when needs exceed their education, training, and experience. A clinically sound referral preserves continuity and the therapeutic alliance whenever possible.</w:t>
      </w:r>
    </w:p>
    <w:p>
      <w:pPr>
        <w:spacing w:after="60" w:line="250" w:lineRule="auto"/>
        <w:keepLines/>
      </w:pPr>
      <w:r>
        <w:rPr>
          <w:rFonts w:ascii="Arial" w:hAnsi="Arial" w:eastAsia="Arial"/>
          <w:b/>
          <w:color w:val="17365D"/>
          <w:sz w:val="20"/>
        </w:rPr>
        <w:t xml:space="preserve">1.  </w:t>
      </w:r>
      <w:r>
        <w:rPr>
          <w:rFonts w:ascii="Arial" w:hAnsi="Arial" w:eastAsia="Arial"/>
          <w:sz w:val="20"/>
        </w:rPr>
        <w:t>Explain the competence or service-fit concern without shaming or abandoning the client.</w:t>
      </w:r>
    </w:p>
    <w:p>
      <w:pPr>
        <w:spacing w:after="60" w:line="250" w:lineRule="auto"/>
        <w:keepLines/>
      </w:pPr>
      <w:r>
        <w:rPr>
          <w:rFonts w:ascii="Arial" w:hAnsi="Arial" w:eastAsia="Arial"/>
          <w:b/>
          <w:color w:val="17365D"/>
          <w:sz w:val="20"/>
        </w:rPr>
        <w:t xml:space="preserve">2.  </w:t>
      </w:r>
      <w:r>
        <w:rPr>
          <w:rFonts w:ascii="Arial" w:hAnsi="Arial" w:eastAsia="Arial"/>
          <w:sz w:val="20"/>
        </w:rPr>
        <w:t>Address immediate safety and stabilization needs before transfer when required.</w:t>
      </w:r>
    </w:p>
    <w:p>
      <w:pPr>
        <w:spacing w:after="60" w:line="250" w:lineRule="auto"/>
        <w:keepLines/>
      </w:pPr>
      <w:r>
        <w:rPr>
          <w:rFonts w:ascii="Arial" w:hAnsi="Arial" w:eastAsia="Arial"/>
          <w:b/>
          <w:color w:val="17365D"/>
          <w:sz w:val="20"/>
        </w:rPr>
        <w:t xml:space="preserve">3.  </w:t>
      </w:r>
      <w:r>
        <w:rPr>
          <w:rFonts w:ascii="Arial" w:hAnsi="Arial" w:eastAsia="Arial"/>
          <w:sz w:val="20"/>
        </w:rPr>
        <w:t>Discuss options and obtain appropriate authorization for coordination.</w:t>
      </w:r>
    </w:p>
    <w:p>
      <w:pPr>
        <w:spacing w:after="60" w:line="250" w:lineRule="auto"/>
        <w:keepLines/>
      </w:pPr>
      <w:r>
        <w:rPr>
          <w:rFonts w:ascii="Arial" w:hAnsi="Arial" w:eastAsia="Arial"/>
          <w:b/>
          <w:color w:val="17365D"/>
          <w:sz w:val="20"/>
        </w:rPr>
        <w:t xml:space="preserve">4.  </w:t>
      </w:r>
      <w:r>
        <w:rPr>
          <w:rFonts w:ascii="Arial" w:hAnsi="Arial" w:eastAsia="Arial"/>
          <w:sz w:val="20"/>
        </w:rPr>
        <w:t>Provide realistic specialist or community-resource options rather than a vague instruction to “find someone else.”</w:t>
      </w:r>
    </w:p>
    <w:p>
      <w:pPr>
        <w:spacing w:after="60" w:line="250" w:lineRule="auto"/>
        <w:keepLines/>
      </w:pPr>
      <w:r>
        <w:rPr>
          <w:rFonts w:ascii="Arial" w:hAnsi="Arial" w:eastAsia="Arial"/>
          <w:b/>
          <w:color w:val="17365D"/>
          <w:sz w:val="20"/>
        </w:rPr>
        <w:t xml:space="preserve">5.  </w:t>
      </w:r>
      <w:r>
        <w:rPr>
          <w:rFonts w:ascii="Arial" w:hAnsi="Arial" w:eastAsia="Arial"/>
          <w:sz w:val="20"/>
        </w:rPr>
        <w:t>Continue appropriate support during transition when clinically indicated and legally permissible.</w:t>
      </w:r>
    </w:p>
    <w:p>
      <w:pPr>
        <w:spacing w:after="60" w:line="250" w:lineRule="auto"/>
        <w:keepLines/>
      </w:pPr>
      <w:r>
        <w:rPr>
          <w:rFonts w:ascii="Arial" w:hAnsi="Arial" w:eastAsia="Arial"/>
          <w:b/>
          <w:color w:val="17365D"/>
          <w:sz w:val="20"/>
        </w:rPr>
        <w:t xml:space="preserve">6.  </w:t>
      </w:r>
      <w:r>
        <w:rPr>
          <w:rFonts w:ascii="Arial" w:hAnsi="Arial" w:eastAsia="Arial"/>
          <w:sz w:val="20"/>
        </w:rPr>
        <w:t>Document the reasoning, consultation, options, client response, and transition plan.</w:t>
      </w:r>
    </w:p>
    <w:p>
      <w:pPr>
        <w:pStyle w:val="Heading2"/>
        <w:spacing w:before="140" w:after="80"/>
        <w:keepNext/>
      </w:pPr>
      <w:r>
        <w:rPr>
          <w:rFonts w:ascii="Arial" w:hAnsi="Arial" w:eastAsia="Arial"/>
          <w:b/>
          <w:color w:val="159C9C"/>
          <w:sz w:val="26"/>
        </w:rPr>
        <w:t>Clinical Application: Specialized Testing Request</w:t>
      </w:r>
    </w:p>
    <w:p>
      <w:pPr>
        <w:spacing w:before="0" w:after="100" w:line="254" w:lineRule="auto"/>
      </w:pPr>
      <w:r>
        <w:rPr>
          <w:rFonts w:ascii="Arial" w:hAnsi="Arial" w:eastAsia="Arial"/>
          <w:b w:val="0"/>
          <w:i w:val="0"/>
          <w:color w:val="1F2937"/>
          <w:sz w:val="20"/>
        </w:rPr>
        <w:t>A client reports worsening memory after a head injury. The counselor’s employer asks the counselor to administer a neuropsychological battery and determine whether the client has cognitive impairment. The counselor has no neuropsychological training.</w:t>
      </w:r>
    </w:p>
    <w:p>
      <w:pPr>
        <w:spacing w:before="0" w:after="100" w:line="254" w:lineRule="auto"/>
      </w:pPr>
      <w:r>
        <w:rPr>
          <w:rFonts w:ascii="Arial" w:hAnsi="Arial" w:eastAsia="Arial"/>
          <w:b/>
          <w:i w:val="0"/>
          <w:color w:val="17365D"/>
          <w:sz w:val="20"/>
        </w:rPr>
        <w:t>What should the counselor do?</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Option</w:t>
            </w:r>
          </w:p>
        </w:tc>
        <w:tc>
          <w:tcPr>
            <w:tcW w:type="dxa" w:w="95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Response</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Administer the battery because the employer requested it.</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Use only two neuropsychological tests so the statutory battery limit does not apply.</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Conduct an appropriate counseling assessment of current functioning and risk, consult as needed, and refer for qualified medical or neuropsychological evaluation.</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Avoid discussing the memory concern because it is outside counseling.</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BEST REASONING</w:t>
            </w:r>
          </w:p>
          <w:p>
            <w:pPr>
              <w:spacing w:after="20" w:line="250" w:lineRule="auto"/>
            </w:pPr>
            <w:r>
              <w:rPr>
                <w:rFonts w:ascii="Arial" w:hAnsi="Arial" w:eastAsia="Arial"/>
                <w:color w:val="1F2937"/>
                <w:sz w:val="20"/>
              </w:rPr>
              <w:t>C. Neuropsychological testing is excluded from California LPCC assessment scope. The counselor can still assess counseling-relevant functioning, address emotional impact, coordinate care, and refer appropriately.</w:t>
            </w:r>
          </w:p>
        </w:tc>
      </w:tr>
    </w:tbl>
    <w:p>
      <w:pPr>
        <w:spacing w:after="0"/>
      </w:pPr>
    </w:p>
    <w:p>
      <w:pPr>
        <w:pStyle w:val="Heading2"/>
        <w:spacing w:before="140" w:after="80"/>
        <w:keepNext/>
      </w:pPr>
      <w:r>
        <w:rPr>
          <w:rFonts w:ascii="Arial" w:hAnsi="Arial" w:eastAsia="Arial"/>
          <w:b/>
          <w:color w:val="159C9C"/>
          <w:sz w:val="26"/>
        </w:rPr>
        <w:t>Competence and Referral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74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7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My Notes</w:t>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Requested service or decision</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Scope and status authority</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Education, training, experience, and current knowledge</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 culture, development, disability, language, and context</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Assessment or modality qualifications</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Risk of proceeding, delaying, or referring</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Supervision or consultation needed</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7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Referral or coordination plan</w:t>
            </w:r>
          </w:p>
        </w:tc>
        <w:tc>
          <w:tcPr>
            <w:tcW w:type="dxa" w:w="67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2 Summary</w:t>
      </w:r>
    </w:p>
    <w:p>
      <w:pPr>
        <w:pStyle w:val="ListBullet"/>
        <w:spacing w:after="50" w:line="250" w:lineRule="auto"/>
        <w:keepLines/>
      </w:pPr>
      <w:r>
        <w:rPr>
          <w:rFonts w:ascii="Arial" w:hAnsi="Arial" w:eastAsia="Arial"/>
          <w:color w:val="1F2937"/>
          <w:sz w:val="20"/>
        </w:rPr>
        <w:t>Scope identifies what the profession may do; competence identifies what this counselor can do safely now.</w:t>
      </w:r>
    </w:p>
    <w:p>
      <w:pPr>
        <w:pStyle w:val="ListBullet"/>
        <w:spacing w:after="50" w:line="250" w:lineRule="auto"/>
        <w:keepLines/>
      </w:pPr>
      <w:r>
        <w:rPr>
          <w:rFonts w:ascii="Arial" w:hAnsi="Arial" w:eastAsia="Arial"/>
          <w:color w:val="1F2937"/>
          <w:sz w:val="20"/>
        </w:rPr>
        <w:t>Assessment requires purpose, qualifications, psychometric understanding, and cultural-developmental fit.</w:t>
      </w:r>
    </w:p>
    <w:p>
      <w:pPr>
        <w:pStyle w:val="ListBullet"/>
        <w:spacing w:after="50" w:line="250" w:lineRule="auto"/>
        <w:keepLines/>
      </w:pPr>
      <w:r>
        <w:rPr>
          <w:rFonts w:ascii="Arial" w:hAnsi="Arial" w:eastAsia="Arial"/>
          <w:color w:val="1F2937"/>
          <w:sz w:val="20"/>
        </w:rPr>
        <w:t>California excludes projective personality testing, individually administered intelligence testing, neuropsychological testing, and specified multi-test batteries from LPCC assessment scope.</w:t>
      </w:r>
    </w:p>
    <w:p>
      <w:pPr>
        <w:pStyle w:val="ListBullet"/>
        <w:spacing w:after="50" w:line="250" w:lineRule="auto"/>
        <w:keepLines/>
      </w:pPr>
      <w:r>
        <w:rPr>
          <w:rFonts w:ascii="Arial" w:hAnsi="Arial" w:eastAsia="Arial"/>
          <w:color w:val="1F2937"/>
          <w:sz w:val="20"/>
        </w:rPr>
        <w:t>Referral is indicated when needs exceed education, training, or experience and should protect continuity of care.</w:t>
      </w:r>
    </w:p>
    <w:p>
      <w:pPr>
        <w:pStyle w:val="ListBullet"/>
        <w:spacing w:after="50" w:line="250" w:lineRule="auto"/>
        <w:keepLines/>
      </w:pPr>
      <w:r>
        <w:rPr>
          <w:rFonts w:ascii="Arial" w:hAnsi="Arial" w:eastAsia="Arial"/>
          <w:color w:val="1F2937"/>
          <w:sz w:val="20"/>
        </w:rPr>
        <w:t>SCOPE keeps authority, competence, fit, protection, and escalation in the correct order.</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3</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Counselor-Client Fit, Boundaries, and Power</w:t>
            </w:r>
          </w:p>
        </w:tc>
        <w:trPr>
          <w:tblHeader/>
        </w:trPr>
      </w:tr>
    </w:tbl>
    <w:p>
      <w:pPr>
        <w:spacing w:before="100" w:after="180"/>
      </w:pPr>
      <w:r>
        <w:rPr>
          <w:rFonts w:ascii="Arial" w:hAnsi="Arial" w:eastAsia="Arial"/>
          <w:i/>
          <w:color w:val="4E5B6B"/>
          <w:sz w:val="21"/>
        </w:rPr>
        <w:t>The therapeutic relationship is clinically useful because it is professional, purposeful, and structured—not because it is informal or equal in power.</w:t>
      </w:r>
    </w:p>
    <w:tbl>
      <w:tblPr>
        <w:tblW w:type="auto" w:w="0"/>
        <w:jc w:val="center"/>
        <w:tblLook w:firstColumn="1" w:firstRow="1" w:lastColumn="0" w:lastRow="0" w:noHBand="0" w:noVBand="1" w:val="04A0"/>
      </w:tblPr>
      <w:tblGrid>
        <w:gridCol w:w="10310"/>
      </w:tblGrid>
      <w:tr>
        <w:trPr>
          <w:cantSplit/>
          <w:tblHeader/>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Counselor-client suitability is an ongoing clinical judgment involving competence, availability, conflicts, sociocultural fit, boundaries, and the counselor’s emotional impact on the work.</w:t>
            </w:r>
          </w:p>
        </w:tc>
      </w:tr>
    </w:tbl>
    <w:p>
      <w:pPr>
        <w:spacing w:after="0"/>
      </w:pPr>
    </w:p>
    <w:p>
      <w:pPr>
        <w:pStyle w:val="Heading2"/>
        <w:spacing w:before="140" w:after="80"/>
        <w:keepNext/>
      </w:pPr>
      <w:r>
        <w:rPr>
          <w:rFonts w:ascii="Arial" w:hAnsi="Arial" w:eastAsia="Arial"/>
          <w:b/>
          <w:color w:val="159C9C"/>
          <w:sz w:val="26"/>
        </w:rPr>
        <w:t>Counselor-Client Suitability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52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Fit Dimension</w:t>
            </w:r>
          </w:p>
        </w:tc>
        <w:tc>
          <w:tcPr>
            <w:tcW w:type="dxa" w:w="79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Questions</w:t>
            </w:r>
          </w:p>
        </w:tc>
      </w:tr>
      <w:tr>
        <w:trPr>
          <w:cantSplit/>
        </w:trPr>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competence</w:t>
            </w:r>
          </w:p>
        </w:tc>
        <w:tc>
          <w:tcPr>
            <w:tcW w:type="dxa" w:w="79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I have the skills, experience, supervision, and resources needed for the presenting concerns and level of risk?</w:t>
            </w:r>
          </w:p>
        </w:tc>
      </w:tr>
      <w:tr>
        <w:trPr>
          <w:cantSplit/>
        </w:trPr>
        <w:tc>
          <w:tcPr>
            <w:tcW w:type="dxa" w:w="25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Availability and continuity</w:t>
            </w:r>
          </w:p>
        </w:tc>
        <w:tc>
          <w:tcPr>
            <w:tcW w:type="dxa" w:w="79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I provide the frequency, responsiveness, modality, location, and duration the client reasonably needs?</w:t>
            </w:r>
          </w:p>
        </w:tc>
      </w:tr>
      <w:tr>
        <w:trPr>
          <w:cantSplit/>
        </w:trPr>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Conflict of interest</w:t>
            </w:r>
          </w:p>
        </w:tc>
        <w:tc>
          <w:tcPr>
            <w:tcW w:type="dxa" w:w="79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a personal, financial, professional, family, community, or organizational conflict that could impair judgment or exploit the client?</w:t>
            </w:r>
          </w:p>
        </w:tc>
      </w:tr>
      <w:tr>
        <w:trPr>
          <w:cantSplit/>
        </w:trPr>
        <w:tc>
          <w:tcPr>
            <w:tcW w:type="dxa" w:w="25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Sociocultural responsiveness</w:t>
            </w:r>
          </w:p>
        </w:tc>
        <w:tc>
          <w:tcPr>
            <w:tcW w:type="dxa" w:w="79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I understand and respond to the client’s identities, language, worldview, disability, community context, and experiences of power or oppression?</w:t>
            </w:r>
          </w:p>
        </w:tc>
      </w:tr>
      <w:tr>
        <w:trPr>
          <w:cantSplit/>
        </w:trPr>
        <w:tc>
          <w:tcPr>
            <w:tcW w:type="dxa" w:w="252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Counselor self-awareness</w:t>
            </w:r>
          </w:p>
        </w:tc>
        <w:tc>
          <w:tcPr>
            <w:tcW w:type="dxa" w:w="79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Are my values, biases, body responses, history, attraction, fear, rescue impulse, avoidance, or identification affecting the work?</w:t>
            </w:r>
          </w:p>
        </w:tc>
      </w:tr>
      <w:tr>
        <w:trPr>
          <w:cantSplit/>
        </w:trPr>
        <w:tc>
          <w:tcPr>
            <w:tcW w:type="dxa" w:w="252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Service fit</w:t>
            </w:r>
          </w:p>
        </w:tc>
        <w:tc>
          <w:tcPr>
            <w:tcW w:type="dxa" w:w="79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setting, modality, and counselor role appropriate, or is another provider or level of care needed?</w:t>
            </w:r>
          </w:p>
        </w:tc>
      </w:tr>
    </w:tbl>
    <w:p>
      <w:pPr>
        <w:spacing w:after="0"/>
      </w:pPr>
    </w:p>
    <w:p>
      <w:pPr>
        <w:pStyle w:val="Heading2"/>
        <w:spacing w:before="140" w:after="80"/>
        <w:keepNext/>
      </w:pPr>
      <w:r>
        <w:rPr>
          <w:rFonts w:ascii="Arial" w:hAnsi="Arial" w:eastAsia="Arial"/>
          <w:b/>
          <w:color w:val="159C9C"/>
          <w:sz w:val="26"/>
        </w:rPr>
        <w:t>Power and the Boundary Continuum</w:t>
      </w:r>
    </w:p>
    <w:p>
      <w:pPr>
        <w:spacing w:before="0" w:after="100" w:line="254" w:lineRule="auto"/>
      </w:pPr>
      <w:r>
        <w:rPr>
          <w:rFonts w:ascii="Arial" w:hAnsi="Arial" w:eastAsia="Arial"/>
          <w:b w:val="0"/>
          <w:i w:val="0"/>
          <w:color w:val="1F2937"/>
          <w:sz w:val="20"/>
        </w:rPr>
        <w:t>The counseling relationship includes an unavoidable power difference: the counselor controls access to professional knowledge, records, policies, scheduling, recommendations, and aspects of the treatment frame. Ethical boundaries prevent that power from becoming exploitative, confusing, or centered on the counselor’s needs.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Boundary Pattern</w:t>
            </w:r>
          </w:p>
        </w:tc>
        <w:tc>
          <w:tcPr>
            <w:tcW w:type="dxa" w:w="46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Description</w:t>
            </w:r>
          </w:p>
        </w:tc>
        <w:tc>
          <w:tcPr>
            <w:tcW w:type="dxa" w:w="39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Risk</w:t>
            </w:r>
          </w:p>
        </w:tc>
      </w:tr>
      <w:tr>
        <w:trPr>
          <w:cantSplit/>
        </w:trPr>
        <w:tc>
          <w:tcPr>
            <w:tcW w:type="dxa" w:w="18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Rigid</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Inflexible distance, minimal responsiveness, or rules applied without clinical context.</w:t>
            </w:r>
          </w:p>
        </w:tc>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block alliance, accessibility, cultural responsiveness, and necessary repair.</w:t>
            </w:r>
          </w:p>
        </w:tc>
      </w:tr>
      <w:tr>
        <w:trPr>
          <w:cantSplit/>
        </w:trPr>
        <w:tc>
          <w:tcPr>
            <w:tcW w:type="dxa" w:w="18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Clear and responsive</w:t>
            </w:r>
          </w:p>
        </w:tc>
        <w:tc>
          <w:tcPr>
            <w:tcW w:type="dxa" w:w="46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Consistent limits with transparent rationale, role clarity, cultural humility, and clinically justified flexibility.</w:t>
            </w:r>
          </w:p>
        </w:tc>
        <w:tc>
          <w:tcPr>
            <w:tcW w:type="dxa" w:w="39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Supports safety, trust, autonomy, and treatment goals.</w:t>
            </w:r>
          </w:p>
        </w:tc>
      </w:tr>
      <w:tr>
        <w:trPr>
          <w:cantSplit/>
        </w:trPr>
        <w:tc>
          <w:tcPr>
            <w:tcW w:type="dxa" w:w="18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Porous</w:t>
            </w:r>
          </w:p>
        </w:tc>
        <w:tc>
          <w:tcPr>
            <w:tcW w:type="dxa" w:w="46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Repeated exceptions, secrecy, personal need fulfillment, role confusion, excessive contact, or specialness.</w:t>
            </w:r>
          </w:p>
        </w:tc>
        <w:tc>
          <w:tcPr>
            <w:tcW w:type="dxa" w:w="39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Raises exploitation, dependency, favoritism, conflict, and impaired-judgment risk.</w:t>
            </w:r>
          </w:p>
        </w:tc>
      </w:tr>
    </w:tbl>
    <w:p>
      <w:pPr>
        <w:spacing w:after="0"/>
      </w:pPr>
    </w:p>
    <w:p>
      <w:pPr>
        <w:pStyle w:val="Heading2"/>
        <w:spacing w:before="140" w:after="80"/>
        <w:keepNext/>
      </w:pPr>
      <w:r>
        <w:rPr>
          <w:rFonts w:ascii="Arial" w:hAnsi="Arial" w:eastAsia="Arial"/>
          <w:b/>
          <w:color w:val="159C9C"/>
          <w:sz w:val="26"/>
        </w:rPr>
        <w:t>Transference and Countertransference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0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Concept</w:t>
            </w:r>
          </w:p>
        </w:tc>
        <w:tc>
          <w:tcPr>
            <w:tcW w:type="dxa" w:w="84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Exam-Safe Use</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Transference</w:t>
            </w:r>
          </w:p>
        </w:tc>
        <w:tc>
          <w:tcPr>
            <w:tcW w:type="dxa" w:w="84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client may experience the counselor through expectations, feelings, or patterns shaped by prior relationships. Explore clinically without assuming every reaction is transference.</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Countertransference</w:t>
            </w:r>
          </w:p>
        </w:tc>
        <w:tc>
          <w:tcPr>
            <w:tcW w:type="dxa" w:w="84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counselor’s emotional, cognitive, behavioral, or bodily response may contain clinically useful information and may also distort judgment. Notice, reflect, regulate, supervise, and avoid acting it out.</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Rupture</w:t>
            </w:r>
          </w:p>
        </w:tc>
        <w:tc>
          <w:tcPr>
            <w:tcW w:type="dxa" w:w="84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Strain, misunderstanding, withdrawal, anger, or loss of trust in the therapeutic alliance. Address directly and collaboratively when safe.</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Repair</w:t>
            </w:r>
          </w:p>
        </w:tc>
        <w:tc>
          <w:tcPr>
            <w:tcW w:type="dxa" w:w="84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Acknowledge impact, invite the client’s perspective, take responsibility when appropriate, clarify intent without defensiveness, and adjust the work.</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EXAM TIP: FEELINGS ARE DATA, NOT ORDERS</w:t>
            </w:r>
          </w:p>
          <w:p>
            <w:pPr>
              <w:spacing w:after="20" w:line="250" w:lineRule="auto"/>
            </w:pPr>
            <w:r>
              <w:rPr>
                <w:rFonts w:ascii="Arial" w:hAnsi="Arial" w:eastAsia="Arial"/>
                <w:color w:val="1F2937"/>
                <w:sz w:val="20"/>
              </w:rPr>
              <w:t>A strong counselor notices attraction, irritation, fear, protectiveness, rescue impulses, avoidance, or overidentification. The next step is usually self-reflection, regulation, and supervision or consultation—not immediate disclosure, abrupt referral, or acting on the feeling.</w:t>
            </w:r>
          </w:p>
        </w:tc>
      </w:tr>
    </w:tbl>
    <w:p>
      <w:pPr>
        <w:spacing w:after="0"/>
      </w:pPr>
    </w:p>
    <w:p>
      <w:pPr>
        <w:pStyle w:val="Heading2"/>
        <w:spacing w:before="140" w:after="80"/>
        <w:keepNext/>
      </w:pPr>
      <w:r>
        <w:rPr>
          <w:rFonts w:ascii="Arial" w:hAnsi="Arial" w:eastAsia="Arial"/>
          <w:b/>
          <w:color w:val="159C9C"/>
          <w:sz w:val="26"/>
        </w:rPr>
        <w:t>Purposeful Self-Disclosure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0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Question</w:t>
            </w:r>
          </w:p>
        </w:tc>
        <w:tc>
          <w:tcPr>
            <w:tcW w:type="dxa" w:w="74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Strong Reasoning</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Whose need is being served?</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The disclosure must be for the client’s clinical benefit, not the counselor’s relief, validation, or desire for closeness.</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is the clinical purpose?</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It should support a defined goal such as normalization, alliance, modeling, or clarification.</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are the risks?</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Consider burden, role reversal, cultural meaning, loss of focus, dependency, confidentiality, and future boundary pressure.</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a less risky alternative?</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Reflection, immediacy, curiosity, validation, or supervision may meet the same purpose.</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How will impact be monitored?</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Return attention to the client and invite feedback rather than assuming the disclosure helped.</w:t>
            </w:r>
          </w:p>
        </w:tc>
      </w:tr>
    </w:tbl>
    <w:p>
      <w:pPr>
        <w:spacing w:after="0"/>
      </w:pPr>
    </w:p>
    <w:p>
      <w:pPr>
        <w:pStyle w:val="Heading2"/>
        <w:spacing w:before="140" w:after="80"/>
        <w:keepNext/>
      </w:pPr>
      <w:r>
        <w:rPr>
          <w:rFonts w:ascii="Arial" w:hAnsi="Arial" w:eastAsia="Arial"/>
          <w:b/>
          <w:color w:val="159C9C"/>
          <w:sz w:val="26"/>
        </w:rPr>
        <w:t>FIT and BOUNDARY Review</w:t>
      </w:r>
    </w:p>
    <w:p>
      <w:pPr>
        <w:spacing w:after="60" w:line="250" w:lineRule="auto"/>
        <w:keepLines/>
      </w:pPr>
      <w:r>
        <w:rPr>
          <w:rFonts w:ascii="Arial" w:hAnsi="Arial" w:eastAsia="Arial"/>
          <w:b/>
          <w:color w:val="17365D"/>
          <w:sz w:val="20"/>
        </w:rPr>
        <w:t xml:space="preserve">1.  </w:t>
      </w:r>
      <w:r>
        <w:rPr>
          <w:rFonts w:ascii="Arial" w:hAnsi="Arial" w:eastAsia="Arial"/>
          <w:sz w:val="20"/>
        </w:rPr>
        <w:t>FIT: Evaluate competence, availability, conflicts, sociocultural responsiveness, and service setting.</w:t>
      </w:r>
    </w:p>
    <w:p>
      <w:pPr>
        <w:spacing w:after="60" w:line="250" w:lineRule="auto"/>
        <w:keepLines/>
      </w:pPr>
      <w:r>
        <w:rPr>
          <w:rFonts w:ascii="Arial" w:hAnsi="Arial" w:eastAsia="Arial"/>
          <w:b/>
          <w:color w:val="17365D"/>
          <w:sz w:val="20"/>
        </w:rPr>
        <w:t xml:space="preserve">2.  </w:t>
      </w:r>
      <w:r>
        <w:rPr>
          <w:rFonts w:ascii="Arial" w:hAnsi="Arial" w:eastAsia="Arial"/>
          <w:sz w:val="20"/>
        </w:rPr>
        <w:t>POWER: Identify how authority, access, records, recommendations, money, and institutional roles affect the client.</w:t>
      </w:r>
    </w:p>
    <w:p>
      <w:pPr>
        <w:spacing w:after="60" w:line="250" w:lineRule="auto"/>
        <w:keepLines/>
      </w:pPr>
      <w:r>
        <w:rPr>
          <w:rFonts w:ascii="Arial" w:hAnsi="Arial" w:eastAsia="Arial"/>
          <w:b/>
          <w:color w:val="17365D"/>
          <w:sz w:val="20"/>
        </w:rPr>
        <w:t xml:space="preserve">3.  </w:t>
      </w:r>
      <w:r>
        <w:rPr>
          <w:rFonts w:ascii="Arial" w:hAnsi="Arial" w:eastAsia="Arial"/>
          <w:sz w:val="20"/>
        </w:rPr>
        <w:t>PURPOSE: Ask whether the boundary decision advances a counseling goal or meets a counselor need.</w:t>
      </w:r>
    </w:p>
    <w:p>
      <w:pPr>
        <w:spacing w:after="60" w:line="250" w:lineRule="auto"/>
        <w:keepLines/>
      </w:pPr>
      <w:r>
        <w:rPr>
          <w:rFonts w:ascii="Arial" w:hAnsi="Arial" w:eastAsia="Arial"/>
          <w:b/>
          <w:color w:val="17365D"/>
          <w:sz w:val="20"/>
        </w:rPr>
        <w:t xml:space="preserve">4.  </w:t>
      </w:r>
      <w:r>
        <w:rPr>
          <w:rFonts w:ascii="Arial" w:hAnsi="Arial" w:eastAsia="Arial"/>
          <w:sz w:val="20"/>
        </w:rPr>
        <w:t>PATTERN: Examine whether the event is isolated and transparent or part of repeated exceptions and secrecy.</w:t>
      </w:r>
    </w:p>
    <w:p>
      <w:pPr>
        <w:spacing w:after="60" w:line="250" w:lineRule="auto"/>
        <w:keepLines/>
      </w:pPr>
      <w:r>
        <w:rPr>
          <w:rFonts w:ascii="Arial" w:hAnsi="Arial" w:eastAsia="Arial"/>
          <w:b/>
          <w:color w:val="17365D"/>
          <w:sz w:val="20"/>
        </w:rPr>
        <w:t xml:space="preserve">5.  </w:t>
      </w:r>
      <w:r>
        <w:rPr>
          <w:rFonts w:ascii="Arial" w:hAnsi="Arial" w:eastAsia="Arial"/>
          <w:sz w:val="20"/>
        </w:rPr>
        <w:t>IMPACT: Invite the client’s perspective and consider foreseeable benefits and harms.</w:t>
      </w:r>
    </w:p>
    <w:p>
      <w:pPr>
        <w:spacing w:after="60" w:line="250" w:lineRule="auto"/>
        <w:keepLines/>
      </w:pPr>
      <w:r>
        <w:rPr>
          <w:rFonts w:ascii="Arial" w:hAnsi="Arial" w:eastAsia="Arial"/>
          <w:b/>
          <w:color w:val="17365D"/>
          <w:sz w:val="20"/>
        </w:rPr>
        <w:t xml:space="preserve">6.  </w:t>
      </w:r>
      <w:r>
        <w:rPr>
          <w:rFonts w:ascii="Arial" w:hAnsi="Arial" w:eastAsia="Arial"/>
          <w:sz w:val="20"/>
        </w:rPr>
        <w:t>SUPPORT: Use supervision or consultation when the relationship is activating, complex, or ambiguous.</w:t>
      </w:r>
    </w:p>
    <w:p>
      <w:pPr>
        <w:pStyle w:val="Heading2"/>
        <w:spacing w:before="140" w:after="80"/>
        <w:keepNext/>
      </w:pPr>
      <w:r>
        <w:rPr>
          <w:rFonts w:ascii="Arial" w:hAnsi="Arial" w:eastAsia="Arial"/>
          <w:b/>
          <w:color w:val="159C9C"/>
          <w:sz w:val="26"/>
        </w:rPr>
        <w:t>Clinical Application: Social Media and Rescue Impulse</w:t>
      </w:r>
    </w:p>
    <w:p>
      <w:pPr>
        <w:spacing w:before="0" w:after="100" w:line="254" w:lineRule="auto"/>
      </w:pPr>
      <w:r>
        <w:rPr>
          <w:rFonts w:ascii="Arial" w:hAnsi="Arial" w:eastAsia="Arial"/>
          <w:b w:val="0"/>
          <w:i w:val="0"/>
          <w:color w:val="1F2937"/>
          <w:sz w:val="20"/>
        </w:rPr>
        <w:t>A counselor notices a strong urge to “rescue” a client who reminds the counselor of a younger sibling. The client sends a social-media connection request and writes that the counselor is the only person who truly understands. The counselor feels flattered and worries that declining will harm the alliance.</w:t>
      </w:r>
    </w:p>
    <w:p>
      <w:pPr>
        <w:spacing w:before="0" w:after="100" w:line="254" w:lineRule="auto"/>
      </w:pPr>
      <w:r>
        <w:rPr>
          <w:rFonts w:ascii="Arial" w:hAnsi="Arial" w:eastAsia="Arial"/>
          <w:b/>
          <w:i w:val="0"/>
          <w:color w:val="17365D"/>
          <w:sz w:val="20"/>
        </w:rPr>
        <w:t>What is the best next action?</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Option</w:t>
            </w:r>
          </w:p>
        </w:tc>
        <w:tc>
          <w:tcPr>
            <w:tcW w:type="dxa" w:w="95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Response</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Accept the request temporarily to preserve trust.</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Immediately terminate because the client is becoming dependent.</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Follow the established social-media boundary, explore the client’s meaning in session, monitor countertransference, and seek supervision or consultation.</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Disclose the counselor’s sibling history so the client understands the reaction.</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BEST REASONING</w:t>
            </w:r>
          </w:p>
          <w:p>
            <w:pPr>
              <w:spacing w:after="20" w:line="250" w:lineRule="auto"/>
            </w:pPr>
            <w:r>
              <w:rPr>
                <w:rFonts w:ascii="Arial" w:hAnsi="Arial" w:eastAsia="Arial"/>
                <w:color w:val="1F2937"/>
                <w:sz w:val="20"/>
              </w:rPr>
              <w:t>C. The option maintains the frame, uses the relationship clinically, and addresses the counselor’s reaction without acting it out. Immediate termination or personal disclosure would be premature and could center the counselor.</w:t>
            </w:r>
          </w:p>
        </w:tc>
      </w:tr>
    </w:tbl>
    <w:p>
      <w:pPr>
        <w:spacing w:after="0"/>
      </w:pPr>
    </w:p>
    <w:p>
      <w:pPr>
        <w:pStyle w:val="Heading2"/>
        <w:spacing w:before="140" w:after="80"/>
        <w:keepNext/>
      </w:pPr>
      <w:r>
        <w:rPr>
          <w:rFonts w:ascii="Arial" w:hAnsi="Arial" w:eastAsia="Arial"/>
          <w:b/>
          <w:color w:val="159C9C"/>
          <w:sz w:val="26"/>
        </w:rPr>
        <w:t>Boundary Reflection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8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Prompt</w:t>
            </w:r>
          </w:p>
        </w:tc>
        <w:tc>
          <w:tcPr>
            <w:tcW w:type="dxa" w:w="66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My Notes</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Boundary event or request</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Client’s possible meaning and cultural/contextual factors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My emotional, cognitive, behavioral, and bodily response</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Power and conflict-of-interest concerns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purpose of possible responses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Risks, alternatives, and likely impact</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Supervision/consultation question</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Plan to discuss and monitor the relationship</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Chapter 3 Summary</w:t>
      </w:r>
    </w:p>
    <w:p>
      <w:pPr>
        <w:pStyle w:val="ListBullet"/>
        <w:spacing w:after="50" w:line="250" w:lineRule="auto"/>
        <w:keepLines/>
      </w:pPr>
      <w:r>
        <w:rPr>
          <w:rFonts w:ascii="Arial" w:hAnsi="Arial" w:eastAsia="Arial"/>
          <w:color w:val="1F2937"/>
          <w:sz w:val="20"/>
        </w:rPr>
        <w:t>Counselor-client fit includes competence, availability, conflicts, sociocultural responsiveness, service fit, and counselor self-awareness.</w:t>
      </w:r>
    </w:p>
    <w:p>
      <w:pPr>
        <w:pStyle w:val="ListBullet"/>
        <w:spacing w:after="50" w:line="250" w:lineRule="auto"/>
        <w:keepLines/>
      </w:pPr>
      <w:r>
        <w:rPr>
          <w:rFonts w:ascii="Arial" w:hAnsi="Arial" w:eastAsia="Arial"/>
          <w:color w:val="1F2937"/>
          <w:sz w:val="20"/>
        </w:rPr>
        <w:t>Clear and responsive boundaries protect the professional purpose of counseling while allowing culturally responsive judgment.</w:t>
      </w:r>
    </w:p>
    <w:p>
      <w:pPr>
        <w:pStyle w:val="ListBullet"/>
        <w:spacing w:after="50" w:line="250" w:lineRule="auto"/>
        <w:keepLines/>
      </w:pPr>
      <w:r>
        <w:rPr>
          <w:rFonts w:ascii="Arial" w:hAnsi="Arial" w:eastAsia="Arial"/>
          <w:color w:val="1F2937"/>
          <w:sz w:val="20"/>
        </w:rPr>
        <w:t>Power should be named and managed, not denied.</w:t>
      </w:r>
    </w:p>
    <w:p>
      <w:pPr>
        <w:pStyle w:val="ListBullet"/>
        <w:spacing w:after="50" w:line="250" w:lineRule="auto"/>
        <w:keepLines/>
      </w:pPr>
      <w:r>
        <w:rPr>
          <w:rFonts w:ascii="Arial" w:hAnsi="Arial" w:eastAsia="Arial"/>
          <w:color w:val="1F2937"/>
          <w:sz w:val="20"/>
        </w:rPr>
        <w:t>Countertransference can inform the work but requires regulation and supervision before action.</w:t>
      </w:r>
    </w:p>
    <w:p>
      <w:pPr>
        <w:pStyle w:val="ListBullet"/>
        <w:spacing w:after="50" w:line="250" w:lineRule="auto"/>
        <w:keepLines/>
      </w:pPr>
      <w:r>
        <w:rPr>
          <w:rFonts w:ascii="Arial" w:hAnsi="Arial" w:eastAsia="Arial"/>
          <w:color w:val="1F2937"/>
          <w:sz w:val="20"/>
        </w:rPr>
        <w:t>Rupture repair is often stronger than defensiveness, avoidance, abrupt referral, or boundary exceptions.</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4</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Supervision, Consultation, Research, and Advocacy</w:t>
            </w:r>
          </w:p>
        </w:tc>
        <w:trPr>
          <w:tblHeader/>
        </w:trPr>
      </w:tr>
    </w:tbl>
    <w:p>
      <w:pPr>
        <w:spacing w:before="100" w:after="180"/>
      </w:pPr>
      <w:r>
        <w:rPr>
          <w:rFonts w:ascii="Arial" w:hAnsi="Arial" w:eastAsia="Arial"/>
          <w:i/>
          <w:color w:val="4E5B6B"/>
          <w:sz w:val="21"/>
        </w:rPr>
        <w:t>Professional development is an active client-protection system, not a collection of credentials.</w:t>
      </w:r>
    </w:p>
    <w:tbl>
      <w:tblPr>
        <w:tblW w:type="auto" w:w="0"/>
        <w:jc w:val="center"/>
        <w:tblLook w:firstColumn="1" w:firstRow="1" w:lastColumn="0" w:lastRow="0" w:noHBand="0" w:noVBand="1" w:val="04A0"/>
      </w:tblPr>
      <w:tblGrid>
        <w:gridCol w:w="10310"/>
      </w:tblGrid>
      <w:tr>
        <w:trPr>
          <w:cantSplit/>
          <w:tblHeader/>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Use supervision, consultation, evidence, continuing education, and advocacy to improve decisions before a preventable problem reaches the client.</w:t>
            </w:r>
          </w:p>
        </w:tc>
      </w:tr>
    </w:tbl>
    <w:p>
      <w:pPr>
        <w:spacing w:after="0"/>
      </w:pPr>
    </w:p>
    <w:p>
      <w:pPr>
        <w:pStyle w:val="Heading2"/>
        <w:spacing w:before="140" w:after="80"/>
        <w:keepNext/>
      </w:pPr>
      <w:r>
        <w:rPr>
          <w:rFonts w:ascii="Arial" w:hAnsi="Arial" w:eastAsia="Arial"/>
          <w:b/>
          <w:color w:val="159C9C"/>
          <w:sz w:val="26"/>
        </w:rPr>
        <w:t>Supervision and Consultation Are Not Interchangeable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Resource</w:t>
            </w:r>
          </w:p>
        </w:tc>
        <w:tc>
          <w:tcPr>
            <w:tcW w:type="dxa" w:w="48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Function</w:t>
            </w:r>
          </w:p>
        </w:tc>
        <w:tc>
          <w:tcPr>
            <w:tcW w:type="dxa" w:w="36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 Distinction</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supervision</w:t>
            </w:r>
          </w:p>
        </w:tc>
        <w:tc>
          <w:tcPr>
            <w:tcW w:type="dxa" w:w="48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Ongoing oversight and responsibility within a formal supervisory relationship; central to APCC development and required supervised experience.</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An APCC cannot substitute informal peer consultation for required supervision.</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consultation</w:t>
            </w:r>
          </w:p>
        </w:tc>
        <w:tc>
          <w:tcPr>
            <w:tcW w:type="dxa" w:w="48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Focused input from a colleague or specialist about a case, skill, modality, culture, assessment, law/ethics issue, or system problem.</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Consultation informs judgment but does not transfer responsibility or automatically establish competence.</w:t>
            </w:r>
          </w:p>
        </w:tc>
      </w:tr>
      <w:tr>
        <w:trPr>
          <w:cantSplit/>
        </w:trPr>
        <w:tc>
          <w:tcPr>
            <w:tcW w:type="dxa" w:w="20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Training/continuing education</w:t>
            </w:r>
          </w:p>
        </w:tc>
        <w:tc>
          <w:tcPr>
            <w:tcW w:type="dxa" w:w="48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Structured development of knowledge and skills.</w:t>
            </w:r>
          </w:p>
        </w:tc>
        <w:tc>
          <w:tcPr>
            <w:tcW w:type="dxa" w:w="36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single course does not prove competence for complex or high-risk work without practice, supervision, and demonstrated skill.</w:t>
            </w:r>
          </w:p>
        </w:tc>
      </w:tr>
      <w:tr>
        <w:trPr>
          <w:cantSplit/>
        </w:trPr>
        <w:tc>
          <w:tcPr>
            <w:tcW w:type="dxa" w:w="20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Referral/collaboration</w:t>
            </w:r>
          </w:p>
        </w:tc>
        <w:tc>
          <w:tcPr>
            <w:tcW w:type="dxa" w:w="48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Connects the client with a provider or service that better meets a need.</w:t>
            </w:r>
          </w:p>
        </w:tc>
        <w:tc>
          <w:tcPr>
            <w:tcW w:type="dxa" w:w="36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when the need exceeds competence, scope, availability, setting, or level of care.</w:t>
            </w:r>
          </w:p>
        </w:tc>
      </w:tr>
    </w:tbl>
    <w:p>
      <w:pPr>
        <w:spacing w:after="0"/>
      </w:pPr>
    </w:p>
    <w:p>
      <w:pPr>
        <w:pStyle w:val="Heading2"/>
        <w:spacing w:before="140" w:after="80"/>
        <w:keepNext/>
      </w:pPr>
      <w:r>
        <w:rPr>
          <w:rFonts w:ascii="Arial" w:hAnsi="Arial" w:eastAsia="Arial"/>
          <w:b/>
          <w:color w:val="159C9C"/>
          <w:sz w:val="26"/>
        </w:rPr>
        <w:t>Make Supervision Clinically Useful</w:t>
      </w:r>
    </w:p>
    <w:p>
      <w:pPr>
        <w:spacing w:after="60" w:line="250" w:lineRule="auto"/>
        <w:keepLines/>
      </w:pPr>
      <w:r>
        <w:rPr>
          <w:rFonts w:ascii="Arial" w:hAnsi="Arial" w:eastAsia="Arial"/>
          <w:b/>
          <w:color w:val="17365D"/>
          <w:sz w:val="20"/>
        </w:rPr>
        <w:t xml:space="preserve">1.  </w:t>
      </w:r>
      <w:r>
        <w:rPr>
          <w:rFonts w:ascii="Arial" w:hAnsi="Arial" w:eastAsia="Arial"/>
          <w:sz w:val="20"/>
        </w:rPr>
        <w:t>Bring the case facts, current risk, stage of treatment, cultural/contextual factors, and actions already taken.</w:t>
      </w:r>
    </w:p>
    <w:p>
      <w:pPr>
        <w:spacing w:after="60" w:line="250" w:lineRule="auto"/>
        <w:keepLines/>
      </w:pPr>
      <w:r>
        <w:rPr>
          <w:rFonts w:ascii="Arial" w:hAnsi="Arial" w:eastAsia="Arial"/>
          <w:b/>
          <w:color w:val="17365D"/>
          <w:sz w:val="20"/>
        </w:rPr>
        <w:t xml:space="preserve">2.  </w:t>
      </w:r>
      <w:r>
        <w:rPr>
          <w:rFonts w:ascii="Arial" w:hAnsi="Arial" w:eastAsia="Arial"/>
          <w:sz w:val="20"/>
        </w:rPr>
        <w:t>State the exact decision you are struggling with instead of presenting only a long narrative.</w:t>
      </w:r>
    </w:p>
    <w:p>
      <w:pPr>
        <w:spacing w:after="60" w:line="250" w:lineRule="auto"/>
        <w:keepLines/>
      </w:pPr>
      <w:r>
        <w:rPr>
          <w:rFonts w:ascii="Arial" w:hAnsi="Arial" w:eastAsia="Arial"/>
          <w:b/>
          <w:color w:val="17365D"/>
          <w:sz w:val="20"/>
        </w:rPr>
        <w:t xml:space="preserve">3.  </w:t>
      </w:r>
      <w:r>
        <w:rPr>
          <w:rFonts w:ascii="Arial" w:hAnsi="Arial" w:eastAsia="Arial"/>
          <w:sz w:val="20"/>
        </w:rPr>
        <w:t>Disclose mistakes, uncertainty, strong emotional reactions, boundary pressure, and competence concerns early.</w:t>
      </w:r>
    </w:p>
    <w:p>
      <w:pPr>
        <w:spacing w:after="60" w:line="250" w:lineRule="auto"/>
        <w:keepLines/>
      </w:pPr>
      <w:r>
        <w:rPr>
          <w:rFonts w:ascii="Arial" w:hAnsi="Arial" w:eastAsia="Arial"/>
          <w:b/>
          <w:color w:val="17365D"/>
          <w:sz w:val="20"/>
        </w:rPr>
        <w:t xml:space="preserve">4.  </w:t>
      </w:r>
      <w:r>
        <w:rPr>
          <w:rFonts w:ascii="Arial" w:hAnsi="Arial" w:eastAsia="Arial"/>
          <w:sz w:val="20"/>
        </w:rPr>
        <w:t>Ask for both clinical reasoning and any legal, ethical, documentation, or organizational implications.</w:t>
      </w:r>
    </w:p>
    <w:p>
      <w:pPr>
        <w:spacing w:after="60" w:line="250" w:lineRule="auto"/>
        <w:keepLines/>
      </w:pPr>
      <w:r>
        <w:rPr>
          <w:rFonts w:ascii="Arial" w:hAnsi="Arial" w:eastAsia="Arial"/>
          <w:b/>
          <w:color w:val="17365D"/>
          <w:sz w:val="20"/>
        </w:rPr>
        <w:t xml:space="preserve">5.  </w:t>
      </w:r>
      <w:r>
        <w:rPr>
          <w:rFonts w:ascii="Arial" w:hAnsi="Arial" w:eastAsia="Arial"/>
          <w:sz w:val="20"/>
        </w:rPr>
        <w:t>Translate the discussion into a clear action, timeframe, documentation plan, and follow-up question.</w:t>
      </w:r>
    </w:p>
    <w:p>
      <w:pPr>
        <w:spacing w:after="60" w:line="250" w:lineRule="auto"/>
        <w:keepLines/>
      </w:pPr>
      <w:r>
        <w:rPr>
          <w:rFonts w:ascii="Arial" w:hAnsi="Arial" w:eastAsia="Arial"/>
          <w:b/>
          <w:color w:val="17365D"/>
          <w:sz w:val="20"/>
        </w:rPr>
        <w:t xml:space="preserve">6.  </w:t>
      </w:r>
      <w:r>
        <w:rPr>
          <w:rFonts w:ascii="Arial" w:hAnsi="Arial" w:eastAsia="Arial"/>
          <w:sz w:val="20"/>
        </w:rPr>
        <w:t>Revisit whether the supervision actually improved client care and counselor competence.</w:t>
      </w:r>
    </w:p>
    <w:tbl>
      <w:tblPr>
        <w:tblW w:type="auto" w:w="0"/>
        <w:jc w:val="center"/>
        <w:tblLook w:firstColumn="1" w:firstRow="1" w:lastColumn="0" w:lastRow="0" w:noHBand="0" w:noVBand="1" w:val="04A0"/>
      </w:tblPr>
      <w:tblGrid>
        <w:gridCol w:w="10310"/>
      </w:tblGrid>
      <w:tr>
        <w:trPr>
          <w:cantSplit/>
          <w:tblHeader/>
        </w:trPr>
        <w:tc>
          <w:tcPr>
            <w:tcW w:type="dxa" w:w="10310"/>
            <w:shd w:fill="FCE8E6"/>
            <w:tcBorders>
              <w:top w:val="single" w:sz="10" w:color="B94A48"/>
              <w:left w:val="single" w:sz="10" w:color="B94A48"/>
              <w:bottom w:val="single" w:sz="10" w:color="B94A48"/>
              <w:right w:val="single" w:sz="10" w:color="B94A48"/>
            </w:tcBorders>
            <w:tcMar>
              <w:top w:w="110" w:type="dxa"/>
              <w:start w:w="140" w:type="dxa"/>
              <w:bottom w:w="110" w:type="dxa"/>
              <w:end w:w="140" w:type="dxa"/>
            </w:tcMar>
          </w:tcPr>
          <w:p>
            <w:pPr>
              <w:spacing w:after="60"/>
            </w:pPr>
            <w:r>
              <w:rPr>
                <w:rFonts w:ascii="Arial" w:hAnsi="Arial" w:eastAsia="Arial"/>
                <w:b/>
                <w:color w:val="8B1E1E"/>
                <w:sz w:val="21"/>
              </w:rPr>
              <w:t>COMMON TRAP: SEEKING SUPPORT AFTER ACTING</w:t>
            </w:r>
          </w:p>
          <w:p>
            <w:pPr>
              <w:spacing w:after="20" w:line="250" w:lineRule="auto"/>
            </w:pPr>
            <w:r>
              <w:rPr>
                <w:rFonts w:ascii="Arial" w:hAnsi="Arial" w:eastAsia="Arial"/>
                <w:color w:val="1F2937"/>
                <w:sz w:val="20"/>
              </w:rPr>
              <w:t>When the counselor already recognizes a competence, boundary, assessment, or risk concern, the best answer usually seeks supervision or consultation before using the unfamiliar technique, making the disclosure, administering the instrument, or accepting the role.</w:t>
            </w:r>
          </w:p>
        </w:tc>
      </w:tr>
    </w:tbl>
    <w:p>
      <w:pPr>
        <w:spacing w:after="0"/>
      </w:pPr>
    </w:p>
    <w:p>
      <w:pPr>
        <w:pStyle w:val="Heading2"/>
        <w:spacing w:before="140" w:after="80"/>
        <w:keepNext/>
      </w:pPr>
      <w:r>
        <w:rPr>
          <w:rFonts w:ascii="Arial" w:hAnsi="Arial" w:eastAsia="Arial"/>
          <w:b/>
          <w:color w:val="159C9C"/>
          <w:sz w:val="26"/>
        </w:rPr>
        <w:t>Research Literacy for Exam Decisions</w:t>
      </w:r>
    </w:p>
    <w:p>
      <w:pPr>
        <w:spacing w:before="0" w:after="100" w:line="254" w:lineRule="auto"/>
      </w:pPr>
      <w:r>
        <w:rPr>
          <w:rFonts w:ascii="Arial" w:hAnsi="Arial" w:eastAsia="Arial"/>
          <w:b w:val="0"/>
          <w:i w:val="0"/>
          <w:color w:val="1F2937"/>
          <w:sz w:val="20"/>
        </w:rPr>
        <w:t>The NCMHCE does not require candidates to memorize every study. It does require the ability to recognize credible evidence, match interventions to client needs, avoid unsupported claims, and integrate research with clinical expertise and client characteristics, culture, context, and preferences.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7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Research Question</w:t>
            </w:r>
          </w:p>
        </w:tc>
        <w:tc>
          <w:tcPr>
            <w:tcW w:type="dxa" w:w="77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Strong Reasoning Looks For</w:t>
            </w:r>
          </w:p>
        </w:tc>
      </w:tr>
      <w:tr>
        <w:trPr>
          <w:cantSplit/>
        </w:trPr>
        <w:tc>
          <w:tcPr>
            <w:tcW w:type="dxa" w:w="27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was studied?</w:t>
            </w:r>
          </w:p>
        </w:tc>
        <w:tc>
          <w:tcPr>
            <w:tcW w:type="dxa" w:w="77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clearly defined population, problem, intervention, comparison, outcome, and timeframe.</w:t>
            </w:r>
          </w:p>
        </w:tc>
      </w:tr>
      <w:tr>
        <w:trPr>
          <w:cantSplit/>
        </w:trPr>
        <w:tc>
          <w:tcPr>
            <w:tcW w:type="dxa" w:w="27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How strong is the design?</w:t>
            </w:r>
          </w:p>
        </w:tc>
        <w:tc>
          <w:tcPr>
            <w:tcW w:type="dxa" w:w="77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Methods appropriate to the question, sufficient sample, valid measures, transparent analysis, and attention to bias and limitations.</w:t>
            </w:r>
          </w:p>
        </w:tc>
      </w:tr>
      <w:tr>
        <w:trPr>
          <w:cantSplit/>
        </w:trPr>
        <w:tc>
          <w:tcPr>
            <w:tcW w:type="dxa" w:w="27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How meaningful are the results?</w:t>
            </w:r>
          </w:p>
        </w:tc>
        <w:tc>
          <w:tcPr>
            <w:tcW w:type="dxa" w:w="77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Clinical significance, effect size, durability, harms, dropout, and real-world feasibility—not statistical significance alone.</w:t>
            </w:r>
          </w:p>
        </w:tc>
      </w:tr>
      <w:tr>
        <w:trPr>
          <w:cantSplit/>
        </w:trPr>
        <w:tc>
          <w:tcPr>
            <w:tcW w:type="dxa" w:w="273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Does it fit this client?</w:t>
            </w:r>
          </w:p>
        </w:tc>
        <w:tc>
          <w:tcPr>
            <w:tcW w:type="dxa" w:w="77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Developmental, cultural, linguistic, disability, medical, contextual, preference, access, and risk considerations.</w:t>
            </w:r>
          </w:p>
        </w:tc>
      </w:tr>
      <w:tr>
        <w:trPr>
          <w:cantSplit/>
        </w:trPr>
        <w:tc>
          <w:tcPr>
            <w:tcW w:type="dxa" w:w="27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remains uncertain?</w:t>
            </w:r>
          </w:p>
        </w:tc>
        <w:tc>
          <w:tcPr>
            <w:tcW w:type="dxa" w:w="77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Limits, conflicting evidence, implementation requirements, training needs, and need for measurement or adaptation.</w:t>
            </w:r>
          </w:p>
        </w:tc>
      </w:tr>
    </w:tbl>
    <w:p>
      <w:pPr>
        <w:spacing w:after="0"/>
      </w:pPr>
    </w:p>
    <w:p>
      <w:pPr>
        <w:pStyle w:val="Heading2"/>
        <w:spacing w:before="140" w:after="80"/>
        <w:keepNext/>
      </w:pPr>
      <w:r>
        <w:rPr>
          <w:rFonts w:ascii="Arial" w:hAnsi="Arial" w:eastAsia="Arial"/>
          <w:b/>
          <w:color w:val="159C9C"/>
          <w:sz w:val="26"/>
        </w:rPr>
        <w:t>Continuing Professional Development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6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Need</w:t>
            </w:r>
          </w:p>
        </w:tc>
        <w:tc>
          <w:tcPr>
            <w:tcW w:type="dxa" w:w="78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Strong Response</w:t>
            </w:r>
          </w:p>
        </w:tc>
      </w:tr>
      <w:tr>
        <w:trPr>
          <w:cantSplit/>
        </w:trPr>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Specific skill gap</w:t>
            </w:r>
          </w:p>
        </w:tc>
        <w:tc>
          <w:tcPr>
            <w:tcW w:type="dxa" w:w="78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Obtain targeted training, supervised practice, consultation, and competency feedback.</w:t>
            </w:r>
          </w:p>
        </w:tc>
      </w:tr>
      <w:tr>
        <w:trPr>
          <w:cantSplit/>
        </w:trPr>
        <w:tc>
          <w:tcPr>
            <w:tcW w:type="dxa" w:w="26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New population or culture</w:t>
            </w:r>
          </w:p>
        </w:tc>
        <w:tc>
          <w:tcPr>
            <w:tcW w:type="dxa" w:w="78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Develop cultural humility and population-specific knowledge while avoiding stereotyping; use community and client expertise.</w:t>
            </w:r>
          </w:p>
        </w:tc>
      </w:tr>
      <w:tr>
        <w:trPr>
          <w:cantSplit/>
        </w:trPr>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Emerging technology or AI</w:t>
            </w:r>
          </w:p>
        </w:tc>
        <w:tc>
          <w:tcPr>
            <w:tcW w:type="dxa" w:w="78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Complete current ethical/legal training, assess privacy and bias, verify output, obtain informed consent as applicable, and follow law and policy.</w:t>
            </w:r>
          </w:p>
        </w:tc>
      </w:tr>
      <w:tr>
        <w:trPr>
          <w:cantSplit/>
        </w:trPr>
        <w:tc>
          <w:tcPr>
            <w:tcW w:type="dxa" w:w="26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Ethics or law uncertainty</w:t>
            </w:r>
          </w:p>
        </w:tc>
        <w:tc>
          <w:tcPr>
            <w:tcW w:type="dxa" w:w="78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current primary authority, Board guidance, supervision/consultation, and legal advice when indicated.</w:t>
            </w:r>
          </w:p>
        </w:tc>
      </w:tr>
      <w:tr>
        <w:trPr>
          <w:cantSplit/>
        </w:trPr>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Evidence question</w:t>
            </w:r>
          </w:p>
        </w:tc>
        <w:tc>
          <w:tcPr>
            <w:tcW w:type="dxa" w:w="78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Review credible, current, peer-reviewed and authoritative sources; evaluate fit and limitations.</w:t>
            </w:r>
          </w:p>
        </w:tc>
      </w:tr>
    </w:tbl>
    <w:p>
      <w:pPr>
        <w:spacing w:after="0"/>
      </w:pPr>
    </w:p>
    <w:p>
      <w:pPr>
        <w:pStyle w:val="Heading2"/>
        <w:spacing w:before="140" w:after="80"/>
        <w:keepNext/>
      </w:pPr>
      <w:r>
        <w:rPr>
          <w:rFonts w:ascii="Arial" w:hAnsi="Arial" w:eastAsia="Arial"/>
          <w:b/>
          <w:color w:val="159C9C"/>
          <w:sz w:val="26"/>
        </w:rPr>
        <w:t>Advocacy Without Role Confusion</w:t>
      </w:r>
    </w:p>
    <w:p>
      <w:pPr>
        <w:spacing w:before="0" w:after="100" w:line="254" w:lineRule="auto"/>
      </w:pPr>
      <w:r>
        <w:rPr>
          <w:rFonts w:ascii="Arial" w:hAnsi="Arial" w:eastAsia="Arial"/>
          <w:b w:val="0"/>
          <w:i w:val="0"/>
          <w:color w:val="1F2937"/>
          <w:sz w:val="20"/>
        </w:rPr>
        <w:t>Counselor advocacy may occur with the client, within an organization, in the community, or for the counseling profession. Strong advocacy supports client autonomy, access, equity, and informed choice. It does not authorize the counselor to impose personal values, make decisions for the client, misrepresent expertise, or exceed scope.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Advocacy Level</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Example</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self-advocacy</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Help the client clarify needs, prepare questions, understand options, and communicate preferences.</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Case/system advocacy</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With appropriate authorization, address a barrier involving access, accommodations, coordination, or institutional policy.</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Community/professional advocacy</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Support policies, education, and systems that improve access, reduce stigma, and strengthen the counseling profession.</w:t>
            </w:r>
          </w:p>
        </w:tc>
      </w:tr>
    </w:tbl>
    <w:p>
      <w:pPr>
        <w:spacing w:after="0"/>
      </w:pPr>
    </w:p>
    <w:p>
      <w:pPr>
        <w:pStyle w:val="Heading2"/>
        <w:spacing w:before="140" w:after="80"/>
        <w:keepNext/>
      </w:pPr>
      <w:r>
        <w:rPr>
          <w:rFonts w:ascii="Arial" w:hAnsi="Arial" w:eastAsia="Arial"/>
          <w:b/>
          <w:color w:val="159C9C"/>
          <w:sz w:val="26"/>
        </w:rPr>
        <w:t>CONSULT Decision Guide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94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Letter</w:t>
            </w:r>
          </w:p>
        </w:tc>
        <w:tc>
          <w:tcPr>
            <w:tcW w:type="dxa" w:w="85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Prompt</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 - Clarify</w:t>
            </w:r>
          </w:p>
        </w:tc>
        <w:tc>
          <w:tcPr>
            <w:tcW w:type="dxa" w:w="85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exact decision, skill, risk, role, or uncertainty requires help?</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 - Organize</w:t>
            </w:r>
          </w:p>
        </w:tc>
        <w:tc>
          <w:tcPr>
            <w:tcW w:type="dxa" w:w="85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facts, timeline, actions, client preferences, culture, and constraints are relevant?</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 - Name limits</w:t>
            </w:r>
          </w:p>
        </w:tc>
        <w:tc>
          <w:tcPr>
            <w:tcW w:type="dxa" w:w="85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do I not know or not know how to do?</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Select resource</w:t>
            </w:r>
          </w:p>
        </w:tc>
        <w:tc>
          <w:tcPr>
            <w:tcW w:type="dxa" w:w="85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I need supervision, specialist consultation, training, research, legal guidance, collaboration, or referral?</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 - Use guidance</w:t>
            </w:r>
          </w:p>
        </w:tc>
        <w:tc>
          <w:tcPr>
            <w:tcW w:type="dxa" w:w="85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action will I take, by when, and how will I document it?</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 - Look back</w:t>
            </w:r>
          </w:p>
        </w:tc>
        <w:tc>
          <w:tcPr>
            <w:tcW w:type="dxa" w:w="85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the guidance improve safety, fit, and competence?</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Track development</w:t>
            </w:r>
          </w:p>
        </w:tc>
        <w:tc>
          <w:tcPr>
            <w:tcW w:type="dxa" w:w="85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continuing education or supervised practice will prevent recurrence?</w:t>
            </w:r>
          </w:p>
        </w:tc>
      </w:tr>
    </w:tbl>
    <w:p>
      <w:pPr>
        <w:spacing w:after="0"/>
      </w:pPr>
    </w:p>
    <w:p>
      <w:pPr>
        <w:pStyle w:val="Heading2"/>
        <w:spacing w:before="140" w:after="80"/>
        <w:keepNext/>
      </w:pPr>
      <w:r>
        <w:rPr>
          <w:rFonts w:ascii="Arial" w:hAnsi="Arial" w:eastAsia="Arial"/>
          <w:b/>
          <w:color w:val="159C9C"/>
          <w:sz w:val="26"/>
        </w:rPr>
        <w:t>Clinical Application: Weekend Workshop</w:t>
      </w:r>
    </w:p>
    <w:p>
      <w:pPr>
        <w:spacing w:before="0" w:after="100" w:line="254" w:lineRule="auto"/>
      </w:pPr>
      <w:r>
        <w:rPr>
          <w:rFonts w:ascii="Arial" w:hAnsi="Arial" w:eastAsia="Arial"/>
          <w:b w:val="0"/>
          <w:i w:val="0"/>
          <w:color w:val="1F2937"/>
          <w:sz w:val="20"/>
        </w:rPr>
        <w:t>An APCC completes a weekend workshop in a specialized somatic trauma technique. A client with complex trauma asks the APCC to begin the full protocol. The APCC has never practiced the protocol under supervision.</w:t>
      </w:r>
    </w:p>
    <w:p>
      <w:pPr>
        <w:spacing w:before="0" w:after="100" w:line="254" w:lineRule="auto"/>
      </w:pPr>
      <w:r>
        <w:rPr>
          <w:rFonts w:ascii="Arial" w:hAnsi="Arial" w:eastAsia="Arial"/>
          <w:b/>
          <w:i w:val="0"/>
          <w:color w:val="17365D"/>
          <w:sz w:val="20"/>
        </w:rPr>
        <w:t>What is the best response?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Option</w:t>
            </w:r>
          </w:p>
        </w:tc>
        <w:tc>
          <w:tcPr>
            <w:tcW w:type="dxa" w:w="95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Response</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Begin because completing a workshop establishes competence.</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Explain the limits, seek supervision or qualified consultation, determine training and case-fit requirements, and use only interventions the APCC can currently provide competently.</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Refuse all trauma treatment because specialized methods are outside LPCC scope.</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Use the protocol but avoid documenting it until competence is established.</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BEST REASONING</w:t>
            </w:r>
          </w:p>
          <w:p>
            <w:pPr>
              <w:spacing w:after="20" w:line="250" w:lineRule="auto"/>
            </w:pPr>
            <w:r>
              <w:rPr>
                <w:rFonts w:ascii="Arial" w:hAnsi="Arial" w:eastAsia="Arial"/>
                <w:color w:val="1F2937"/>
                <w:sz w:val="20"/>
              </w:rPr>
              <w:t>B. Training can begin competence development but does not automatically establish independent skill. The counselor should use supervision, consultation, and staged development while preserving honest role clarity and client choice.</w:t>
            </w:r>
          </w:p>
        </w:tc>
      </w:tr>
    </w:tbl>
    <w:p>
      <w:pPr>
        <w:spacing w:after="0"/>
      </w:pPr>
    </w:p>
    <w:p>
      <w:pPr>
        <w:pStyle w:val="Heading2"/>
        <w:spacing w:before="140" w:after="80"/>
        <w:keepNext/>
      </w:pPr>
      <w:r>
        <w:rPr>
          <w:rFonts w:ascii="Arial" w:hAnsi="Arial" w:eastAsia="Arial"/>
          <w:b/>
          <w:color w:val="159C9C"/>
          <w:sz w:val="26"/>
        </w:rPr>
        <w:t>Chapter 4 Summary</w:t>
      </w:r>
    </w:p>
    <w:p>
      <w:pPr>
        <w:pStyle w:val="ListBullet"/>
        <w:spacing w:after="50" w:line="250" w:lineRule="auto"/>
        <w:keepLines/>
      </w:pPr>
      <w:r>
        <w:rPr>
          <w:rFonts w:ascii="Arial" w:hAnsi="Arial" w:eastAsia="Arial"/>
          <w:color w:val="1F2937"/>
          <w:sz w:val="20"/>
        </w:rPr>
        <w:t>Supervision is formal oversight; consultation is focused expert input and does not replace required supervision.</w:t>
      </w:r>
    </w:p>
    <w:p>
      <w:pPr>
        <w:pStyle w:val="ListBullet"/>
        <w:spacing w:after="50" w:line="250" w:lineRule="auto"/>
        <w:keepLines/>
      </w:pPr>
      <w:r>
        <w:rPr>
          <w:rFonts w:ascii="Arial" w:hAnsi="Arial" w:eastAsia="Arial"/>
          <w:color w:val="1F2937"/>
          <w:sz w:val="20"/>
        </w:rPr>
        <w:t>Professional development should target an identified gap and include application, feedback, and follow-up.</w:t>
      </w:r>
    </w:p>
    <w:p>
      <w:pPr>
        <w:pStyle w:val="ListBullet"/>
        <w:spacing w:after="50" w:line="250" w:lineRule="auto"/>
        <w:keepLines/>
      </w:pPr>
      <w:r>
        <w:rPr>
          <w:rFonts w:ascii="Arial" w:hAnsi="Arial" w:eastAsia="Arial"/>
          <w:color w:val="1F2937"/>
          <w:sz w:val="20"/>
        </w:rPr>
        <w:t>Research literacy asks whether evidence is credible, meaningful, applicable, feasible, and culturally responsive.</w:t>
      </w:r>
    </w:p>
    <w:p>
      <w:pPr>
        <w:pStyle w:val="ListBullet"/>
        <w:spacing w:after="50" w:line="250" w:lineRule="auto"/>
        <w:keepLines/>
      </w:pPr>
      <w:r>
        <w:rPr>
          <w:rFonts w:ascii="Arial" w:hAnsi="Arial" w:eastAsia="Arial"/>
          <w:color w:val="1F2937"/>
          <w:sz w:val="20"/>
        </w:rPr>
        <w:t>Advocacy supports client autonomy and access without imposing counselor values or exceeding role.</w:t>
      </w:r>
    </w:p>
    <w:p>
      <w:pPr>
        <w:pStyle w:val="ListBullet"/>
        <w:spacing w:after="50" w:line="250" w:lineRule="auto"/>
        <w:keepLines/>
      </w:pPr>
      <w:r>
        <w:rPr>
          <w:rFonts w:ascii="Arial" w:hAnsi="Arial" w:eastAsia="Arial"/>
          <w:color w:val="1F2937"/>
          <w:sz w:val="20"/>
        </w:rPr>
        <w:t>CONSULT converts uncertainty into a specific resource, action, and development plan.</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5</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Self-Awareness, Self-Regulation, and Professional Wellbeing</w:t>
            </w:r>
          </w:p>
        </w:tc>
        <w:trPr>
          <w:tblHeader/>
        </w:trPr>
      </w:tr>
    </w:tbl>
    <w:p>
      <w:pPr>
        <w:spacing w:before="100" w:after="180"/>
      </w:pPr>
      <w:r>
        <w:rPr>
          <w:rFonts w:ascii="Arial" w:hAnsi="Arial" w:eastAsia="Arial"/>
          <w:i/>
          <w:color w:val="4E5B6B"/>
          <w:sz w:val="21"/>
        </w:rPr>
        <w:t>Counselor wellbeing matters because unrecognized stress changes attention, judgment, boundaries, empathy, and clinical behavior.</w:t>
      </w:r>
    </w:p>
    <w:tbl>
      <w:tblPr>
        <w:tblW w:type="auto" w:w="0"/>
        <w:jc w:val="center"/>
        <w:tblLook w:firstColumn="1" w:firstRow="1" w:lastColumn="0" w:lastRow="0" w:noHBand="0" w:noVBand="1" w:val="04A0"/>
      </w:tblPr>
      <w:tblGrid>
        <w:gridCol w:w="10310"/>
      </w:tblGrid>
      <w:tr>
        <w:trPr>
          <w:cantSplit/>
          <w:tblHeader/>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CHAPTER BIG IDEA</w:t>
            </w:r>
          </w:p>
          <w:p>
            <w:pPr>
              <w:spacing w:after="20" w:line="250" w:lineRule="auto"/>
            </w:pPr>
            <w:r>
              <w:rPr>
                <w:rFonts w:ascii="Arial" w:hAnsi="Arial" w:eastAsia="Arial"/>
                <w:color w:val="1F2937"/>
                <w:sz w:val="20"/>
              </w:rPr>
              <w:t>Self-care becomes a professional responsibility when counselor distress begins to affect client care, competence, boundaries, reliability, or judgment.</w:t>
            </w:r>
          </w:p>
        </w:tc>
      </w:tr>
    </w:tbl>
    <w:p>
      <w:pPr>
        <w:spacing w:after="0"/>
      </w:pPr>
    </w:p>
    <w:p>
      <w:pPr>
        <w:pStyle w:val="Heading2"/>
        <w:spacing w:before="140" w:after="80"/>
        <w:keepNext/>
      </w:pPr>
      <w:r>
        <w:rPr>
          <w:rFonts w:ascii="Arial" w:hAnsi="Arial" w:eastAsia="Arial"/>
          <w:b/>
          <w:color w:val="159C9C"/>
          <w:sz w:val="26"/>
        </w:rPr>
        <w:t>Differentiate the Counselor-Impact Patterns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2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Pattern</w:t>
            </w:r>
          </w:p>
        </w:tc>
        <w:tc>
          <w:tcPr>
            <w:tcW w:type="dxa" w:w="46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Core Feature</w:t>
            </w:r>
          </w:p>
        </w:tc>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Possible Signs</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Burnout</w:t>
            </w:r>
          </w:p>
        </w:tc>
        <w:tc>
          <w:tcPr>
            <w:tcW w:type="dxa" w:w="46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Cumulative occupational stress, workload, low control, inadequate resources, or mismatch with work demands.</w:t>
            </w:r>
          </w:p>
        </w:tc>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Exhaustion, cynicism, reduced efficacy, irritability, detachment, procrastination, dread.</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Compassion fatigue</w:t>
            </w:r>
          </w:p>
        </w:tc>
        <w:tc>
          <w:tcPr>
            <w:tcW w:type="dxa" w:w="46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Reduced capacity or willingness to engage empathically after sustained exposure to others’ suffering.</w:t>
            </w:r>
          </w:p>
        </w:tc>
        <w:tc>
          <w:tcPr>
            <w:tcW w:type="dxa" w:w="36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Emotional numbing, withdrawal, reduced patience, feeling depleted by client contact.</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Vicarious trauma</w:t>
            </w:r>
          </w:p>
        </w:tc>
        <w:tc>
          <w:tcPr>
            <w:tcW w:type="dxa" w:w="46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Changes in worldview, meaning, safety, trust, control, esteem, or intimacy related to repeated trauma exposure.</w:t>
            </w:r>
          </w:p>
        </w:tc>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Intrusive imagery, altered beliefs about safety or people, hypervigilance, avoidance, hopelessness.</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Countertransference activation</w:t>
            </w:r>
          </w:p>
        </w:tc>
        <w:tc>
          <w:tcPr>
            <w:tcW w:type="dxa" w:w="46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Client-specific counselor reactions shaped by the counselor’s history, needs, beliefs, or current stress.</w:t>
            </w:r>
          </w:p>
        </w:tc>
        <w:tc>
          <w:tcPr>
            <w:tcW w:type="dxa" w:w="36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Rescue, avoidance, anger, attraction, fear, overidentification, specialness, excessive disclosure.</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Impairment risk</w:t>
            </w:r>
          </w:p>
        </w:tc>
        <w:tc>
          <w:tcPr>
            <w:tcW w:type="dxa" w:w="46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 condition or level of distress that compromises competent, safe, and reliable professional functioning.</w:t>
            </w:r>
          </w:p>
        </w:tc>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Errors, missed risk, boundary violations, unreliable attendance, poor documentation, unsafe decision-making.</w:t>
            </w:r>
          </w:p>
        </w:tc>
      </w:tr>
    </w:tbl>
    <w:p>
      <w:pPr>
        <w:spacing w:after="0"/>
      </w:pPr>
    </w:p>
    <w:p>
      <w:pPr>
        <w:pStyle w:val="Heading2"/>
        <w:spacing w:before="140" w:after="80"/>
        <w:keepNext/>
      </w:pPr>
      <w:r>
        <w:rPr>
          <w:rFonts w:ascii="Arial" w:hAnsi="Arial" w:eastAsia="Arial"/>
          <w:b/>
          <w:color w:val="159C9C"/>
          <w:sz w:val="26"/>
        </w:rPr>
        <w:t>Self-Awareness as Clinical Data</w:t>
      </w:r>
    </w:p>
    <w:p>
      <w:pPr>
        <w:spacing w:before="0" w:after="100" w:line="254" w:lineRule="auto"/>
      </w:pPr>
      <w:r>
        <w:rPr>
          <w:rFonts w:ascii="Arial" w:hAnsi="Arial" w:eastAsia="Arial"/>
          <w:b w:val="0"/>
          <w:i w:val="0"/>
          <w:color w:val="1F2937"/>
          <w:sz w:val="20"/>
        </w:rPr>
        <w:t>The counselor monitors thoughts, emotions, body language, physiological activation, avoidance, values, assumptions, and interaction patterns. Self-awareness is not self-absorption. It is a method for preventing the counselor’s unexamined reaction from controlling the session.</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4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Signal</w:t>
            </w:r>
          </w:p>
        </w:tc>
        <w:tc>
          <w:tcPr>
            <w:tcW w:type="dxa" w:w="70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Possible Clinical Question</w:t>
            </w:r>
          </w:p>
        </w:tc>
      </w:tr>
      <w:tr>
        <w:trPr>
          <w:cantSplit/>
        </w:trPr>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Body tension, urgency, or narrowed attention</w:t>
            </w:r>
          </w:p>
        </w:tc>
        <w:tc>
          <w:tcPr>
            <w:tcW w:type="dxa" w:w="70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Am I moving too quickly, missing data, or reacting to perceived threat?</w:t>
            </w:r>
          </w:p>
        </w:tc>
      </w:tr>
      <w:tr>
        <w:trPr>
          <w:cantSplit/>
        </w:trPr>
        <w:tc>
          <w:tcPr>
            <w:tcW w:type="dxa" w:w="34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Strong rescue impulse</w:t>
            </w:r>
          </w:p>
        </w:tc>
        <w:tc>
          <w:tcPr>
            <w:tcW w:type="dxa" w:w="70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Whose need is driving the action, and am I supporting autonomy or creating dependence?</w:t>
            </w:r>
          </w:p>
        </w:tc>
      </w:tr>
      <w:tr>
        <w:trPr>
          <w:cantSplit/>
        </w:trPr>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Irritation or boredom</w:t>
            </w:r>
          </w:p>
        </w:tc>
        <w:tc>
          <w:tcPr>
            <w:tcW w:type="dxa" w:w="70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a rupture, avoidance pattern, unrealistic expectation, or counselor stress that needs reflection?</w:t>
            </w:r>
          </w:p>
        </w:tc>
      </w:tr>
      <w:tr>
        <w:trPr>
          <w:cantSplit/>
        </w:trPr>
        <w:tc>
          <w:tcPr>
            <w:tcW w:type="dxa" w:w="34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Fear of discussing identity or power</w:t>
            </w:r>
          </w:p>
        </w:tc>
        <w:tc>
          <w:tcPr>
            <w:tcW w:type="dxa" w:w="70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Am I avoiding broaching because of discomfort, and what support is needed to respond competently?</w:t>
            </w:r>
          </w:p>
        </w:tc>
      </w:tr>
      <w:tr>
        <w:trPr>
          <w:cantSplit/>
        </w:trPr>
        <w:tc>
          <w:tcPr>
            <w:tcW w:type="dxa" w:w="34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Repeated boundary exceptions</w:t>
            </w:r>
          </w:p>
        </w:tc>
        <w:tc>
          <w:tcPr>
            <w:tcW w:type="dxa" w:w="70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pattern serving treatment goals or meeting a counselor need?</w:t>
            </w:r>
          </w:p>
        </w:tc>
      </w:tr>
      <w:tr>
        <w:trPr>
          <w:cantSplit/>
        </w:trPr>
        <w:tc>
          <w:tcPr>
            <w:tcW w:type="dxa" w:w="34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Emotional numbing after trauma cases</w:t>
            </w:r>
          </w:p>
        </w:tc>
        <w:tc>
          <w:tcPr>
            <w:tcW w:type="dxa" w:w="70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 I need workload change, supervision, consultation, rest, treatment, or other support?</w:t>
            </w:r>
          </w:p>
        </w:tc>
      </w:tr>
    </w:tbl>
    <w:p>
      <w:pPr>
        <w:spacing w:after="0"/>
      </w:pPr>
    </w:p>
    <w:p>
      <w:pPr>
        <w:pStyle w:val="Heading2"/>
        <w:spacing w:before="140" w:after="80"/>
        <w:keepNext/>
      </w:pPr>
      <w:r>
        <w:rPr>
          <w:rFonts w:ascii="Arial" w:hAnsi="Arial" w:eastAsia="Arial"/>
          <w:b/>
          <w:color w:val="159C9C"/>
          <w:sz w:val="26"/>
        </w:rPr>
        <w:t>In-Session Self-Regulation</w:t>
      </w:r>
    </w:p>
    <w:p>
      <w:pPr>
        <w:spacing w:after="60" w:line="250" w:lineRule="auto"/>
        <w:keepLines/>
      </w:pPr>
      <w:r>
        <w:rPr>
          <w:rFonts w:ascii="Arial" w:hAnsi="Arial" w:eastAsia="Arial"/>
          <w:b/>
          <w:color w:val="17365D"/>
          <w:sz w:val="20"/>
        </w:rPr>
        <w:t xml:space="preserve">1.  </w:t>
      </w:r>
      <w:r>
        <w:rPr>
          <w:rFonts w:ascii="Arial" w:hAnsi="Arial" w:eastAsia="Arial"/>
          <w:sz w:val="20"/>
        </w:rPr>
        <w:t>Notice activation: name the internal signal without making the client manage it.</w:t>
      </w:r>
    </w:p>
    <w:p>
      <w:pPr>
        <w:spacing w:after="60" w:line="250" w:lineRule="auto"/>
        <w:keepLines/>
      </w:pPr>
      <w:r>
        <w:rPr>
          <w:rFonts w:ascii="Arial" w:hAnsi="Arial" w:eastAsia="Arial"/>
          <w:b/>
          <w:color w:val="17365D"/>
          <w:sz w:val="20"/>
        </w:rPr>
        <w:t xml:space="preserve">2.  </w:t>
      </w:r>
      <w:r>
        <w:rPr>
          <w:rFonts w:ascii="Arial" w:hAnsi="Arial" w:eastAsia="Arial"/>
          <w:sz w:val="20"/>
        </w:rPr>
        <w:t>Orient to the present: return attention to the client, the task, the room, and the current level of risk.</w:t>
      </w:r>
    </w:p>
    <w:p>
      <w:pPr>
        <w:spacing w:after="60" w:line="250" w:lineRule="auto"/>
        <w:keepLines/>
      </w:pPr>
      <w:r>
        <w:rPr>
          <w:rFonts w:ascii="Arial" w:hAnsi="Arial" w:eastAsia="Arial"/>
          <w:b/>
          <w:color w:val="17365D"/>
          <w:sz w:val="20"/>
        </w:rPr>
        <w:t xml:space="preserve">3.  </w:t>
      </w:r>
      <w:r>
        <w:rPr>
          <w:rFonts w:ascii="Arial" w:hAnsi="Arial" w:eastAsia="Arial"/>
          <w:sz w:val="20"/>
        </w:rPr>
        <w:t>Slow the sequence: pause before disclosure, confrontation, referral, interpretation, or exception.</w:t>
      </w:r>
    </w:p>
    <w:p>
      <w:pPr>
        <w:spacing w:after="60" w:line="250" w:lineRule="auto"/>
        <w:keepLines/>
      </w:pPr>
      <w:r>
        <w:rPr>
          <w:rFonts w:ascii="Arial" w:hAnsi="Arial" w:eastAsia="Arial"/>
          <w:b/>
          <w:color w:val="17365D"/>
          <w:sz w:val="20"/>
        </w:rPr>
        <w:t xml:space="preserve">4.  </w:t>
      </w:r>
      <w:r>
        <w:rPr>
          <w:rFonts w:ascii="Arial" w:hAnsi="Arial" w:eastAsia="Arial"/>
          <w:sz w:val="20"/>
        </w:rPr>
        <w:t>Use a brief regulation strategy: paced breathing, grounding, posture, unclenching, or silent labeling.</w:t>
      </w:r>
    </w:p>
    <w:p>
      <w:pPr>
        <w:spacing w:after="60" w:line="250" w:lineRule="auto"/>
        <w:keepLines/>
      </w:pPr>
      <w:r>
        <w:rPr>
          <w:rFonts w:ascii="Arial" w:hAnsi="Arial" w:eastAsia="Arial"/>
          <w:b/>
          <w:color w:val="17365D"/>
          <w:sz w:val="20"/>
        </w:rPr>
        <w:t xml:space="preserve">5.  </w:t>
      </w:r>
      <w:r>
        <w:rPr>
          <w:rFonts w:ascii="Arial" w:hAnsi="Arial" w:eastAsia="Arial"/>
          <w:sz w:val="20"/>
        </w:rPr>
        <w:t>Choose the least counselor-centered response that still advances the client’s goal.</w:t>
      </w:r>
    </w:p>
    <w:p>
      <w:pPr>
        <w:spacing w:after="60" w:line="250" w:lineRule="auto"/>
        <w:keepLines/>
      </w:pPr>
      <w:r>
        <w:rPr>
          <w:rFonts w:ascii="Arial" w:hAnsi="Arial" w:eastAsia="Arial"/>
          <w:b/>
          <w:color w:val="17365D"/>
          <w:sz w:val="20"/>
        </w:rPr>
        <w:t xml:space="preserve">6.  </w:t>
      </w:r>
      <w:r>
        <w:rPr>
          <w:rFonts w:ascii="Arial" w:hAnsi="Arial" w:eastAsia="Arial"/>
          <w:sz w:val="20"/>
        </w:rPr>
        <w:t>After the session, document the client care accurately and use supervision, consultation, or personal support for the counselor reaction.</w:t>
      </w:r>
    </w:p>
    <w:tbl>
      <w:tblPr>
        <w:tblW w:type="auto" w:w="0"/>
        <w:jc w:val="center"/>
        <w:tblLook w:firstColumn="1" w:firstRow="1" w:lastColumn="0" w:lastRow="0" w:noHBand="0" w:noVBand="1" w:val="04A0"/>
      </w:tblPr>
      <w:tblGrid>
        <w:gridCol w:w="10310"/>
      </w:tblGrid>
      <w:tr>
        <w:trPr>
          <w:cantSplit/>
          <w:tblHeader/>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EXAM TIP: DO NOT MAKE THE CLIENT REGULATE THE COUNSELOR</w:t>
            </w:r>
          </w:p>
          <w:p>
            <w:pPr>
              <w:spacing w:after="20" w:line="250" w:lineRule="auto"/>
            </w:pPr>
            <w:r>
              <w:rPr>
                <w:rFonts w:ascii="Arial" w:hAnsi="Arial" w:eastAsia="Arial"/>
                <w:color w:val="1F2937"/>
                <w:sz w:val="20"/>
              </w:rPr>
              <w:t>A counselor may acknowledge a rupture or take responsibility for an impact, but should not use the client for emotional reassurance, personal processing, or relief from guilt.</w:t>
            </w:r>
          </w:p>
        </w:tc>
      </w:tr>
    </w:tbl>
    <w:p>
      <w:pPr>
        <w:spacing w:after="0"/>
      </w:pPr>
    </w:p>
    <w:p>
      <w:pPr>
        <w:pStyle w:val="Heading2"/>
        <w:spacing w:before="140" w:after="80"/>
        <w:keepNext/>
      </w:pPr>
      <w:r>
        <w:rPr>
          <w:rFonts w:ascii="Arial" w:hAnsi="Arial" w:eastAsia="Arial"/>
          <w:b/>
          <w:color w:val="159C9C"/>
          <w:sz w:val="26"/>
        </w:rPr>
        <w:t>The RESET Professional Wellbeing Plan</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09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Step</w:t>
            </w:r>
          </w:p>
        </w:tc>
        <w:tc>
          <w:tcPr>
            <w:tcW w:type="dxa" w:w="741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Action</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 - Recognize</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Identify signs in attention, emotion, body, behavior, boundaries, documentation, and reliability.</w:t>
            </w:r>
          </w:p>
        </w:tc>
      </w:tr>
      <w:tr>
        <w:trPr>
          <w:cantSplit/>
        </w:trPr>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Evaluate impact</w:t>
            </w:r>
          </w:p>
        </w:tc>
        <w:tc>
          <w:tcPr>
            <w:tcW w:type="dxa" w:w="74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Determine whether client care, risk assessment, judgment, empathy, or competence is being affected.</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Seek support</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supervision, consultation, personal therapy, medical care, peer support, or organizational resources as appropriate.</w:t>
            </w:r>
          </w:p>
        </w:tc>
      </w:tr>
      <w:tr>
        <w:trPr>
          <w:cantSplit/>
        </w:trPr>
        <w:tc>
          <w:tcPr>
            <w:tcW w:type="dxa" w:w="309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Establish protection</w:t>
            </w:r>
          </w:p>
        </w:tc>
        <w:tc>
          <w:tcPr>
            <w:tcW w:type="dxa" w:w="741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Adjust caseload, scheduling, exposure, boundaries, coverage, or duties; arrange continuity when needed.</w:t>
            </w:r>
          </w:p>
        </w:tc>
      </w:tr>
      <w:tr>
        <w:trPr>
          <w:cantSplit/>
        </w:trPr>
        <w:tc>
          <w:tcPr>
            <w:tcW w:type="dxa" w:w="309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Track recovery and competence</w:t>
            </w:r>
          </w:p>
        </w:tc>
        <w:tc>
          <w:tcPr>
            <w:tcW w:type="dxa" w:w="74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Monitor functioning, document professional actions when appropriate, and do not resume affected work until safe and competent.</w:t>
            </w:r>
          </w:p>
        </w:tc>
      </w:tr>
    </w:tbl>
    <w:p>
      <w:pPr>
        <w:spacing w:after="0"/>
      </w:pPr>
    </w:p>
    <w:p>
      <w:pPr>
        <w:pStyle w:val="Heading2"/>
        <w:spacing w:before="140" w:after="80"/>
        <w:keepNext/>
      </w:pPr>
      <w:r>
        <w:rPr>
          <w:rFonts w:ascii="Arial" w:hAnsi="Arial" w:eastAsia="Arial"/>
          <w:b/>
          <w:color w:val="159C9C"/>
          <w:sz w:val="26"/>
        </w:rPr>
        <w:t>When Self-Care Is Not Enough</w:t>
      </w:r>
    </w:p>
    <w:p>
      <w:pPr>
        <w:spacing w:before="0" w:after="100" w:line="254" w:lineRule="auto"/>
      </w:pPr>
      <w:r>
        <w:rPr>
          <w:rFonts w:ascii="Arial" w:hAnsi="Arial" w:eastAsia="Arial"/>
          <w:b w:val="0"/>
          <w:i w:val="0"/>
          <w:color w:val="1F2937"/>
          <w:sz w:val="20"/>
        </w:rPr>
        <w:t>Routine self-care can support wellbeing, but it is not a sufficient response when functioning is impaired. Strong professional action may require reduced workload, increased supervision, consultation, temporary leave, treatment, transfer of selected clients, emergency coverage, or other steps that protect continuity and client welfare.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44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Level</w:t>
            </w:r>
          </w:p>
        </w:tc>
        <w:tc>
          <w:tcPr>
            <w:tcW w:type="dxa" w:w="80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Illustrative Response</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Early strain</w:t>
            </w:r>
          </w:p>
        </w:tc>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Monitor, restore sleep and recovery, strengthen boundaries, use peer support, and discuss workload.</w:t>
            </w:r>
          </w:p>
        </w:tc>
      </w:tr>
      <w:tr>
        <w:trPr>
          <w:cantSplit/>
        </w:trPr>
        <w:tc>
          <w:tcPr>
            <w:tcW w:type="dxa" w:w="244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Persistent clinical impact</w:t>
            </w:r>
          </w:p>
        </w:tc>
        <w:tc>
          <w:tcPr>
            <w:tcW w:type="dxa" w:w="80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Seek supervision/consultation, adjust caseload or duties, use personal treatment or medical support, and monitor outcomes.</w:t>
            </w:r>
          </w:p>
        </w:tc>
      </w:tr>
      <w:tr>
        <w:trPr>
          <w:cantSplit/>
        </w:trPr>
        <w:tc>
          <w:tcPr>
            <w:tcW w:type="dxa" w:w="244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Impairment or safety concern</w:t>
            </w:r>
          </w:p>
        </w:tc>
        <w:tc>
          <w:tcPr>
            <w:tcW w:type="dxa" w:w="80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Stop or modify affected services, arrange coverage and continuity, obtain urgent professional help, and follow legal, ethical, employer, and Board requirements.</w:t>
            </w:r>
          </w:p>
        </w:tc>
      </w:tr>
    </w:tbl>
    <w:p>
      <w:pPr>
        <w:spacing w:after="0"/>
      </w:pPr>
    </w:p>
    <w:p>
      <w:pPr>
        <w:pStyle w:val="Heading2"/>
        <w:spacing w:before="140" w:after="80"/>
        <w:keepNext/>
      </w:pPr>
      <w:r>
        <w:rPr>
          <w:rFonts w:ascii="Arial" w:hAnsi="Arial" w:eastAsia="Arial"/>
          <w:b/>
          <w:color w:val="159C9C"/>
          <w:sz w:val="26"/>
        </w:rPr>
        <w:t>Clinical Application: Vicarious Trauma and Reliability</w:t>
      </w:r>
    </w:p>
    <w:p>
      <w:pPr>
        <w:spacing w:before="0" w:after="100" w:line="254" w:lineRule="auto"/>
      </w:pPr>
      <w:r>
        <w:rPr>
          <w:rFonts w:ascii="Arial" w:hAnsi="Arial" w:eastAsia="Arial"/>
          <w:b w:val="0"/>
          <w:i w:val="0"/>
          <w:color w:val="1F2937"/>
          <w:sz w:val="20"/>
        </w:rPr>
        <w:t>After several months of trauma-focused work, a counselor experiences intrusive images, avoids reviewing trauma notes, becomes irritable with clients, and has missed two safety-plan follow-ups. The counselor plans to “push through” until vacation.</w:t>
      </w:r>
    </w:p>
    <w:p>
      <w:pPr>
        <w:spacing w:before="0" w:after="100" w:line="254" w:lineRule="auto"/>
      </w:pPr>
      <w:r>
        <w:rPr>
          <w:rFonts w:ascii="Arial" w:hAnsi="Arial" w:eastAsia="Arial"/>
          <w:b/>
          <w:i w:val="0"/>
          <w:color w:val="17365D"/>
          <w:sz w:val="20"/>
        </w:rPr>
        <w:t>What is the best response?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100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Option</w:t>
            </w:r>
          </w:p>
        </w:tc>
        <w:tc>
          <w:tcPr>
            <w:tcW w:type="dxa" w:w="95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Response</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Continue unchanged because self-care occurs outside work.</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Disclose the intrusive images to clients so they understand the counselor’s behavior.</w:t>
            </w:r>
          </w:p>
        </w:tc>
      </w:tr>
      <w:tr>
        <w:trPr>
          <w:cantSplit/>
        </w:trPr>
        <w:tc>
          <w:tcPr>
            <w:tcW w:type="dxa" w:w="100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w:t>
            </w:r>
          </w:p>
        </w:tc>
        <w:tc>
          <w:tcPr>
            <w:tcW w:type="dxa" w:w="95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Assess the impact on competence and client safety, seek supervision and appropriate personal support, correct missed follow-up, and adjust workload or coverage as needed.</w:t>
            </w:r>
          </w:p>
        </w:tc>
      </w:tr>
      <w:tr>
        <w:trPr>
          <w:cantSplit/>
        </w:trPr>
        <w:tc>
          <w:tcPr>
            <w:tcW w:type="dxa" w:w="100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w:t>
            </w:r>
          </w:p>
        </w:tc>
        <w:tc>
          <w:tcPr>
            <w:tcW w:type="dxa" w:w="95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Terminate every trauma client immediately without consultation.</w:t>
            </w:r>
          </w:p>
        </w:tc>
      </w:tr>
    </w:tbl>
    <w:p>
      <w:pPr>
        <w:spacing w:after="0"/>
      </w:pP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BEST REASONING</w:t>
            </w:r>
          </w:p>
          <w:p>
            <w:pPr>
              <w:spacing w:after="20" w:line="250" w:lineRule="auto"/>
            </w:pPr>
            <w:r>
              <w:rPr>
                <w:rFonts w:ascii="Arial" w:hAnsi="Arial" w:eastAsia="Arial"/>
                <w:color w:val="1F2937"/>
                <w:sz w:val="20"/>
              </w:rPr>
              <w:t>C. The signs are already affecting reliability and safety-related tasks. The response must protect clients and address counselor functioning; pushing through, burdening clients, or abrupt mass termination are not proportionate.</w:t>
            </w:r>
          </w:p>
        </w:tc>
      </w:tr>
    </w:tbl>
    <w:p>
      <w:pPr>
        <w:spacing w:after="0"/>
      </w:pPr>
    </w:p>
    <w:p>
      <w:pPr>
        <w:pStyle w:val="Heading2"/>
        <w:spacing w:before="140" w:after="80"/>
        <w:keepNext/>
      </w:pPr>
      <w:r>
        <w:rPr>
          <w:rFonts w:ascii="Arial" w:hAnsi="Arial" w:eastAsia="Arial"/>
          <w:b/>
          <w:color w:val="159C9C"/>
          <w:sz w:val="26"/>
        </w:rPr>
        <w:t>Counselor Self-Awareness Inventory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8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Area</w:t>
            </w:r>
          </w:p>
        </w:tc>
        <w:tc>
          <w:tcPr>
            <w:tcW w:type="dxa" w:w="66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Current Evidence / Warning Signs / Next Action</w:t>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Strengths I bring to counseling</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Limits in knowledge, skill, population, modality, assessment, or technology</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presentations that strongly activate me</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Body-language and self-regulation signals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Boundary patterns under stress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Burnout, compassion-fatigue, or vicarious-trauma indicators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Supervision, consultation, and personal-support resources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Caseload, scheduling, and recovery protections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8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Specific development goal for the next 30 days</w:t>
            </w:r>
          </w:p>
        </w:tc>
        <w:tc>
          <w:tcPr>
            <w:tcW w:type="dxa" w:w="66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Chapter 5 Summary</w:t>
      </w:r>
    </w:p>
    <w:p>
      <w:pPr>
        <w:pStyle w:val="ListBullet"/>
        <w:spacing w:after="50" w:line="250" w:lineRule="auto"/>
        <w:keepLines/>
      </w:pPr>
      <w:r>
        <w:rPr>
          <w:rFonts w:ascii="Arial" w:hAnsi="Arial" w:eastAsia="Arial"/>
          <w:color w:val="1F2937"/>
          <w:sz w:val="20"/>
        </w:rPr>
        <w:t>Counselor self-awareness protects judgment, boundaries, alliance, and client safety.</w:t>
      </w:r>
    </w:p>
    <w:p>
      <w:pPr>
        <w:pStyle w:val="ListBullet"/>
        <w:spacing w:after="50" w:line="250" w:lineRule="auto"/>
        <w:keepLines/>
      </w:pPr>
      <w:r>
        <w:rPr>
          <w:rFonts w:ascii="Arial" w:hAnsi="Arial" w:eastAsia="Arial"/>
          <w:color w:val="1F2937"/>
          <w:sz w:val="20"/>
        </w:rPr>
        <w:t>Burnout, compassion fatigue, vicarious trauma, countertransference, and impairment overlap but are not identical.</w:t>
      </w:r>
    </w:p>
    <w:p>
      <w:pPr>
        <w:pStyle w:val="ListBullet"/>
        <w:spacing w:after="50" w:line="250" w:lineRule="auto"/>
        <w:keepLines/>
      </w:pPr>
      <w:r>
        <w:rPr>
          <w:rFonts w:ascii="Arial" w:hAnsi="Arial" w:eastAsia="Arial"/>
          <w:color w:val="1F2937"/>
          <w:sz w:val="20"/>
        </w:rPr>
        <w:t>Self-regulation occurs before acting on a strong reaction and should not make the client care for the counselor.</w:t>
      </w:r>
    </w:p>
    <w:p>
      <w:pPr>
        <w:pStyle w:val="ListBullet"/>
        <w:spacing w:after="50" w:line="250" w:lineRule="auto"/>
        <w:keepLines/>
      </w:pPr>
      <w:r>
        <w:rPr>
          <w:rFonts w:ascii="Arial" w:hAnsi="Arial" w:eastAsia="Arial"/>
          <w:color w:val="1F2937"/>
          <w:sz w:val="20"/>
        </w:rPr>
        <w:t>Persistent impact requires supervision, consultation, workload or role changes, and appropriate personal support.</w:t>
      </w:r>
    </w:p>
    <w:p>
      <w:pPr>
        <w:pStyle w:val="ListBullet"/>
        <w:spacing w:after="50" w:line="250" w:lineRule="auto"/>
        <w:keepLines/>
      </w:pPr>
      <w:r>
        <w:rPr>
          <w:rFonts w:ascii="Arial" w:hAnsi="Arial" w:eastAsia="Arial"/>
          <w:color w:val="1F2937"/>
          <w:sz w:val="20"/>
        </w:rPr>
        <w:t>RESET links awareness to concrete protection and recovery actions.</w:t>
      </w:r>
    </w:p>
    <w:p>
      <w:pPr>
        <w:pStyle w:val="Heading1"/>
        <w:spacing w:before="100" w:after="80"/>
        <w:keepNext/>
      </w:pPr>
      <w:r>
        <w:rPr>
          <w:rFonts w:ascii="Arial" w:hAnsi="Arial" w:eastAsia="Arial"/>
          <w:b/>
          <w:color w:val="17365D"/>
          <w:sz w:val="23"/>
        </w:rPr>
        <w:t>Original CTA Cumulative Case Lab: Priya</w:t>
      </w:r>
    </w:p>
    <w:tbl>
      <w:tblPr>
        <w:tblW w:type="auto" w:w="0"/>
        <w:jc w:val="center"/>
        <w:tblLook w:firstColumn="1" w:firstRow="1" w:lastColumn="0" w:lastRow="0" w:noHBand="0" w:noVBand="1" w:val="04A0"/>
      </w:tblPr>
      <w:tblGrid>
        <w:gridCol w:w="10310"/>
      </w:tblGrid>
      <w:tr>
        <w:trPr>
          <w:cantSplit/>
          <w:tblHeader/>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USE NOTICE</w:t>
            </w:r>
          </w:p>
          <w:p>
            <w:pPr>
              <w:spacing w:after="20" w:line="250" w:lineRule="auto"/>
            </w:pPr>
            <w:r>
              <w:rPr>
                <w:rFonts w:ascii="Arial" w:hAnsi="Arial" w:eastAsia="Arial"/>
                <w:color w:val="1F2937"/>
                <w:sz w:val="20"/>
              </w:rPr>
              <w:t>This is an original CTA teaching case. It is designed to integrate professional identity, scope, competence, boundaries, consultation, and counselor self-awareness. It is not an actual or recalled NCMHCE case.</w:t>
            </w:r>
          </w:p>
        </w:tc>
      </w:tr>
    </w:tbl>
    <w:p>
      <w:pPr>
        <w:spacing w:after="0"/>
      </w:pPr>
    </w:p>
    <w:p>
      <w:pPr>
        <w:pStyle w:val="Heading2"/>
        <w:spacing w:before="140" w:after="80"/>
        <w:keepNext/>
      </w:pPr>
      <w:r>
        <w:rPr>
          <w:rFonts w:ascii="Arial" w:hAnsi="Arial" w:eastAsia="Arial"/>
          <w:b/>
          <w:color w:val="159C9C"/>
          <w:sz w:val="26"/>
        </w:rPr>
        <w:t>Part 1: Role and Competence</w:t>
      </w:r>
    </w:p>
    <w:p>
      <w:pPr>
        <w:spacing w:before="0" w:after="100" w:line="254" w:lineRule="auto"/>
      </w:pPr>
      <w:r>
        <w:rPr>
          <w:rFonts w:ascii="Arial" w:hAnsi="Arial" w:eastAsia="Arial"/>
          <w:b w:val="0"/>
          <w:i w:val="0"/>
          <w:color w:val="1F2937"/>
          <w:sz w:val="20"/>
        </w:rPr>
        <w:t>Priya is an APCC at an outpatient clinic. A 46-year-old client reports anxiety, headaches, memory lapses, and difficulty returning to work after a motor-vehicle collision. The clinic director asks Priya to administer an individually administered intelligence test and a neuropsychological battery because the client’s insurer wants objective results. Priya has never administered either type of test. Her supervisor is available later that day.</w:t>
      </w:r>
    </w:p>
    <w:p>
      <w:pPr>
        <w:pStyle w:val="ListBullet"/>
        <w:spacing w:after="50" w:line="250" w:lineRule="auto"/>
        <w:keepLines/>
      </w:pPr>
      <w:r>
        <w:rPr>
          <w:rFonts w:ascii="Arial" w:hAnsi="Arial" w:eastAsia="Arial"/>
          <w:color w:val="1F2937"/>
          <w:sz w:val="20"/>
        </w:rPr>
        <w:t>Identify the scope issue.</w:t>
      </w:r>
    </w:p>
    <w:p>
      <w:pPr>
        <w:pStyle w:val="ListBullet"/>
        <w:spacing w:after="50" w:line="250" w:lineRule="auto"/>
        <w:keepLines/>
      </w:pPr>
      <w:r>
        <w:rPr>
          <w:rFonts w:ascii="Arial" w:hAnsi="Arial" w:eastAsia="Arial"/>
          <w:color w:val="1F2937"/>
          <w:sz w:val="20"/>
        </w:rPr>
        <w:t>Identify the competence issue.</w:t>
      </w:r>
    </w:p>
    <w:p>
      <w:pPr>
        <w:pStyle w:val="ListBullet"/>
        <w:spacing w:after="50" w:line="250" w:lineRule="auto"/>
        <w:keepLines/>
      </w:pPr>
      <w:r>
        <w:rPr>
          <w:rFonts w:ascii="Arial" w:hAnsi="Arial" w:eastAsia="Arial"/>
          <w:color w:val="1F2937"/>
          <w:sz w:val="20"/>
        </w:rPr>
        <w:t>Identify the immediate counseling role Priya can still perform.</w:t>
      </w:r>
    </w:p>
    <w:p>
      <w:pPr>
        <w:pStyle w:val="ListBullet"/>
        <w:spacing w:after="50" w:line="250" w:lineRule="auto"/>
        <w:keepLines/>
      </w:pPr>
      <w:r>
        <w:rPr>
          <w:rFonts w:ascii="Arial" w:hAnsi="Arial" w:eastAsia="Arial"/>
          <w:color w:val="1F2937"/>
          <w:sz w:val="20"/>
        </w:rPr>
        <w:t>Write the best supervision and referral question.</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GUIDED ANALYSIS</w:t>
            </w:r>
          </w:p>
          <w:p>
            <w:pPr>
              <w:spacing w:after="20" w:line="250" w:lineRule="auto"/>
            </w:pPr>
            <w:r>
              <w:rPr>
                <w:rFonts w:ascii="Arial" w:hAnsi="Arial" w:eastAsia="Arial"/>
                <w:color w:val="1F2937"/>
                <w:sz w:val="20"/>
              </w:rPr>
              <w:t>The requested testing is outside California LPCC assessment scope and outside Priya’s competence. Priya can assess current counseling needs, functioning, risk, emotional impact, and barriers; communicate the concern to her supervisor; and coordinate referral to qualified medical or psychological professionals.</w:t>
            </w:r>
          </w:p>
        </w:tc>
      </w:tr>
    </w:tbl>
    <w:p>
      <w:pPr>
        <w:spacing w:after="0"/>
      </w:pPr>
    </w:p>
    <w:p>
      <w:pPr>
        <w:pStyle w:val="Heading2"/>
        <w:spacing w:before="140" w:after="80"/>
        <w:keepNext/>
      </w:pPr>
      <w:r>
        <w:rPr>
          <w:rFonts w:ascii="Arial" w:hAnsi="Arial" w:eastAsia="Arial"/>
          <w:b/>
          <w:color w:val="159C9C"/>
          <w:sz w:val="26"/>
        </w:rPr>
        <w:t>Part 2: Fit and Boundaries</w:t>
      </w:r>
    </w:p>
    <w:p>
      <w:pPr>
        <w:spacing w:before="0" w:after="100" w:line="254" w:lineRule="auto"/>
      </w:pPr>
      <w:r>
        <w:rPr>
          <w:rFonts w:ascii="Arial" w:hAnsi="Arial" w:eastAsia="Arial"/>
          <w:b w:val="0"/>
          <w:i w:val="0"/>
          <w:color w:val="1F2937"/>
          <w:sz w:val="20"/>
        </w:rPr>
        <w:t>The client begins sending Priya frequent after-hours messages and says Priya is “the only professional who believes me.” Priya feels protective because a family member had a similar injury and was dismissed by providers. Priya starts answering messages outside clinic policy and considers telling the client about the family member.</w:t>
      </w:r>
    </w:p>
    <w:p>
      <w:pPr>
        <w:pStyle w:val="ListBullet"/>
        <w:spacing w:after="50" w:line="250" w:lineRule="auto"/>
        <w:keepLines/>
      </w:pPr>
      <w:r>
        <w:rPr>
          <w:rFonts w:ascii="Arial" w:hAnsi="Arial" w:eastAsia="Arial"/>
          <w:color w:val="1F2937"/>
          <w:sz w:val="20"/>
        </w:rPr>
        <w:t>What counselor reaction needs attention?</w:t>
      </w:r>
    </w:p>
    <w:p>
      <w:pPr>
        <w:pStyle w:val="ListBullet"/>
        <w:spacing w:after="50" w:line="250" w:lineRule="auto"/>
        <w:keepLines/>
      </w:pPr>
      <w:r>
        <w:rPr>
          <w:rFonts w:ascii="Arial" w:hAnsi="Arial" w:eastAsia="Arial"/>
          <w:color w:val="1F2937"/>
          <w:sz w:val="20"/>
        </w:rPr>
        <w:t>What power and boundary issues are developing?</w:t>
      </w:r>
    </w:p>
    <w:p>
      <w:pPr>
        <w:pStyle w:val="ListBullet"/>
        <w:spacing w:after="50" w:line="250" w:lineRule="auto"/>
        <w:keepLines/>
      </w:pPr>
      <w:r>
        <w:rPr>
          <w:rFonts w:ascii="Arial" w:hAnsi="Arial" w:eastAsia="Arial"/>
          <w:color w:val="1F2937"/>
          <w:sz w:val="20"/>
        </w:rPr>
        <w:t>What should Priya do before self-disclosing?</w:t>
      </w:r>
    </w:p>
    <w:p>
      <w:pPr>
        <w:pStyle w:val="ListBullet"/>
        <w:spacing w:after="50" w:line="250" w:lineRule="auto"/>
        <w:keepLines/>
      </w:pPr>
      <w:r>
        <w:rPr>
          <w:rFonts w:ascii="Arial" w:hAnsi="Arial" w:eastAsia="Arial"/>
          <w:color w:val="1F2937"/>
          <w:sz w:val="20"/>
        </w:rPr>
        <w:t>How could Priya repair the frame without shaming the client?</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GUIDED ANALYSIS</w:t>
            </w:r>
          </w:p>
          <w:p>
            <w:pPr>
              <w:spacing w:after="20" w:line="250" w:lineRule="auto"/>
            </w:pPr>
            <w:r>
              <w:rPr>
                <w:rFonts w:ascii="Arial" w:hAnsi="Arial" w:eastAsia="Arial"/>
                <w:color w:val="1F2937"/>
                <w:sz w:val="20"/>
              </w:rPr>
              <w:t>Priya’s protectiveness may be countertransference and is contributing to exceptions. She should regulate, return to policy and the therapeutic frame, explore the client’s need and meaning, seek supervision, and use disclosure only if a clear client-centered purpose outweighs risk.</w:t>
            </w:r>
          </w:p>
        </w:tc>
      </w:tr>
    </w:tbl>
    <w:p>
      <w:pPr>
        <w:spacing w:after="0"/>
      </w:pPr>
    </w:p>
    <w:p>
      <w:pPr>
        <w:pStyle w:val="Heading2"/>
        <w:spacing w:before="140" w:after="80"/>
        <w:keepNext/>
      </w:pPr>
      <w:r>
        <w:rPr>
          <w:rFonts w:ascii="Arial" w:hAnsi="Arial" w:eastAsia="Arial"/>
          <w:b/>
          <w:color w:val="159C9C"/>
          <w:sz w:val="26"/>
        </w:rPr>
        <w:t>Part 3: Professional Wellbeing and Development</w:t>
      </w:r>
    </w:p>
    <w:p>
      <w:pPr>
        <w:spacing w:before="0" w:after="100" w:line="254" w:lineRule="auto"/>
      </w:pPr>
      <w:r>
        <w:rPr>
          <w:rFonts w:ascii="Arial" w:hAnsi="Arial" w:eastAsia="Arial"/>
          <w:b w:val="0"/>
          <w:i w:val="0"/>
          <w:color w:val="1F2937"/>
          <w:sz w:val="20"/>
        </w:rPr>
        <w:t>Over the next month, Priya becomes preoccupied with injury cases, sleeps poorly, and notices resentment toward colleagues who recommend medical evaluation. She misses one supervision meeting and delays two notes. Priya still believes she can manage because her clients say she is helpful.</w:t>
      </w:r>
    </w:p>
    <w:p>
      <w:pPr>
        <w:pStyle w:val="ListBullet"/>
        <w:spacing w:after="50" w:line="250" w:lineRule="auto"/>
        <w:keepLines/>
      </w:pPr>
      <w:r>
        <w:rPr>
          <w:rFonts w:ascii="Arial" w:hAnsi="Arial" w:eastAsia="Arial"/>
          <w:color w:val="1F2937"/>
          <w:sz w:val="20"/>
        </w:rPr>
        <w:t>Which signs suggest burnout, vicarious trauma, countertransference, or impairment risk?</w:t>
      </w:r>
    </w:p>
    <w:p>
      <w:pPr>
        <w:pStyle w:val="ListBullet"/>
        <w:spacing w:after="50" w:line="250" w:lineRule="auto"/>
        <w:keepLines/>
      </w:pPr>
      <w:r>
        <w:rPr>
          <w:rFonts w:ascii="Arial" w:hAnsi="Arial" w:eastAsia="Arial"/>
          <w:color w:val="1F2937"/>
          <w:sz w:val="20"/>
        </w:rPr>
        <w:t>What evidence shows client care may already be affected?</w:t>
      </w:r>
    </w:p>
    <w:p>
      <w:pPr>
        <w:pStyle w:val="ListBullet"/>
        <w:spacing w:after="50" w:line="250" w:lineRule="auto"/>
        <w:keepLines/>
      </w:pPr>
      <w:r>
        <w:rPr>
          <w:rFonts w:ascii="Arial" w:hAnsi="Arial" w:eastAsia="Arial"/>
          <w:color w:val="1F2937"/>
          <w:sz w:val="20"/>
        </w:rPr>
        <w:t>Which RESET actions are needed now?</w:t>
      </w:r>
    </w:p>
    <w:p>
      <w:pPr>
        <w:pStyle w:val="ListBullet"/>
        <w:spacing w:after="50" w:line="250" w:lineRule="auto"/>
        <w:keepLines/>
      </w:pPr>
      <w:r>
        <w:rPr>
          <w:rFonts w:ascii="Arial" w:hAnsi="Arial" w:eastAsia="Arial"/>
          <w:color w:val="1F2937"/>
          <w:sz w:val="20"/>
        </w:rPr>
        <w:t>What longer-term professional-development goal could reduce recurrence?</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GUIDED ANALYSIS</w:t>
            </w:r>
          </w:p>
          <w:p>
            <w:pPr>
              <w:spacing w:after="20" w:line="250" w:lineRule="auto"/>
            </w:pPr>
            <w:r>
              <w:rPr>
                <w:rFonts w:ascii="Arial" w:hAnsi="Arial" w:eastAsia="Arial"/>
                <w:color w:val="1F2937"/>
                <w:sz w:val="20"/>
              </w:rPr>
              <w:t>Positive client feedback does not cancel evidence of reduced reliability and impaired objectivity. Priya should assess impact, re-engage supervision, correct documentation and continuity gaps, obtain appropriate personal support, and adjust workload or coverage. Longer-term goals may include trauma-informed rehabilitation training, structured consultation, and caseload monitoring.</w:t>
            </w:r>
          </w:p>
        </w:tc>
      </w:tr>
    </w:tbl>
    <w:p>
      <w:pPr>
        <w:spacing w:after="0"/>
      </w:pPr>
    </w:p>
    <w:p>
      <w:pPr>
        <w:pStyle w:val="Heading1"/>
        <w:spacing w:before="100" w:after="80"/>
        <w:keepNext/>
      </w:pPr>
      <w:r>
        <w:rPr>
          <w:rFonts w:ascii="Arial" w:hAnsi="Arial" w:eastAsia="Arial"/>
          <w:b/>
          <w:color w:val="17365D"/>
          <w:sz w:val="23"/>
        </w:rPr>
        <w:t>Workbook 2 Knowledge Check</w:t>
      </w:r>
    </w:p>
    <w:p>
      <w:pPr>
        <w:spacing w:before="0" w:after="100" w:line="254" w:lineRule="auto"/>
      </w:pPr>
      <w:r>
        <w:rPr>
          <w:rFonts w:ascii="Arial" w:hAnsi="Arial" w:eastAsia="Arial"/>
          <w:b w:val="0"/>
          <w:i w:val="0"/>
          <w:color w:val="1F2937"/>
          <w:sz w:val="20"/>
        </w:rPr>
        <w:t>Complete all 10 questions without using the answer key. Mark confidence from 1 (guessing) to 3 (high confidence). Review both correct and incorrect options afterward.</w:t>
      </w:r>
    </w:p>
    <w:p>
      <w:pPr>
        <w:spacing w:before="140" w:after="40"/>
        <w:keepNext/>
      </w:pPr>
      <w:r>
        <w:rPr>
          <w:rFonts w:ascii="Arial" w:hAnsi="Arial" w:eastAsia="Arial"/>
          <w:b/>
          <w:color w:val="1F7A8C"/>
          <w:sz w:val="17"/>
        </w:rPr>
        <w:t>LPCC-WB02-Q001 | Knowledge &amp; Recall | Easy | Primary concept: California LPCC scope</w:t>
      </w:r>
    </w:p>
    <w:p>
      <w:pPr>
        <w:spacing w:after="60" w:line="250" w:lineRule="auto"/>
        <w:keepNext/>
      </w:pPr>
      <w:r>
        <w:rPr>
          <w:rFonts w:ascii="Arial" w:hAnsi="Arial" w:eastAsia="Arial"/>
          <w:b/>
          <w:color w:val="1F2937"/>
          <w:sz w:val="20"/>
        </w:rPr>
        <w:t>Which activity most clearly reflects California professional clinical counseling when performed within competence?</w:t>
      </w:r>
    </w:p>
    <w:p>
      <w:pPr>
        <w:spacing w:after="40" w:line="247" w:lineRule="auto"/>
        <w:ind w:left="216" w:hanging="216"/>
        <w:keepNext/>
      </w:pPr>
      <w:r>
        <w:rPr>
          <w:rFonts w:ascii="Arial" w:hAnsi="Arial" w:eastAsia="Arial"/>
          <w:sz w:val="20"/>
        </w:rPr>
        <w:t>A. Using counseling interventions to address anxiety, disability adjustment, and psychosocial stress within a professional counseling relationship.</w:t>
      </w:r>
    </w:p>
    <w:p>
      <w:pPr>
        <w:spacing w:after="40" w:line="247" w:lineRule="auto"/>
        <w:ind w:left="216" w:hanging="216"/>
        <w:keepNext/>
      </w:pPr>
      <w:r>
        <w:rPr>
          <w:rFonts w:ascii="Arial" w:hAnsi="Arial" w:eastAsia="Arial"/>
          <w:sz w:val="20"/>
        </w:rPr>
        <w:t>B. Providing clinical social work services under the LPCC title.</w:t>
      </w:r>
    </w:p>
    <w:p>
      <w:pPr>
        <w:spacing w:after="40" w:line="247" w:lineRule="auto"/>
        <w:ind w:left="216" w:hanging="216"/>
        <w:keepNext/>
      </w:pPr>
      <w:r>
        <w:rPr>
          <w:rFonts w:ascii="Arial" w:hAnsi="Arial" w:eastAsia="Arial"/>
          <w:sz w:val="20"/>
        </w:rPr>
        <w:t>C. Conducting an individually administered intelligence test to determine intellectual disability.</w:t>
      </w:r>
    </w:p>
    <w:p>
      <w:pPr>
        <w:spacing w:after="40" w:line="247" w:lineRule="auto"/>
        <w:ind w:left="216" w:hanging="216"/>
        <w:keepNext/>
      </w:pPr>
      <w:r>
        <w:rPr>
          <w:rFonts w:ascii="Arial" w:hAnsi="Arial" w:eastAsia="Arial"/>
          <w:sz w:val="20"/>
        </w:rPr>
        <w:t>D. Offering nonmental-health career placement services as licensed clinical counseling.</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LPCC-WB02-Q002 | Application | Easy | Primary concept: APCC status</w:t>
      </w:r>
    </w:p>
    <w:p>
      <w:pPr>
        <w:spacing w:after="60" w:line="250" w:lineRule="auto"/>
        <w:keepNext/>
      </w:pPr>
      <w:r>
        <w:rPr>
          <w:rFonts w:ascii="Arial" w:hAnsi="Arial" w:eastAsia="Arial"/>
          <w:b/>
          <w:color w:val="1F2937"/>
          <w:sz w:val="20"/>
        </w:rPr>
        <w:t>An APCC has completed all required supervised hours but has not yet been issued an LPCC license. Which statement is most accurate?</w:t>
      </w:r>
    </w:p>
    <w:p>
      <w:pPr>
        <w:spacing w:after="40" w:line="247" w:lineRule="auto"/>
        <w:ind w:left="216" w:hanging="216"/>
        <w:keepNext/>
      </w:pPr>
      <w:r>
        <w:rPr>
          <w:rFonts w:ascii="Arial" w:hAnsi="Arial" w:eastAsia="Arial"/>
          <w:sz w:val="20"/>
        </w:rPr>
        <w:t>A. The APCC may begin independent practice because the hours are complete.</w:t>
      </w:r>
    </w:p>
    <w:p>
      <w:pPr>
        <w:spacing w:after="40" w:line="247" w:lineRule="auto"/>
        <w:ind w:left="216" w:hanging="216"/>
        <w:keepNext/>
      </w:pPr>
      <w:r>
        <w:rPr>
          <w:rFonts w:ascii="Arial" w:hAnsi="Arial" w:eastAsia="Arial"/>
          <w:sz w:val="20"/>
        </w:rPr>
        <w:t>B. The APCC may practice independently after passing the NCMHCE, even before license issuance.</w:t>
      </w:r>
    </w:p>
    <w:p>
      <w:pPr>
        <w:spacing w:after="40" w:line="247" w:lineRule="auto"/>
        <w:ind w:left="216" w:hanging="216"/>
        <w:keepNext/>
      </w:pPr>
      <w:r>
        <w:rPr>
          <w:rFonts w:ascii="Arial" w:hAnsi="Arial" w:eastAsia="Arial"/>
          <w:sz w:val="20"/>
        </w:rPr>
        <w:t>C. The APCC remains in associate status and may not begin independent practice until the Board issues the LPCC license.</w:t>
      </w:r>
    </w:p>
    <w:p>
      <w:pPr>
        <w:spacing w:after="40" w:line="247" w:lineRule="auto"/>
        <w:ind w:left="216" w:hanging="216"/>
        <w:keepNext/>
      </w:pPr>
      <w:r>
        <w:rPr>
          <w:rFonts w:ascii="Arial" w:hAnsi="Arial" w:eastAsia="Arial"/>
          <w:sz w:val="20"/>
        </w:rPr>
        <w:t>D. The APCC may open an office if a licensed colleague is available by phone.</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LPCC-WB02-Q003 | Application | Moderate | Primary concept: Assessment limits</w:t>
      </w:r>
    </w:p>
    <w:p>
      <w:pPr>
        <w:spacing w:after="60" w:line="250" w:lineRule="auto"/>
        <w:keepNext/>
      </w:pPr>
      <w:r>
        <w:rPr>
          <w:rFonts w:ascii="Arial" w:hAnsi="Arial" w:eastAsia="Arial"/>
          <w:b/>
          <w:color w:val="1F2937"/>
          <w:sz w:val="20"/>
        </w:rPr>
        <w:t>A counselor is asked to administer a projective personality test to clarify a client’s diagnosis. What is the best response?</w:t>
      </w:r>
    </w:p>
    <w:p>
      <w:pPr>
        <w:spacing w:after="40" w:line="247" w:lineRule="auto"/>
        <w:ind w:left="216" w:hanging="216"/>
        <w:keepNext/>
      </w:pPr>
      <w:r>
        <w:rPr>
          <w:rFonts w:ascii="Arial" w:hAnsi="Arial" w:eastAsia="Arial"/>
          <w:sz w:val="20"/>
        </w:rPr>
        <w:t>A. Administer it if the counselor has read the manual.</w:t>
      </w:r>
    </w:p>
    <w:p>
      <w:pPr>
        <w:spacing w:after="40" w:line="247" w:lineRule="auto"/>
        <w:ind w:left="216" w:hanging="216"/>
        <w:keepNext/>
      </w:pPr>
      <w:r>
        <w:rPr>
          <w:rFonts w:ascii="Arial" w:hAnsi="Arial" w:eastAsia="Arial"/>
          <w:sz w:val="20"/>
        </w:rPr>
        <w:t>B. Decline the projective assessment, conduct appropriate counseling assessment, and coordinate referral to a qualified professional as needed.</w:t>
      </w:r>
    </w:p>
    <w:p>
      <w:pPr>
        <w:spacing w:after="40" w:line="247" w:lineRule="auto"/>
        <w:ind w:left="216" w:hanging="216"/>
        <w:keepNext/>
      </w:pPr>
      <w:r>
        <w:rPr>
          <w:rFonts w:ascii="Arial" w:hAnsi="Arial" w:eastAsia="Arial"/>
          <w:sz w:val="20"/>
        </w:rPr>
        <w:t>C. Administer it only if the client signs a waiver.</w:t>
      </w:r>
    </w:p>
    <w:p>
      <w:pPr>
        <w:spacing w:after="40" w:line="247" w:lineRule="auto"/>
        <w:ind w:left="216" w:hanging="216"/>
        <w:keepNext/>
      </w:pPr>
      <w:r>
        <w:rPr>
          <w:rFonts w:ascii="Arial" w:hAnsi="Arial" w:eastAsia="Arial"/>
          <w:sz w:val="20"/>
        </w:rPr>
        <w:t>D. Avoid all assessment because LPCCs cannot use instruments.</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LPCC-WB02-Q004 | Scenario-Based | Moderate | Primary concept: Competence and referral</w:t>
      </w:r>
    </w:p>
    <w:p>
      <w:pPr>
        <w:spacing w:after="60" w:line="250" w:lineRule="auto"/>
        <w:keepNext/>
      </w:pPr>
      <w:r>
        <w:rPr>
          <w:rFonts w:ascii="Arial" w:hAnsi="Arial" w:eastAsia="Arial"/>
          <w:b/>
          <w:color w:val="1F2937"/>
          <w:sz w:val="20"/>
        </w:rPr>
        <w:t>A licensed counselor receives a referral for a client with a severe eating disorder and unstable medical signs. The counselor has no specialized eating-disorder training. What should the counselor do first?</w:t>
      </w:r>
    </w:p>
    <w:p>
      <w:pPr>
        <w:spacing w:after="40" w:line="247" w:lineRule="auto"/>
        <w:ind w:left="216" w:hanging="216"/>
        <w:keepNext/>
      </w:pPr>
      <w:r>
        <w:rPr>
          <w:rFonts w:ascii="Arial" w:hAnsi="Arial" w:eastAsia="Arial"/>
          <w:sz w:val="20"/>
        </w:rPr>
        <w:t>A. Accept the client and learn the specialty during treatment.</w:t>
      </w:r>
    </w:p>
    <w:p>
      <w:pPr>
        <w:spacing w:after="40" w:line="247" w:lineRule="auto"/>
        <w:ind w:left="216" w:hanging="216"/>
        <w:keepNext/>
      </w:pPr>
      <w:r>
        <w:rPr>
          <w:rFonts w:ascii="Arial" w:hAnsi="Arial" w:eastAsia="Arial"/>
          <w:sz w:val="20"/>
        </w:rPr>
        <w:t>B. Assess immediate safety and medical urgency, seek appropriate consultation, and coordinate referral or specialized care.</w:t>
      </w:r>
    </w:p>
    <w:p>
      <w:pPr>
        <w:spacing w:after="40" w:line="247" w:lineRule="auto"/>
        <w:ind w:left="216" w:hanging="216"/>
        <w:keepNext/>
      </w:pPr>
      <w:r>
        <w:rPr>
          <w:rFonts w:ascii="Arial" w:hAnsi="Arial" w:eastAsia="Arial"/>
          <w:sz w:val="20"/>
        </w:rPr>
        <w:t>C. Reject the referral without speaking to the client or source.</w:t>
      </w:r>
    </w:p>
    <w:p>
      <w:pPr>
        <w:spacing w:after="40" w:line="247" w:lineRule="auto"/>
        <w:ind w:left="216" w:hanging="216"/>
        <w:keepNext/>
      </w:pPr>
      <w:r>
        <w:rPr>
          <w:rFonts w:ascii="Arial" w:hAnsi="Arial" w:eastAsia="Arial"/>
          <w:sz w:val="20"/>
        </w:rPr>
        <w:t>D. Provide general supportive counseling and avoid discussing the eating disorder.</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LPCC-WB02-Q005 | Scenario-Based | Moderate | Primary concept: Counselor-client fit</w:t>
      </w:r>
    </w:p>
    <w:p>
      <w:pPr>
        <w:spacing w:after="60" w:line="250" w:lineRule="auto"/>
        <w:keepNext/>
      </w:pPr>
      <w:r>
        <w:rPr>
          <w:rFonts w:ascii="Arial" w:hAnsi="Arial" w:eastAsia="Arial"/>
          <w:b/>
          <w:color w:val="1F2937"/>
          <w:sz w:val="20"/>
        </w:rPr>
        <w:t>A counselor has the clinical skill to treat a prospective client but has a current business dispute with the client’s employer, which will be central to treatment. What is the most important concern?</w:t>
      </w:r>
    </w:p>
    <w:p>
      <w:pPr>
        <w:spacing w:after="40" w:line="247" w:lineRule="auto"/>
        <w:ind w:left="216" w:hanging="216"/>
        <w:keepNext/>
      </w:pPr>
      <w:r>
        <w:rPr>
          <w:rFonts w:ascii="Arial" w:hAnsi="Arial" w:eastAsia="Arial"/>
          <w:sz w:val="20"/>
        </w:rPr>
        <w:t>A. The counselor must accept because clinical competence is established.</w:t>
      </w:r>
    </w:p>
    <w:p>
      <w:pPr>
        <w:spacing w:after="40" w:line="247" w:lineRule="auto"/>
        <w:ind w:left="216" w:hanging="216"/>
        <w:keepNext/>
      </w:pPr>
      <w:r>
        <w:rPr>
          <w:rFonts w:ascii="Arial" w:hAnsi="Arial" w:eastAsia="Arial"/>
          <w:sz w:val="20"/>
        </w:rPr>
        <w:t>B. The potential conflict may impair objectivity or create role complications, so suitability and alternatives should be evaluated before accepting.</w:t>
      </w:r>
    </w:p>
    <w:p>
      <w:pPr>
        <w:spacing w:after="40" w:line="247" w:lineRule="auto"/>
        <w:ind w:left="216" w:hanging="216"/>
        <w:keepNext/>
      </w:pPr>
      <w:r>
        <w:rPr>
          <w:rFonts w:ascii="Arial" w:hAnsi="Arial" w:eastAsia="Arial"/>
          <w:sz w:val="20"/>
        </w:rPr>
        <w:t>C. The client should be asked not to discuss work.</w:t>
      </w:r>
    </w:p>
    <w:p>
      <w:pPr>
        <w:spacing w:after="40" w:line="247" w:lineRule="auto"/>
        <w:ind w:left="216" w:hanging="216"/>
        <w:keepNext/>
      </w:pPr>
      <w:r>
        <w:rPr>
          <w:rFonts w:ascii="Arial" w:hAnsi="Arial" w:eastAsia="Arial"/>
          <w:sz w:val="20"/>
        </w:rPr>
        <w:t>D. The counselor should accept and disclose the dispute only if it becomes relevant later.</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LPCC-WB02-Q006 | Scenario-Based | Moderate | Primary concept: Countertransference and boundaries</w:t>
      </w:r>
    </w:p>
    <w:p>
      <w:pPr>
        <w:spacing w:after="60" w:line="250" w:lineRule="auto"/>
        <w:keepNext/>
      </w:pPr>
      <w:r>
        <w:rPr>
          <w:rFonts w:ascii="Arial" w:hAnsi="Arial" w:eastAsia="Arial"/>
          <w:b/>
          <w:color w:val="1F2937"/>
          <w:sz w:val="20"/>
        </w:rPr>
        <w:t>A counselor feels unusually protective of a client and has begun making repeated after-hours exceptions. What is the best next action?</w:t>
      </w:r>
    </w:p>
    <w:p>
      <w:pPr>
        <w:spacing w:after="40" w:line="247" w:lineRule="auto"/>
        <w:ind w:left="216" w:hanging="216"/>
        <w:keepNext/>
      </w:pPr>
      <w:r>
        <w:rPr>
          <w:rFonts w:ascii="Arial" w:hAnsi="Arial" w:eastAsia="Arial"/>
          <w:sz w:val="20"/>
        </w:rPr>
        <w:t>A. Continue because flexibility strengthens alliance.</w:t>
      </w:r>
    </w:p>
    <w:p>
      <w:pPr>
        <w:spacing w:after="40" w:line="247" w:lineRule="auto"/>
        <w:ind w:left="216" w:hanging="216"/>
        <w:keepNext/>
      </w:pPr>
      <w:r>
        <w:rPr>
          <w:rFonts w:ascii="Arial" w:hAnsi="Arial" w:eastAsia="Arial"/>
          <w:sz w:val="20"/>
        </w:rPr>
        <w:t>B. Immediately terminate to prevent dependence.</w:t>
      </w:r>
    </w:p>
    <w:p>
      <w:pPr>
        <w:spacing w:after="40" w:line="247" w:lineRule="auto"/>
        <w:ind w:left="216" w:hanging="216"/>
        <w:keepNext/>
      </w:pPr>
      <w:r>
        <w:rPr>
          <w:rFonts w:ascii="Arial" w:hAnsi="Arial" w:eastAsia="Arial"/>
          <w:sz w:val="20"/>
        </w:rPr>
        <w:t>C. Review the pattern, restore the treatment frame, seek supervision or consultation, and explore the client’s needs in session.</w:t>
      </w:r>
    </w:p>
    <w:p>
      <w:pPr>
        <w:spacing w:after="40" w:line="247" w:lineRule="auto"/>
        <w:ind w:left="216" w:hanging="216"/>
        <w:keepNext/>
      </w:pPr>
      <w:r>
        <w:rPr>
          <w:rFonts w:ascii="Arial" w:hAnsi="Arial" w:eastAsia="Arial"/>
          <w:sz w:val="20"/>
        </w:rPr>
        <w:t>D. Tell the client the counselor feels protective so the client can help set limits.</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LPCC-WB02-Q007 | Application | Moderate | Primary concept: Supervision versus consultation</w:t>
      </w:r>
    </w:p>
    <w:p>
      <w:pPr>
        <w:spacing w:after="60" w:line="250" w:lineRule="auto"/>
        <w:keepNext/>
      </w:pPr>
      <w:r>
        <w:rPr>
          <w:rFonts w:ascii="Arial" w:hAnsi="Arial" w:eastAsia="Arial"/>
          <w:b/>
          <w:color w:val="1F2937"/>
          <w:sz w:val="20"/>
        </w:rPr>
        <w:t>Which statement best distinguishes consultation from supervision for an APCC?</w:t>
      </w:r>
    </w:p>
    <w:p>
      <w:pPr>
        <w:spacing w:after="40" w:line="247" w:lineRule="auto"/>
        <w:ind w:left="216" w:hanging="216"/>
        <w:keepNext/>
      </w:pPr>
      <w:r>
        <w:rPr>
          <w:rFonts w:ascii="Arial" w:hAnsi="Arial" w:eastAsia="Arial"/>
          <w:sz w:val="20"/>
        </w:rPr>
        <w:t>A. Consultation replaces supervision when the consultant is an expert.</w:t>
      </w:r>
    </w:p>
    <w:p>
      <w:pPr>
        <w:spacing w:after="40" w:line="247" w:lineRule="auto"/>
        <w:ind w:left="216" w:hanging="216"/>
        <w:keepNext/>
      </w:pPr>
      <w:r>
        <w:rPr>
          <w:rFonts w:ascii="Arial" w:hAnsi="Arial" w:eastAsia="Arial"/>
          <w:sz w:val="20"/>
        </w:rPr>
        <w:t>B. Supervision provides formal oversight, while consultation offers focused input and does not replace required supervision.</w:t>
      </w:r>
    </w:p>
    <w:p>
      <w:pPr>
        <w:spacing w:after="40" w:line="247" w:lineRule="auto"/>
        <w:ind w:left="216" w:hanging="216"/>
        <w:keepNext/>
      </w:pPr>
      <w:r>
        <w:rPr>
          <w:rFonts w:ascii="Arial" w:hAnsi="Arial" w:eastAsia="Arial"/>
          <w:sz w:val="20"/>
        </w:rPr>
        <w:t>C. Consultation transfers responsibility for the case to the consultant.</w:t>
      </w:r>
    </w:p>
    <w:p>
      <w:pPr>
        <w:spacing w:after="40" w:line="247" w:lineRule="auto"/>
        <w:ind w:left="216" w:hanging="216"/>
        <w:keepNext/>
      </w:pPr>
      <w:r>
        <w:rPr>
          <w:rFonts w:ascii="Arial" w:hAnsi="Arial" w:eastAsia="Arial"/>
          <w:sz w:val="20"/>
        </w:rPr>
        <w:t>D. Supervision is only needed when a client is high risk.</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LPCC-WB02-Q008 | Application | Difficult | Primary concept: Research literacy</w:t>
      </w:r>
    </w:p>
    <w:p>
      <w:pPr>
        <w:spacing w:after="60" w:line="250" w:lineRule="auto"/>
        <w:keepNext/>
      </w:pPr>
      <w:r>
        <w:rPr>
          <w:rFonts w:ascii="Arial" w:hAnsi="Arial" w:eastAsia="Arial"/>
          <w:b/>
          <w:color w:val="1F2937"/>
          <w:sz w:val="20"/>
        </w:rPr>
        <w:t>A small study reports a statistically significant improvement from a new intervention. Which question is most important before applying it broadly?</w:t>
      </w:r>
    </w:p>
    <w:p>
      <w:pPr>
        <w:spacing w:after="40" w:line="247" w:lineRule="auto"/>
        <w:ind w:left="216" w:hanging="216"/>
        <w:keepNext/>
      </w:pPr>
      <w:r>
        <w:rPr>
          <w:rFonts w:ascii="Arial" w:hAnsi="Arial" w:eastAsia="Arial"/>
          <w:sz w:val="20"/>
        </w:rPr>
        <w:t>A. Whether the intervention has an appealing name.</w:t>
      </w:r>
    </w:p>
    <w:p>
      <w:pPr>
        <w:spacing w:after="40" w:line="247" w:lineRule="auto"/>
        <w:ind w:left="216" w:hanging="216"/>
        <w:keepNext/>
      </w:pPr>
      <w:r>
        <w:rPr>
          <w:rFonts w:ascii="Arial" w:hAnsi="Arial" w:eastAsia="Arial"/>
          <w:sz w:val="20"/>
        </w:rPr>
        <w:t>B. Whether the study population, design, effect size, harms, limitations, and client fit support clinical use.</w:t>
      </w:r>
    </w:p>
    <w:p>
      <w:pPr>
        <w:spacing w:after="40" w:line="247" w:lineRule="auto"/>
        <w:ind w:left="216" w:hanging="216"/>
        <w:keepNext/>
      </w:pPr>
      <w:r>
        <w:rPr>
          <w:rFonts w:ascii="Arial" w:hAnsi="Arial" w:eastAsia="Arial"/>
          <w:sz w:val="20"/>
        </w:rPr>
        <w:t>C. Whether one of the authors provides certification training.</w:t>
      </w:r>
    </w:p>
    <w:p>
      <w:pPr>
        <w:spacing w:after="40" w:line="247" w:lineRule="auto"/>
        <w:ind w:left="216" w:hanging="216"/>
        <w:keepNext/>
      </w:pPr>
      <w:r>
        <w:rPr>
          <w:rFonts w:ascii="Arial" w:hAnsi="Arial" w:eastAsia="Arial"/>
          <w:sz w:val="20"/>
        </w:rPr>
        <w:t>D. Whether the result was statistically significant, because no other information is needed.</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LPCC-WB02-Q009 | Scenario-Based | Difficult | Primary concept: Professional wellbeing</w:t>
      </w:r>
    </w:p>
    <w:p>
      <w:pPr>
        <w:spacing w:after="60" w:line="250" w:lineRule="auto"/>
        <w:keepNext/>
      </w:pPr>
      <w:r>
        <w:rPr>
          <w:rFonts w:ascii="Arial" w:hAnsi="Arial" w:eastAsia="Arial"/>
          <w:b/>
          <w:color w:val="1F2937"/>
          <w:sz w:val="20"/>
        </w:rPr>
        <w:t>A counselor has become emotionally numb, avoids trauma documentation, and missed a client’s agreed safety follow-up. What is the best response?</w:t>
      </w:r>
    </w:p>
    <w:p>
      <w:pPr>
        <w:spacing w:after="40" w:line="247" w:lineRule="auto"/>
        <w:ind w:left="216" w:hanging="216"/>
        <w:keepNext/>
      </w:pPr>
      <w:r>
        <w:rPr>
          <w:rFonts w:ascii="Arial" w:hAnsi="Arial" w:eastAsia="Arial"/>
          <w:sz w:val="20"/>
        </w:rPr>
        <w:t>A. Wait for vacation because the counselor can still complete sessions.</w:t>
      </w:r>
    </w:p>
    <w:p>
      <w:pPr>
        <w:spacing w:after="40" w:line="247" w:lineRule="auto"/>
        <w:ind w:left="216" w:hanging="216"/>
        <w:keepNext/>
      </w:pPr>
      <w:r>
        <w:rPr>
          <w:rFonts w:ascii="Arial" w:hAnsi="Arial" w:eastAsia="Arial"/>
          <w:sz w:val="20"/>
        </w:rPr>
        <w:t>B. Use self-care privately but make no practice changes.</w:t>
      </w:r>
    </w:p>
    <w:p>
      <w:pPr>
        <w:spacing w:after="40" w:line="247" w:lineRule="auto"/>
        <w:ind w:left="216" w:hanging="216"/>
        <w:keepNext/>
      </w:pPr>
      <w:r>
        <w:rPr>
          <w:rFonts w:ascii="Arial" w:hAnsi="Arial" w:eastAsia="Arial"/>
          <w:sz w:val="20"/>
        </w:rPr>
        <w:t>C. Assess impact on competence and safety, seek supervision and support, correct the follow-up, and adjust workload or coverage as needed.</w:t>
      </w:r>
    </w:p>
    <w:p>
      <w:pPr>
        <w:spacing w:after="40" w:line="247" w:lineRule="auto"/>
        <w:ind w:left="216" w:hanging="216"/>
        <w:keepNext/>
      </w:pPr>
      <w:r>
        <w:rPr>
          <w:rFonts w:ascii="Arial" w:hAnsi="Arial" w:eastAsia="Arial"/>
          <w:sz w:val="20"/>
        </w:rPr>
        <w:t>D. Tell the client the counselor is experiencing compassion fatigue.</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LPCC-WB02-Q010 | Integrated Clinical Reasoning | Difficult | Primary concept: Scope, competence, supervision, and continuity</w:t>
      </w:r>
    </w:p>
    <w:p>
      <w:pPr>
        <w:spacing w:after="60" w:line="250" w:lineRule="auto"/>
        <w:keepNext/>
      </w:pPr>
      <w:r>
        <w:rPr>
          <w:rFonts w:ascii="Arial" w:hAnsi="Arial" w:eastAsia="Arial"/>
          <w:b/>
          <w:color w:val="1F2937"/>
          <w:sz w:val="20"/>
        </w:rPr>
        <w:t>An APCC is asked to use an unfamiliar assessment outside the APCC’s training with a client whose symptoms may have a medical cause. The client is anxious and wants help today. What is the best overall response?</w:t>
      </w:r>
    </w:p>
    <w:p>
      <w:pPr>
        <w:spacing w:after="40" w:line="247" w:lineRule="auto"/>
        <w:ind w:left="216" w:hanging="216"/>
        <w:keepNext/>
      </w:pPr>
      <w:r>
        <w:rPr>
          <w:rFonts w:ascii="Arial" w:hAnsi="Arial" w:eastAsia="Arial"/>
          <w:sz w:val="20"/>
        </w:rPr>
        <w:t>A. Administer the instrument because delaying could worsen anxiety.</w:t>
      </w:r>
    </w:p>
    <w:p>
      <w:pPr>
        <w:spacing w:after="40" w:line="247" w:lineRule="auto"/>
        <w:ind w:left="216" w:hanging="216"/>
        <w:keepNext/>
      </w:pPr>
      <w:r>
        <w:rPr>
          <w:rFonts w:ascii="Arial" w:hAnsi="Arial" w:eastAsia="Arial"/>
          <w:sz w:val="20"/>
        </w:rPr>
        <w:t>B. Decline all services and give the client a general referral list.</w:t>
      </w:r>
    </w:p>
    <w:p>
      <w:pPr>
        <w:spacing w:after="40" w:line="247" w:lineRule="auto"/>
        <w:ind w:left="216" w:hanging="216"/>
        <w:keepNext/>
      </w:pPr>
      <w:r>
        <w:rPr>
          <w:rFonts w:ascii="Arial" w:hAnsi="Arial" w:eastAsia="Arial"/>
          <w:sz w:val="20"/>
        </w:rPr>
        <w:t>C. Provide an appropriate counseling and safety assessment, explain limits, seek supervision, coordinate medical or specialist evaluation, and continue support within competence.</w:t>
      </w:r>
    </w:p>
    <w:p>
      <w:pPr>
        <w:spacing w:after="40" w:line="247" w:lineRule="auto"/>
        <w:ind w:left="216" w:hanging="216"/>
        <w:keepNext/>
      </w:pPr>
      <w:r>
        <w:rPr>
          <w:rFonts w:ascii="Arial" w:hAnsi="Arial" w:eastAsia="Arial"/>
          <w:sz w:val="20"/>
        </w:rPr>
        <w:t>D. Use the instrument but have the supervisor sign the report.</w:t>
      </w:r>
    </w:p>
    <w:p>
      <w:pPr>
        <w:spacing w:after="60"/>
      </w:pPr>
      <w:r>
        <w:rPr>
          <w:rFonts w:ascii="Arial" w:hAnsi="Arial" w:eastAsia="Arial"/>
          <w:i/>
          <w:color w:val="4E5B6B"/>
          <w:sz w:val="18"/>
        </w:rPr>
        <w:t>My answer: ______    Confidence: 1  2  3</w:t>
      </w:r>
    </w:p>
    <w:p>
      <w:pPr>
        <w:pStyle w:val="Heading1"/>
        <w:spacing w:before="100" w:after="80"/>
        <w:keepNext/>
      </w:pPr>
      <w:r>
        <w:rPr>
          <w:rFonts w:ascii="Arial" w:hAnsi="Arial" w:eastAsia="Arial"/>
          <w:b/>
          <w:color w:val="17365D"/>
          <w:sz w:val="23"/>
        </w:rPr>
        <w:t>Answer Key and Detailed Rationales</w:t>
      </w:r>
    </w:p>
    <w:p>
      <w:pPr>
        <w:pStyle w:val="Heading2"/>
        <w:spacing w:before="140" w:after="60"/>
        <w:keepNext/>
      </w:pPr>
      <w:r>
        <w:rPr>
          <w:rFonts w:ascii="Arial" w:hAnsi="Arial" w:eastAsia="Arial"/>
          <w:b/>
          <w:color w:val="17365D"/>
          <w:sz w:val="23"/>
        </w:rPr>
        <w:t>Question 1 (LPCC-WB02-Q001)</w:t>
      </w:r>
    </w:p>
    <w:p>
      <w:pPr>
        <w:spacing w:after="60"/>
        <w:keepNext/>
      </w:pPr>
      <w:r>
        <w:rPr>
          <w:rFonts w:ascii="Arial" w:hAnsi="Arial" w:eastAsia="Arial"/>
          <w:b/>
          <w:color w:val="1F7A8C"/>
          <w:sz w:val="20"/>
        </w:rPr>
        <w:t>Correct Answer: A</w:t>
      </w:r>
    </w:p>
    <w:p>
      <w:pPr>
        <w:spacing w:after="40"/>
        <w:ind w:left="173" w:hanging="173"/>
        <w:keepNext/>
      </w:pPr>
      <w:r>
        <w:rPr>
          <w:rFonts w:ascii="Arial" w:hAnsi="Arial" w:eastAsia="Arial"/>
          <w:b/>
          <w:color w:val="17365D"/>
          <w:sz w:val="20"/>
        </w:rPr>
        <w:t xml:space="preserve">A. </w:t>
      </w:r>
      <w:r>
        <w:rPr>
          <w:rFonts w:ascii="Arial" w:hAnsi="Arial" w:eastAsia="Arial"/>
          <w:sz w:val="20"/>
        </w:rPr>
        <w:t>Correct. This matches the statutory counseling purpose and professional counseling relationship.</w:t>
      </w:r>
    </w:p>
    <w:p>
      <w:pPr>
        <w:spacing w:after="40"/>
        <w:ind w:left="173" w:hanging="173"/>
        <w:keepNext/>
      </w:pPr>
      <w:r>
        <w:rPr>
          <w:rFonts w:ascii="Arial" w:hAnsi="Arial" w:eastAsia="Arial"/>
          <w:b/>
          <w:color w:val="1F2937"/>
          <w:sz w:val="20"/>
        </w:rPr>
        <w:t xml:space="preserve">B. </w:t>
      </w:r>
      <w:r>
        <w:rPr>
          <w:rFonts w:ascii="Arial" w:hAnsi="Arial" w:eastAsia="Arial"/>
          <w:sz w:val="20"/>
        </w:rPr>
        <w:t>Incorrect. California states that professional clinical counseling does not include providing clinical social work services.</w:t>
      </w:r>
    </w:p>
    <w:p>
      <w:pPr>
        <w:spacing w:after="40"/>
        <w:ind w:left="173" w:hanging="173"/>
        <w:keepNext/>
      </w:pPr>
      <w:r>
        <w:rPr>
          <w:rFonts w:ascii="Arial" w:hAnsi="Arial" w:eastAsia="Arial"/>
          <w:b/>
          <w:color w:val="1F2937"/>
          <w:sz w:val="20"/>
        </w:rPr>
        <w:t xml:space="preserve">C. </w:t>
      </w:r>
      <w:r>
        <w:rPr>
          <w:rFonts w:ascii="Arial" w:hAnsi="Arial" w:eastAsia="Arial"/>
          <w:sz w:val="20"/>
        </w:rPr>
        <w:t>Incorrect. Individually administered intelligence testing is excluded from California LPCC assessment scope.</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licensure scope is focused on clinical mental-health counseling, not nonclinical placement services.</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Look for the answer that combines mental-health purpose, counseling interventions, and a professional counseling relationship.</w:t>
            </w:r>
          </w:p>
        </w:tc>
      </w:tr>
    </w:tbl>
    <w:p>
      <w:pPr>
        <w:spacing w:after="0"/>
      </w:pPr>
    </w:p>
    <w:p>
      <w:pPr>
        <w:pStyle w:val="Heading2"/>
        <w:spacing w:before="140" w:after="60"/>
        <w:keepNext/>
      </w:pPr>
      <w:r>
        <w:rPr>
          <w:rFonts w:ascii="Arial" w:hAnsi="Arial" w:eastAsia="Arial"/>
          <w:b/>
          <w:color w:val="17365D"/>
          <w:sz w:val="23"/>
        </w:rPr>
        <w:t>Question 2 (LPCC-WB02-Q002)</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Completion of hours does not create independent practice authority.</w:t>
      </w:r>
    </w:p>
    <w:p>
      <w:pPr>
        <w:spacing w:after="40"/>
        <w:ind w:left="173" w:hanging="173"/>
        <w:keepNext/>
      </w:pPr>
      <w:r>
        <w:rPr>
          <w:rFonts w:ascii="Arial" w:hAnsi="Arial" w:eastAsia="Arial"/>
          <w:b/>
          <w:color w:val="1F2937"/>
          <w:sz w:val="20"/>
        </w:rPr>
        <w:t xml:space="preserve">B. </w:t>
      </w:r>
      <w:r>
        <w:rPr>
          <w:rFonts w:ascii="Arial" w:hAnsi="Arial" w:eastAsia="Arial"/>
          <w:sz w:val="20"/>
        </w:rPr>
        <w:t>Incorrect. Passing the examination is not the same as license issuance.</w:t>
      </w:r>
    </w:p>
    <w:p>
      <w:pPr>
        <w:spacing w:after="40"/>
        <w:ind w:left="173" w:hanging="173"/>
        <w:keepNext/>
      </w:pPr>
      <w:r>
        <w:rPr>
          <w:rFonts w:ascii="Arial" w:hAnsi="Arial" w:eastAsia="Arial"/>
          <w:b/>
          <w:color w:val="17365D"/>
          <w:sz w:val="20"/>
        </w:rPr>
        <w:t xml:space="preserve">C. </w:t>
      </w:r>
      <w:r>
        <w:rPr>
          <w:rFonts w:ascii="Arial" w:hAnsi="Arial" w:eastAsia="Arial"/>
          <w:sz w:val="20"/>
        </w:rPr>
        <w:t>Correct. Independent practice begins after the Board issues the LPCC license.</w:t>
      </w:r>
    </w:p>
    <w:p>
      <w:pPr>
        <w:spacing w:after="40"/>
        <w:ind w:left="173" w:hanging="173"/>
        <w:keepNext/>
      </w:pPr>
      <w:r>
        <w:rPr>
          <w:rFonts w:ascii="Arial" w:hAnsi="Arial" w:eastAsia="Arial"/>
          <w:b/>
          <w:color w:val="1F2937"/>
          <w:sz w:val="20"/>
        </w:rPr>
        <w:t xml:space="preserve">D. </w:t>
      </w:r>
      <w:r>
        <w:rPr>
          <w:rFonts w:ascii="Arial" w:hAnsi="Arial" w:eastAsia="Arial"/>
          <w:sz w:val="20"/>
        </w:rPr>
        <w:t>Incorrect. Informal availability by a licensed colleague does not convert an independent arrangement into lawful supervised associate practice.</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education, hours, examination passage, and actual license issuance. Each is a different step.</w:t>
            </w:r>
          </w:p>
        </w:tc>
      </w:tr>
    </w:tbl>
    <w:p>
      <w:pPr>
        <w:spacing w:after="0"/>
      </w:pPr>
    </w:p>
    <w:p>
      <w:pPr>
        <w:pStyle w:val="Heading2"/>
        <w:spacing w:before="140" w:after="60"/>
        <w:keepNext/>
      </w:pPr>
      <w:r>
        <w:rPr>
          <w:rFonts w:ascii="Arial" w:hAnsi="Arial" w:eastAsia="Arial"/>
          <w:b/>
          <w:color w:val="17365D"/>
          <w:sz w:val="23"/>
        </w:rPr>
        <w:t>Question 3 (LPCC-WB02-Q003)</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Reading a manual cannot authorize an assessment excluded by statute.</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counselor should not use the excluded projective technique but can continue appropriate counseling assessment and coordinate referral.</w:t>
      </w:r>
    </w:p>
    <w:p>
      <w:pPr>
        <w:spacing w:after="40"/>
        <w:ind w:left="173" w:hanging="173"/>
        <w:keepNext/>
      </w:pPr>
      <w:r>
        <w:rPr>
          <w:rFonts w:ascii="Arial" w:hAnsi="Arial" w:eastAsia="Arial"/>
          <w:b/>
          <w:color w:val="1F2937"/>
          <w:sz w:val="20"/>
        </w:rPr>
        <w:t xml:space="preserve">C. </w:t>
      </w:r>
      <w:r>
        <w:rPr>
          <w:rFonts w:ascii="Arial" w:hAnsi="Arial" w:eastAsia="Arial"/>
          <w:sz w:val="20"/>
        </w:rPr>
        <w:t>Incorrect. Client consent cannot waive statutory scope limits.</w:t>
      </w:r>
    </w:p>
    <w:p>
      <w:pPr>
        <w:spacing w:after="40"/>
        <w:ind w:left="173" w:hanging="173"/>
        <w:keepNext/>
      </w:pPr>
      <w:r>
        <w:rPr>
          <w:rFonts w:ascii="Arial" w:hAnsi="Arial" w:eastAsia="Arial"/>
          <w:b/>
          <w:color w:val="1F2937"/>
          <w:sz w:val="20"/>
        </w:rPr>
        <w:t xml:space="preserve">D. </w:t>
      </w:r>
      <w:r>
        <w:rPr>
          <w:rFonts w:ascii="Arial" w:hAnsi="Arial" w:eastAsia="Arial"/>
          <w:sz w:val="20"/>
        </w:rPr>
        <w:t>Incorrect. LPCCs may use appropriate counseling assessments within scope and competence.</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Consent and employer request do not expand scope. Preserve the counseling role and refer for prohibited testing.</w:t>
            </w:r>
          </w:p>
        </w:tc>
      </w:tr>
    </w:tbl>
    <w:p>
      <w:pPr>
        <w:spacing w:after="0"/>
      </w:pPr>
    </w:p>
    <w:p>
      <w:pPr>
        <w:pStyle w:val="Heading2"/>
        <w:spacing w:before="140" w:after="60"/>
        <w:keepNext/>
      </w:pPr>
      <w:r>
        <w:rPr>
          <w:rFonts w:ascii="Arial" w:hAnsi="Arial" w:eastAsia="Arial"/>
          <w:b/>
          <w:color w:val="17365D"/>
          <w:sz w:val="23"/>
        </w:rPr>
        <w:t>Question 4 (LPCC-WB02-Q004)</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Learning while independently treating a medically unstable specialty case risks harm.</w:t>
      </w:r>
    </w:p>
    <w:p>
      <w:pPr>
        <w:spacing w:after="40"/>
        <w:ind w:left="173" w:hanging="173"/>
        <w:keepNext/>
      </w:pPr>
      <w:r>
        <w:rPr>
          <w:rFonts w:ascii="Arial" w:hAnsi="Arial" w:eastAsia="Arial"/>
          <w:b/>
          <w:color w:val="17365D"/>
          <w:sz w:val="20"/>
        </w:rPr>
        <w:t xml:space="preserve">B. </w:t>
      </w:r>
      <w:r>
        <w:rPr>
          <w:rFonts w:ascii="Arial" w:hAnsi="Arial" w:eastAsia="Arial"/>
          <w:sz w:val="20"/>
        </w:rPr>
        <w:t>Correct. Immediate safety and medical needs come first, followed by consultation and specialized coordination or referral.</w:t>
      </w:r>
    </w:p>
    <w:p>
      <w:pPr>
        <w:spacing w:after="40"/>
        <w:ind w:left="173" w:hanging="173"/>
        <w:keepNext/>
      </w:pPr>
      <w:r>
        <w:rPr>
          <w:rFonts w:ascii="Arial" w:hAnsi="Arial" w:eastAsia="Arial"/>
          <w:b/>
          <w:color w:val="1F2937"/>
          <w:sz w:val="20"/>
        </w:rPr>
        <w:t xml:space="preserve">C. </w:t>
      </w:r>
      <w:r>
        <w:rPr>
          <w:rFonts w:ascii="Arial" w:hAnsi="Arial" w:eastAsia="Arial"/>
          <w:sz w:val="20"/>
        </w:rPr>
        <w:t>Incorrect. Abrupt rejection ignores potential urgency and continuity.</w:t>
      </w:r>
    </w:p>
    <w:p>
      <w:pPr>
        <w:spacing w:after="40"/>
        <w:ind w:left="173" w:hanging="173"/>
        <w:keepNext/>
      </w:pPr>
      <w:r>
        <w:rPr>
          <w:rFonts w:ascii="Arial" w:hAnsi="Arial" w:eastAsia="Arial"/>
          <w:b/>
          <w:color w:val="1F2937"/>
          <w:sz w:val="20"/>
        </w:rPr>
        <w:t xml:space="preserve">D. </w:t>
      </w:r>
      <w:r>
        <w:rPr>
          <w:rFonts w:ascii="Arial" w:hAnsi="Arial" w:eastAsia="Arial"/>
          <w:sz w:val="20"/>
        </w:rPr>
        <w:t>Incorrect. Avoiding the central disorder does not make the treatment competent or safe.</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competence and medical urgency coexist, stabilize and coordinate before routine treatment.</w:t>
            </w:r>
          </w:p>
        </w:tc>
      </w:tr>
    </w:tbl>
    <w:p>
      <w:pPr>
        <w:spacing w:after="0"/>
      </w:pPr>
    </w:p>
    <w:p>
      <w:pPr>
        <w:pStyle w:val="Heading2"/>
        <w:spacing w:before="140" w:after="60"/>
        <w:keepNext/>
      </w:pPr>
      <w:r>
        <w:rPr>
          <w:rFonts w:ascii="Arial" w:hAnsi="Arial" w:eastAsia="Arial"/>
          <w:b/>
          <w:color w:val="17365D"/>
          <w:sz w:val="23"/>
        </w:rPr>
        <w:t>Question 5 (LPCC-WB02-Q005)</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Clinical skill does not eliminate conflict-of-interest concerns.</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dispute could impair objectivity and affect trust, so suitability should be evaluated before acceptance.</w:t>
      </w:r>
    </w:p>
    <w:p>
      <w:pPr>
        <w:spacing w:after="40"/>
        <w:ind w:left="173" w:hanging="173"/>
        <w:keepNext/>
      </w:pPr>
      <w:r>
        <w:rPr>
          <w:rFonts w:ascii="Arial" w:hAnsi="Arial" w:eastAsia="Arial"/>
          <w:b/>
          <w:color w:val="1F2937"/>
          <w:sz w:val="20"/>
        </w:rPr>
        <w:t xml:space="preserve">C. </w:t>
      </w:r>
      <w:r>
        <w:rPr>
          <w:rFonts w:ascii="Arial" w:hAnsi="Arial" w:eastAsia="Arial"/>
          <w:sz w:val="20"/>
        </w:rPr>
        <w:t>Incorrect. Prohibiting discussion of the central issue would distort treatment.</w:t>
      </w:r>
    </w:p>
    <w:p>
      <w:pPr>
        <w:spacing w:after="40"/>
        <w:ind w:left="173" w:hanging="173"/>
        <w:keepNext/>
      </w:pPr>
      <w:r>
        <w:rPr>
          <w:rFonts w:ascii="Arial" w:hAnsi="Arial" w:eastAsia="Arial"/>
          <w:b/>
          <w:color w:val="1F2937"/>
          <w:sz w:val="20"/>
        </w:rPr>
        <w:t xml:space="preserve">D. </w:t>
      </w:r>
      <w:r>
        <w:rPr>
          <w:rFonts w:ascii="Arial" w:hAnsi="Arial" w:eastAsia="Arial"/>
          <w:sz w:val="20"/>
        </w:rPr>
        <w:t>Incorrect. Delayed disclosure may deprive the client of informed choice and allow avoidable role complications.</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Counselor-client fit includes conflicts, not just clinical technique.</w:t>
            </w:r>
          </w:p>
        </w:tc>
      </w:tr>
    </w:tbl>
    <w:p>
      <w:pPr>
        <w:spacing w:after="0"/>
      </w:pPr>
    </w:p>
    <w:p>
      <w:pPr>
        <w:pStyle w:val="Heading2"/>
        <w:spacing w:before="140" w:after="60"/>
        <w:keepNext/>
      </w:pPr>
      <w:r>
        <w:rPr>
          <w:rFonts w:ascii="Arial" w:hAnsi="Arial" w:eastAsia="Arial"/>
          <w:b/>
          <w:color w:val="17365D"/>
          <w:sz w:val="23"/>
        </w:rPr>
        <w:t>Question 6 (LPCC-WB02-Q006)</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Repeated exceptions driven by protectiveness may be porous boundaries, not responsive flexibility.</w:t>
      </w:r>
    </w:p>
    <w:p>
      <w:pPr>
        <w:spacing w:after="40"/>
        <w:ind w:left="173" w:hanging="173"/>
        <w:keepNext/>
      </w:pPr>
      <w:r>
        <w:rPr>
          <w:rFonts w:ascii="Arial" w:hAnsi="Arial" w:eastAsia="Arial"/>
          <w:b/>
          <w:color w:val="1F2937"/>
          <w:sz w:val="20"/>
        </w:rPr>
        <w:t xml:space="preserve">B. </w:t>
      </w:r>
      <w:r>
        <w:rPr>
          <w:rFonts w:ascii="Arial" w:hAnsi="Arial" w:eastAsia="Arial"/>
          <w:sz w:val="20"/>
        </w:rPr>
        <w:t>Incorrect. Immediate termination is disproportionate without first assessing and managing the pattern.</w:t>
      </w:r>
    </w:p>
    <w:p>
      <w:pPr>
        <w:spacing w:after="40"/>
        <w:ind w:left="173" w:hanging="173"/>
        <w:keepNext/>
      </w:pPr>
      <w:r>
        <w:rPr>
          <w:rFonts w:ascii="Arial" w:hAnsi="Arial" w:eastAsia="Arial"/>
          <w:b/>
          <w:color w:val="17365D"/>
          <w:sz w:val="20"/>
        </w:rPr>
        <w:t xml:space="preserve">C. </w:t>
      </w:r>
      <w:r>
        <w:rPr>
          <w:rFonts w:ascii="Arial" w:hAnsi="Arial" w:eastAsia="Arial"/>
          <w:sz w:val="20"/>
        </w:rPr>
        <w:t>Correct. This response addresses counselor reaction, restores structure, and uses the relationship clinically.</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client should not be recruited to manage the counselor’s feelings or boundaries.</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Strong answers regulate the counselor, protect the frame, and seek support before acting on countertransference.</w:t>
            </w:r>
          </w:p>
        </w:tc>
      </w:tr>
    </w:tbl>
    <w:p>
      <w:pPr>
        <w:spacing w:after="0"/>
      </w:pPr>
    </w:p>
    <w:p>
      <w:pPr>
        <w:pStyle w:val="Heading2"/>
        <w:spacing w:before="140" w:after="60"/>
        <w:keepNext/>
      </w:pPr>
      <w:r>
        <w:rPr>
          <w:rFonts w:ascii="Arial" w:hAnsi="Arial" w:eastAsia="Arial"/>
          <w:b/>
          <w:color w:val="17365D"/>
          <w:sz w:val="23"/>
        </w:rPr>
        <w:t>Question 7 (LPCC-WB02-Q007)</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Expertise does not turn consultation into required supervision.</w:t>
      </w:r>
    </w:p>
    <w:p>
      <w:pPr>
        <w:spacing w:after="40"/>
        <w:ind w:left="173" w:hanging="173"/>
        <w:keepNext/>
      </w:pPr>
      <w:r>
        <w:rPr>
          <w:rFonts w:ascii="Arial" w:hAnsi="Arial" w:eastAsia="Arial"/>
          <w:b/>
          <w:color w:val="17365D"/>
          <w:sz w:val="20"/>
        </w:rPr>
        <w:t xml:space="preserve">B. </w:t>
      </w:r>
      <w:r>
        <w:rPr>
          <w:rFonts w:ascii="Arial" w:hAnsi="Arial" w:eastAsia="Arial"/>
          <w:sz w:val="20"/>
        </w:rPr>
        <w:t>Correct. Supervision is formal oversight; consultation is focused input and does not replace it.</w:t>
      </w:r>
    </w:p>
    <w:p>
      <w:pPr>
        <w:spacing w:after="40"/>
        <w:ind w:left="173" w:hanging="173"/>
        <w:keepNext/>
      </w:pPr>
      <w:r>
        <w:rPr>
          <w:rFonts w:ascii="Arial" w:hAnsi="Arial" w:eastAsia="Arial"/>
          <w:b/>
          <w:color w:val="1F2937"/>
          <w:sz w:val="20"/>
        </w:rPr>
        <w:t xml:space="preserve">C. </w:t>
      </w:r>
      <w:r>
        <w:rPr>
          <w:rFonts w:ascii="Arial" w:hAnsi="Arial" w:eastAsia="Arial"/>
          <w:sz w:val="20"/>
        </w:rPr>
        <w:t>Incorrect. The counselor retains responsibility for using consultation appropriately.</w:t>
      </w:r>
    </w:p>
    <w:p>
      <w:pPr>
        <w:spacing w:after="40"/>
        <w:ind w:left="173" w:hanging="173"/>
        <w:keepNext/>
      </w:pPr>
      <w:r>
        <w:rPr>
          <w:rFonts w:ascii="Arial" w:hAnsi="Arial" w:eastAsia="Arial"/>
          <w:b/>
          <w:color w:val="1F2937"/>
          <w:sz w:val="20"/>
        </w:rPr>
        <w:t xml:space="preserve">D. </w:t>
      </w:r>
      <w:r>
        <w:rPr>
          <w:rFonts w:ascii="Arial" w:hAnsi="Arial" w:eastAsia="Arial"/>
          <w:sz w:val="20"/>
        </w:rPr>
        <w:t>Incorrect. APCC supervision is an ongoing requirement, not a crisis-only resource.</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Ask whether the issue is formal oversight or focused expertise. An APCC often needs both.</w:t>
            </w:r>
          </w:p>
        </w:tc>
      </w:tr>
    </w:tbl>
    <w:p>
      <w:pPr>
        <w:spacing w:after="0"/>
      </w:pPr>
    </w:p>
    <w:p>
      <w:pPr>
        <w:pStyle w:val="Heading2"/>
        <w:spacing w:before="140" w:after="60"/>
        <w:keepNext/>
      </w:pPr>
      <w:r>
        <w:rPr>
          <w:rFonts w:ascii="Arial" w:hAnsi="Arial" w:eastAsia="Arial"/>
          <w:b/>
          <w:color w:val="17365D"/>
          <w:sz w:val="23"/>
        </w:rPr>
        <w:t>Question 8 (LPCC-WB02-Q008)</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Branding does not establish evidence quality.</w:t>
      </w:r>
    </w:p>
    <w:p>
      <w:pPr>
        <w:spacing w:after="40"/>
        <w:ind w:left="173" w:hanging="173"/>
        <w:keepNext/>
      </w:pPr>
      <w:r>
        <w:rPr>
          <w:rFonts w:ascii="Arial" w:hAnsi="Arial" w:eastAsia="Arial"/>
          <w:b/>
          <w:color w:val="17365D"/>
          <w:sz w:val="20"/>
        </w:rPr>
        <w:t xml:space="preserve">B. </w:t>
      </w:r>
      <w:r>
        <w:rPr>
          <w:rFonts w:ascii="Arial" w:hAnsi="Arial" w:eastAsia="Arial"/>
          <w:sz w:val="20"/>
        </w:rPr>
        <w:t>Correct. Broad application requires examination of design, magnitude, risks, limitations, and relevance to the client.</w:t>
      </w:r>
    </w:p>
    <w:p>
      <w:pPr>
        <w:spacing w:after="40"/>
        <w:ind w:left="173" w:hanging="173"/>
        <w:keepNext/>
      </w:pPr>
      <w:r>
        <w:rPr>
          <w:rFonts w:ascii="Arial" w:hAnsi="Arial" w:eastAsia="Arial"/>
          <w:b/>
          <w:color w:val="1F2937"/>
          <w:sz w:val="20"/>
        </w:rPr>
        <w:t xml:space="preserve">C. </w:t>
      </w:r>
      <w:r>
        <w:rPr>
          <w:rFonts w:ascii="Arial" w:hAnsi="Arial" w:eastAsia="Arial"/>
          <w:sz w:val="20"/>
        </w:rPr>
        <w:t>Incorrect. Commercial training availability is not evidence of effectiveness.</w:t>
      </w:r>
    </w:p>
    <w:p>
      <w:pPr>
        <w:spacing w:after="40"/>
        <w:ind w:left="173" w:hanging="173"/>
        <w:keepNext/>
      </w:pPr>
      <w:r>
        <w:rPr>
          <w:rFonts w:ascii="Arial" w:hAnsi="Arial" w:eastAsia="Arial"/>
          <w:b/>
          <w:color w:val="1F2937"/>
          <w:sz w:val="20"/>
        </w:rPr>
        <w:t xml:space="preserve">D. </w:t>
      </w:r>
      <w:r>
        <w:rPr>
          <w:rFonts w:ascii="Arial" w:hAnsi="Arial" w:eastAsia="Arial"/>
          <w:sz w:val="20"/>
        </w:rPr>
        <w:t>Incorrect. Statistical significance alone does not establish clinical meaning, generalizability, safety, or fit.</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For research questions, move from “Was there a result?” to “How credible, meaningful, applicable, and safe is it?”</w:t>
            </w:r>
          </w:p>
        </w:tc>
      </w:tr>
    </w:tbl>
    <w:p>
      <w:pPr>
        <w:spacing w:after="0"/>
      </w:pPr>
    </w:p>
    <w:p>
      <w:pPr>
        <w:pStyle w:val="Heading2"/>
        <w:spacing w:before="140" w:after="60"/>
        <w:keepNext/>
      </w:pPr>
      <w:r>
        <w:rPr>
          <w:rFonts w:ascii="Arial" w:hAnsi="Arial" w:eastAsia="Arial"/>
          <w:b/>
          <w:color w:val="17365D"/>
          <w:sz w:val="23"/>
        </w:rPr>
        <w:t>Question 9 (LPCC-WB02-Q009)</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missed safety follow-up shows that waiting without change is unsafe.</w:t>
      </w:r>
    </w:p>
    <w:p>
      <w:pPr>
        <w:spacing w:after="40"/>
        <w:ind w:left="173" w:hanging="173"/>
        <w:keepNext/>
      </w:pPr>
      <w:r>
        <w:rPr>
          <w:rFonts w:ascii="Arial" w:hAnsi="Arial" w:eastAsia="Arial"/>
          <w:b/>
          <w:color w:val="1F2937"/>
          <w:sz w:val="20"/>
        </w:rPr>
        <w:t xml:space="preserve">B. </w:t>
      </w:r>
      <w:r>
        <w:rPr>
          <w:rFonts w:ascii="Arial" w:hAnsi="Arial" w:eastAsia="Arial"/>
          <w:sz w:val="20"/>
        </w:rPr>
        <w:t>Incorrect. Private self-care alone does not correct impaired professional functioning.</w:t>
      </w:r>
    </w:p>
    <w:p>
      <w:pPr>
        <w:spacing w:after="40"/>
        <w:ind w:left="173" w:hanging="173"/>
        <w:keepNext/>
      </w:pPr>
      <w:r>
        <w:rPr>
          <w:rFonts w:ascii="Arial" w:hAnsi="Arial" w:eastAsia="Arial"/>
          <w:b/>
          <w:color w:val="17365D"/>
          <w:sz w:val="20"/>
        </w:rPr>
        <w:t xml:space="preserve">C. </w:t>
      </w:r>
      <w:r>
        <w:rPr>
          <w:rFonts w:ascii="Arial" w:hAnsi="Arial" w:eastAsia="Arial"/>
          <w:sz w:val="20"/>
        </w:rPr>
        <w:t>Correct. The response addresses client protection, counselor support, reliability, and workload.</w:t>
      </w:r>
    </w:p>
    <w:p>
      <w:pPr>
        <w:spacing w:after="40"/>
        <w:ind w:left="173" w:hanging="173"/>
        <w:keepNext/>
      </w:pPr>
      <w:r>
        <w:rPr>
          <w:rFonts w:ascii="Arial" w:hAnsi="Arial" w:eastAsia="Arial"/>
          <w:b/>
          <w:color w:val="1F2937"/>
          <w:sz w:val="20"/>
        </w:rPr>
        <w:t xml:space="preserve">D. </w:t>
      </w:r>
      <w:r>
        <w:rPr>
          <w:rFonts w:ascii="Arial" w:hAnsi="Arial" w:eastAsia="Arial"/>
          <w:sz w:val="20"/>
        </w:rPr>
        <w:t>Incorrect. Disclosure may burden the client and does not replace corrective professional action.</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Once counselor distress affects safety, documentation, attendance, or judgment, the answer must change practice—not only mood.</w:t>
            </w:r>
          </w:p>
        </w:tc>
      </w:tr>
    </w:tbl>
    <w:p>
      <w:pPr>
        <w:spacing w:after="0"/>
      </w:pPr>
    </w:p>
    <w:p>
      <w:pPr>
        <w:pStyle w:val="Heading2"/>
        <w:spacing w:before="140" w:after="60"/>
        <w:keepNext/>
      </w:pPr>
      <w:r>
        <w:rPr>
          <w:rFonts w:ascii="Arial" w:hAnsi="Arial" w:eastAsia="Arial"/>
          <w:b/>
          <w:color w:val="17365D"/>
          <w:sz w:val="23"/>
        </w:rPr>
        <w:t>Question 10 (LPCC-WB02-Q010)</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Client urgency does not justify using an unfamiliar or inappropriate instrument.</w:t>
      </w:r>
    </w:p>
    <w:p>
      <w:pPr>
        <w:spacing w:after="40"/>
        <w:ind w:left="173" w:hanging="173"/>
        <w:keepNext/>
      </w:pPr>
      <w:r>
        <w:rPr>
          <w:rFonts w:ascii="Arial" w:hAnsi="Arial" w:eastAsia="Arial"/>
          <w:b/>
          <w:color w:val="1F2937"/>
          <w:sz w:val="20"/>
        </w:rPr>
        <w:t xml:space="preserve">B. </w:t>
      </w:r>
      <w:r>
        <w:rPr>
          <w:rFonts w:ascii="Arial" w:hAnsi="Arial" w:eastAsia="Arial"/>
          <w:sz w:val="20"/>
        </w:rPr>
        <w:t>Incorrect. Total rejection abandons the counseling role and may disrupt needed support.</w:t>
      </w:r>
    </w:p>
    <w:p>
      <w:pPr>
        <w:spacing w:after="40"/>
        <w:ind w:left="173" w:hanging="173"/>
        <w:keepNext/>
      </w:pPr>
      <w:r>
        <w:rPr>
          <w:rFonts w:ascii="Arial" w:hAnsi="Arial" w:eastAsia="Arial"/>
          <w:b/>
          <w:color w:val="17365D"/>
          <w:sz w:val="20"/>
        </w:rPr>
        <w:t xml:space="preserve">C. </w:t>
      </w:r>
      <w:r>
        <w:rPr>
          <w:rFonts w:ascii="Arial" w:hAnsi="Arial" w:eastAsia="Arial"/>
          <w:sz w:val="20"/>
        </w:rPr>
        <w:t>Correct. It integrates immediate counseling care, role transparency, supervision, medical/specialist coordination, and continuity within competence.</w:t>
      </w:r>
    </w:p>
    <w:p>
      <w:pPr>
        <w:spacing w:after="40"/>
        <w:ind w:left="173" w:hanging="173"/>
        <w:keepNext/>
      </w:pPr>
      <w:r>
        <w:rPr>
          <w:rFonts w:ascii="Arial" w:hAnsi="Arial" w:eastAsia="Arial"/>
          <w:b/>
          <w:color w:val="1F2937"/>
          <w:sz w:val="20"/>
        </w:rPr>
        <w:t xml:space="preserve">D. </w:t>
      </w:r>
      <w:r>
        <w:rPr>
          <w:rFonts w:ascii="Arial" w:hAnsi="Arial" w:eastAsia="Arial"/>
          <w:sz w:val="20"/>
        </w:rPr>
        <w:t>Incorrect. A supervisor signature does not cure an APCC’s lack of competence or an out-of-scope assessment.</w:t>
      </w:r>
    </w:p>
    <w:tbl>
      <w:tblPr>
        <w:tblW w:type="auto" w:w="0"/>
        <w:jc w:val="center"/>
        <w:tblLook w:firstColumn="1" w:firstRow="1" w:lastColumn="0" w:lastRow="0" w:noHBand="0" w:noVBand="1" w:val="04A0"/>
      </w:tblPr>
      <w:tblGrid>
        <w:gridCol w:w="10310"/>
      </w:tblGrid>
      <w:tr>
        <w:trPr>
          <w:cantSplit/>
          <w:tblHeader/>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Integrated questions reward the option that preserves immediate care while correcting scope, competence, and coordination problems.</w:t>
            </w:r>
          </w:p>
        </w:tc>
      </w:tr>
    </w:tbl>
    <w:p>
      <w:pPr>
        <w:spacing w:after="0"/>
      </w:pPr>
    </w:p>
    <w:p>
      <w:pPr>
        <w:pStyle w:val="Heading1"/>
        <w:spacing w:before="100" w:after="80"/>
        <w:keepNext/>
      </w:pPr>
      <w:r>
        <w:rPr>
          <w:rFonts w:ascii="Arial" w:hAnsi="Arial" w:eastAsia="Arial"/>
          <w:b/>
          <w:color w:val="17365D"/>
          <w:sz w:val="23"/>
        </w:rPr>
        <w:t>Study Planning and Next Step</w:t>
      </w:r>
    </w:p>
    <w:p>
      <w:pPr>
        <w:pStyle w:val="Heading2"/>
        <w:spacing w:before="140" w:after="80"/>
        <w:keepNext/>
      </w:pPr>
      <w:r>
        <w:rPr>
          <w:rFonts w:ascii="Arial" w:hAnsi="Arial" w:eastAsia="Arial"/>
          <w:b/>
          <w:color w:val="159C9C"/>
          <w:sz w:val="26"/>
        </w:rPr>
        <w:t>My Workbook 2 Results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31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w:t>
            </w:r>
          </w:p>
        </w:tc>
        <w:tc>
          <w:tcPr>
            <w:tcW w:type="dxa" w:w="72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Knowledge Check Score</w:t>
            </w:r>
          </w:p>
        </w:tc>
        <w:tc>
          <w:tcPr>
            <w:tcW w:type="dxa" w:w="72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10</w:t>
            </w:r>
          </w:p>
        </w:tc>
      </w:tr>
      <w:tr>
        <w:trPr>
          <w:cantSplit/>
        </w:trPr>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High-confidence errors</w:t>
            </w:r>
          </w:p>
        </w:tc>
        <w:tc>
          <w:tcPr>
            <w:tcW w:type="dxa" w:w="72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Question(s): ______________________________</w:t>
            </w:r>
          </w:p>
        </w:tc>
      </w:tr>
      <w:tr>
        <w:trPr>
          <w:cantSplit/>
        </w:trPr>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Scope/competence errors</w:t>
            </w:r>
          </w:p>
        </w:tc>
        <w:tc>
          <w:tcPr>
            <w:tcW w:type="dxa" w:w="72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Question(s): ______________________________</w:t>
            </w:r>
          </w:p>
        </w:tc>
      </w:tr>
      <w:tr>
        <w:trPr>
          <w:cantSplit/>
        </w:trPr>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Boundary/fit errors</w:t>
            </w:r>
          </w:p>
        </w:tc>
        <w:tc>
          <w:tcPr>
            <w:tcW w:type="dxa" w:w="72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Question(s): ______________________________</w:t>
            </w:r>
          </w:p>
        </w:tc>
      </w:tr>
      <w:tr>
        <w:trPr>
          <w:cantSplit/>
        </w:trPr>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Supervision/research errors</w:t>
            </w:r>
          </w:p>
        </w:tc>
        <w:tc>
          <w:tcPr>
            <w:tcW w:type="dxa" w:w="72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Question(s): ______________________________</w:t>
            </w:r>
          </w:p>
        </w:tc>
      </w:tr>
      <w:tr>
        <w:trPr>
          <w:cantSplit/>
        </w:trPr>
        <w:tc>
          <w:tcPr>
            <w:tcW w:type="dxa" w:w="331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Self-awareness/wellbeing errors</w:t>
            </w:r>
          </w:p>
        </w:tc>
        <w:tc>
          <w:tcPr>
            <w:tcW w:type="dxa" w:w="72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Question(s): ______________________________</w:t>
            </w:r>
          </w:p>
        </w:tc>
      </w:tr>
    </w:tbl>
    <w:p>
      <w:pPr>
        <w:spacing w:after="0"/>
      </w:pPr>
    </w:p>
    <w:p>
      <w:pPr>
        <w:pStyle w:val="Heading2"/>
        <w:spacing w:before="140" w:after="80"/>
        <w:keepNext/>
      </w:pPr>
      <w:r>
        <w:rPr>
          <w:rFonts w:ascii="Arial" w:hAnsi="Arial" w:eastAsia="Arial"/>
          <w:b/>
          <w:color w:val="159C9C"/>
          <w:sz w:val="26"/>
        </w:rPr>
        <w:t>My Corrected Rules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or Uncertainty</w:t>
            </w:r>
          </w:p>
        </w:tc>
        <w:tc>
          <w:tcPr>
            <w:tcW w:type="dxa" w:w="41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Corrected Decision Rule</w:t>
            </w:r>
          </w:p>
        </w:tc>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How I Will Practice It</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Workbook 2 Completion Check</w:t>
      </w:r>
    </w:p>
    <w:p>
      <w:pPr>
        <w:spacing w:after="40"/>
      </w:pPr>
      <w:r>
        <w:rPr>
          <w:rFonts w:ascii="Arial" w:hAnsi="Arial" w:eastAsia="Arial"/>
          <w:sz w:val="20"/>
        </w:rPr>
        <w:t>☐ I can distinguish California LPCC scope, personal competence, professional status, and clinical appropriateness.</w:t>
      </w:r>
    </w:p>
    <w:p>
      <w:pPr>
        <w:spacing w:after="40"/>
      </w:pPr>
      <w:r>
        <w:rPr>
          <w:rFonts w:ascii="Arial" w:hAnsi="Arial" w:eastAsia="Arial"/>
          <w:sz w:val="20"/>
        </w:rPr>
        <w:t>☐ I can name the California LPCC assessment exclusions without using them as a reason to avoid all assessment.</w:t>
      </w:r>
    </w:p>
    <w:p>
      <w:pPr>
        <w:spacing w:after="40"/>
      </w:pPr>
      <w:r>
        <w:rPr>
          <w:rFonts w:ascii="Arial" w:hAnsi="Arial" w:eastAsia="Arial"/>
          <w:sz w:val="20"/>
        </w:rPr>
        <w:t>☐ I can explain why APCC consultation does not replace required supervision.</w:t>
      </w:r>
    </w:p>
    <w:p>
      <w:pPr>
        <w:spacing w:after="40"/>
      </w:pPr>
      <w:r>
        <w:rPr>
          <w:rFonts w:ascii="Arial" w:hAnsi="Arial" w:eastAsia="Arial"/>
          <w:sz w:val="20"/>
        </w:rPr>
        <w:t>☐ I can identify countertransference and boundary patterns before acting on them.</w:t>
      </w:r>
    </w:p>
    <w:p>
      <w:pPr>
        <w:spacing w:after="40"/>
      </w:pPr>
      <w:r>
        <w:rPr>
          <w:rFonts w:ascii="Arial" w:hAnsi="Arial" w:eastAsia="Arial"/>
          <w:sz w:val="20"/>
        </w:rPr>
        <w:t>☐ I can distinguish ordinary self-care from a response to impaired professional functioning.</w:t>
      </w:r>
    </w:p>
    <w:p>
      <w:pPr>
        <w:spacing w:after="40"/>
      </w:pPr>
      <w:r>
        <w:rPr>
          <w:rFonts w:ascii="Arial" w:hAnsi="Arial" w:eastAsia="Arial"/>
          <w:sz w:val="20"/>
        </w:rPr>
        <w:t>☐ I completed the worksheets and cumulative case lab.</w:t>
      </w:r>
    </w:p>
    <w:p>
      <w:pPr>
        <w:spacing w:after="40"/>
      </w:pPr>
      <w:r>
        <w:rPr>
          <w:rFonts w:ascii="Arial" w:hAnsi="Arial" w:eastAsia="Arial"/>
          <w:sz w:val="20"/>
        </w:rPr>
        <w:t>☐ I am ready to complete the separate Workbook 2 practice bank under closed-book conditions.</w:t>
      </w:r>
    </w:p>
    <w:p>
      <w:pPr>
        <w:pStyle w:val="Heading2"/>
        <w:spacing w:before="140" w:after="80"/>
        <w:keepNext/>
      </w:pPr>
      <w:r>
        <w:rPr>
          <w:rFonts w:ascii="Arial" w:hAnsi="Arial" w:eastAsia="Arial"/>
          <w:b/>
          <w:color w:val="159C9C"/>
          <w:sz w:val="26"/>
        </w:rPr>
        <w:t>Next Controlled Action</w:t>
      </w:r>
    </w:p>
    <w:p>
      <w:pPr>
        <w:spacing w:before="0" w:after="100" w:line="254" w:lineRule="auto"/>
      </w:pPr>
      <w:r>
        <w:rPr>
          <w:rFonts w:ascii="Arial" w:hAnsi="Arial" w:eastAsia="Arial"/>
          <w:b w:val="0"/>
          <w:i w:val="0"/>
          <w:color w:val="1F2937"/>
          <w:sz w:val="20"/>
        </w:rPr>
        <w:t>Complete the matching CTA LPCC Workbook 2 17-question practice bank. Review the separate rationale form only after submitting your answers and confidence ratings. Use your error pattern to decide whether to remediate this workbook before moving forward.</w:t>
      </w:r>
    </w:p>
    <w:p>
      <w:pPr>
        <w:spacing w:after="40"/>
      </w:pPr>
      <w:r>
        <w:rPr>
          <w:rFonts w:ascii="Arial" w:hAnsi="Arial" w:eastAsia="Arial"/>
          <w:sz w:val="20"/>
        </w:rPr>
        <w:t>☐ Move to Workbook 3 only after I can explain the scope, competence, fit, supervision, and self-awareness decision rules in my own words.</w:t>
      </w:r>
    </w:p>
    <w:p>
      <w:pPr>
        <w:pStyle w:val="Heading2"/>
        <w:spacing w:before="140" w:after="80"/>
        <w:keepNext/>
      </w:pPr>
      <w:r>
        <w:rPr>
          <w:rFonts w:ascii="Arial" w:hAnsi="Arial" w:eastAsia="Arial"/>
          <w:b/>
          <w:color w:val="159C9C"/>
          <w:sz w:val="26"/>
        </w:rPr>
        <w:t>Official Sources and Currency Note</w:t>
      </w:r>
    </w:p>
    <w:p>
      <w:pPr>
        <w:spacing w:before="0" w:after="100" w:line="254" w:lineRule="auto"/>
      </w:pPr>
      <w:r>
        <w:rPr>
          <w:rFonts w:ascii="Arial" w:hAnsi="Arial" w:eastAsia="Arial"/>
          <w:b w:val="0"/>
          <w:i w:val="0"/>
          <w:color w:val="1F2937"/>
          <w:sz w:val="20"/>
        </w:rPr>
        <w:t>Content was verified against official sources available in July 2026. Laws, Board guidance, examination specifications, and ethical codes may change. Candidates should confirm current requirements and the examination materials that apply to their test date.</w:t>
      </w:r>
    </w:p>
    <w:p>
      <w:pPr>
        <w:spacing w:after="40"/>
      </w:pPr>
      <w:r>
        <w:rPr>
          <w:rFonts w:ascii="Arial" w:hAnsi="Arial" w:eastAsia="Arial"/>
          <w:b/>
          <w:color w:val="17365D"/>
          <w:sz w:val="19"/>
        </w:rPr>
        <w:t xml:space="preserve">California Business and Professions Code § 4999.20: </w:t>
      </w:r>
      <w:hyperlink r:id="rId12">
        <w:r>
          <w:rPr>
            <w:rFonts w:ascii="Arial" w:hAnsi="Arial"/>
            <w:color w:val="159C9C"/>
            <w:u w:val="single"/>
          </w:rPr>
          <w:t>Open official source</w:t>
        </w:r>
      </w:hyperlink>
      <w:r>
        <w:rPr>
          <w:rFonts w:ascii="Arial" w:hAnsi="Arial" w:eastAsia="Arial"/>
          <w:color w:val="1F2937"/>
          <w:sz w:val="19"/>
        </w:rPr>
        <w:t xml:space="preserve"> - LPCC scope, counseling interventions, assessment, exclusions, and competence-based referral.</w:t>
      </w:r>
    </w:p>
    <w:p>
      <w:pPr>
        <w:spacing w:after="40"/>
      </w:pPr>
      <w:r>
        <w:rPr>
          <w:rFonts w:ascii="Arial" w:hAnsi="Arial" w:eastAsia="Arial"/>
          <w:b/>
          <w:color w:val="17365D"/>
          <w:sz w:val="19"/>
        </w:rPr>
        <w:t xml:space="preserve">California BBS LPCC Applicant Page: </w:t>
      </w:r>
      <w:hyperlink r:id="rId13">
        <w:r>
          <w:rPr>
            <w:rFonts w:ascii="Arial" w:hAnsi="Arial"/>
            <w:color w:val="159C9C"/>
            <w:u w:val="single"/>
          </w:rPr>
          <w:t>Open official source</w:t>
        </w:r>
      </w:hyperlink>
      <w:r>
        <w:rPr>
          <w:rFonts w:ascii="Arial" w:hAnsi="Arial" w:eastAsia="Arial"/>
          <w:color w:val="1F2937"/>
          <w:sz w:val="19"/>
        </w:rPr>
        <w:t xml:space="preserve"> - APCC registration, supervised experience, examinations, and license issuance pathway.</w:t>
      </w:r>
    </w:p>
    <w:p>
      <w:pPr>
        <w:spacing w:after="40"/>
      </w:pPr>
      <w:r>
        <w:rPr>
          <w:rFonts w:ascii="Arial" w:hAnsi="Arial" w:eastAsia="Arial"/>
          <w:b/>
          <w:color w:val="17365D"/>
          <w:sz w:val="19"/>
        </w:rPr>
        <w:t xml:space="preserve">BBS Answers to Frequently Asked Questions for APCCs: </w:t>
      </w:r>
      <w:hyperlink r:id="rId14">
        <w:r>
          <w:rPr>
            <w:rFonts w:ascii="Arial" w:hAnsi="Arial"/>
            <w:color w:val="159C9C"/>
            <w:u w:val="single"/>
          </w:rPr>
          <w:t>Open official source</w:t>
        </w:r>
      </w:hyperlink>
      <w:r>
        <w:rPr>
          <w:rFonts w:ascii="Arial" w:hAnsi="Arial" w:eastAsia="Arial"/>
          <w:color w:val="1F2937"/>
          <w:sz w:val="19"/>
        </w:rPr>
        <w:t xml:space="preserve"> - Revised February 2025; associate practice, supervision, work settings, and licensure process.</w:t>
      </w:r>
    </w:p>
    <w:p>
      <w:pPr>
        <w:spacing w:after="40"/>
      </w:pPr>
      <w:r>
        <w:rPr>
          <w:rFonts w:ascii="Arial" w:hAnsi="Arial" w:eastAsia="Arial"/>
          <w:b/>
          <w:color w:val="17365D"/>
          <w:sz w:val="19"/>
        </w:rPr>
        <w:t xml:space="preserve">BBS Guide to Supervision for Associates: </w:t>
      </w:r>
      <w:hyperlink r:id="rId15">
        <w:r>
          <w:rPr>
            <w:rFonts w:ascii="Arial" w:hAnsi="Arial"/>
            <w:color w:val="159C9C"/>
            <w:u w:val="single"/>
          </w:rPr>
          <w:t>Open official source</w:t>
        </w:r>
      </w:hyperlink>
      <w:r>
        <w:rPr>
          <w:rFonts w:ascii="Arial" w:hAnsi="Arial" w:eastAsia="Arial"/>
          <w:color w:val="1F2937"/>
          <w:sz w:val="19"/>
        </w:rPr>
        <w:t xml:space="preserve"> - Supervisor-supervisee responsibilities and effective use of supervision.</w:t>
      </w:r>
    </w:p>
    <w:p>
      <w:pPr>
        <w:spacing w:after="40"/>
      </w:pPr>
      <w:r>
        <w:rPr>
          <w:rFonts w:ascii="Arial" w:hAnsi="Arial" w:eastAsia="Arial"/>
          <w:b/>
          <w:color w:val="17365D"/>
          <w:sz w:val="19"/>
        </w:rPr>
        <w:t xml:space="preserve">NBCC NCMHCE Content Outline: </w:t>
      </w:r>
      <w:hyperlink r:id="rId16">
        <w:r>
          <w:rPr>
            <w:rFonts w:ascii="Arial" w:hAnsi="Arial"/>
            <w:color w:val="159C9C"/>
            <w:u w:val="single"/>
          </w:rPr>
          <w:t>Open official source</w:t>
        </w:r>
      </w:hyperlink>
      <w:r>
        <w:rPr>
          <w:rFonts w:ascii="Arial" w:hAnsi="Arial" w:eastAsia="Arial"/>
          <w:color w:val="1F2937"/>
          <w:sz w:val="19"/>
        </w:rPr>
        <w:t xml:space="preserve"> - Current examination domains and tasks.</w:t>
      </w:r>
    </w:p>
    <w:p>
      <w:pPr>
        <w:spacing w:after="40"/>
      </w:pPr>
      <w:r>
        <w:rPr>
          <w:rFonts w:ascii="Arial" w:hAnsi="Arial" w:eastAsia="Arial"/>
          <w:b/>
          <w:color w:val="17365D"/>
          <w:sz w:val="19"/>
        </w:rPr>
        <w:t xml:space="preserve">NBCC NCMHCE 2027 Examination Specifications: </w:t>
      </w:r>
      <w:hyperlink r:id="rId17">
        <w:r>
          <w:rPr>
            <w:rFonts w:ascii="Arial" w:hAnsi="Arial"/>
            <w:color w:val="159C9C"/>
            <w:u w:val="single"/>
          </w:rPr>
          <w:t>Open official source</w:t>
        </w:r>
      </w:hyperlink>
      <w:r>
        <w:rPr>
          <w:rFonts w:ascii="Arial" w:hAnsi="Arial" w:eastAsia="Arial"/>
          <w:color w:val="1F2937"/>
          <w:sz w:val="19"/>
        </w:rPr>
        <w:t xml:space="preserve"> - Effective July 1, 2027; Professional Development and Counselor Self-Awareness domain.</w:t>
      </w:r>
    </w:p>
    <w:p>
      <w:pPr>
        <w:spacing w:after="40"/>
      </w:pPr>
      <w:r>
        <w:rPr>
          <w:rFonts w:ascii="Arial" w:hAnsi="Arial" w:eastAsia="Arial"/>
          <w:b/>
          <w:color w:val="17365D"/>
          <w:sz w:val="19"/>
        </w:rPr>
        <w:t xml:space="preserve">NBCC Ethics: </w:t>
      </w:r>
      <w:hyperlink r:id="rId18">
        <w:r>
          <w:rPr>
            <w:rFonts w:ascii="Arial" w:hAnsi="Arial"/>
            <w:color w:val="159C9C"/>
            <w:u w:val="single"/>
          </w:rPr>
          <w:t>Open official source</w:t>
        </w:r>
      </w:hyperlink>
      <w:r>
        <w:rPr>
          <w:rFonts w:ascii="Arial" w:hAnsi="Arial" w:eastAsia="Arial"/>
          <w:color w:val="1F2937"/>
          <w:sz w:val="19"/>
        </w:rPr>
        <w:t xml:space="preserve"> - Current NBCC ethics policies and Code of Ethics access.</w:t>
      </w:r>
    </w:p>
    <w:tbl>
      <w:tblPr>
        <w:tblW w:type="auto" w:w="0"/>
        <w:jc w:val="center"/>
        <w:tblLook w:firstColumn="1" w:firstRow="1" w:lastColumn="0" w:lastRow="0" w:noHBand="0" w:noVBand="1" w:val="04A0"/>
      </w:tblPr>
      <w:tblGrid>
        <w:gridCol w:w="10310"/>
      </w:tblGrid>
      <w:tr>
        <w:trPr>
          <w:cantSplit/>
          <w:tblHeader/>
        </w:trPr>
        <w:tc>
          <w:tcPr>
            <w:tcW w:type="dxa" w:w="10310"/>
            <w:shd w:fill="EAF0F7"/>
            <w:tcBorders>
              <w:top w:val="single" w:sz="10" w:color="17365D"/>
              <w:left w:val="single" w:sz="10" w:color="17365D"/>
              <w:bottom w:val="single" w:sz="10" w:color="17365D"/>
              <w:right w:val="single" w:sz="10" w:color="17365D"/>
            </w:tcBorders>
            <w:tcMar>
              <w:top w:w="110" w:type="dxa"/>
              <w:start w:w="140" w:type="dxa"/>
              <w:bottom w:w="110" w:type="dxa"/>
              <w:end w:w="140" w:type="dxa"/>
            </w:tcMar>
          </w:tcPr>
          <w:p>
            <w:pPr>
              <w:spacing w:after="60"/>
            </w:pPr>
            <w:r>
              <w:rPr>
                <w:rFonts w:ascii="Arial" w:hAnsi="Arial" w:eastAsia="Arial"/>
                <w:b/>
                <w:color w:val="17365D"/>
                <w:sz w:val="21"/>
              </w:rPr>
              <w:t>NEXT WORKBOOK</w:t>
            </w:r>
          </w:p>
          <w:p>
            <w:pPr>
              <w:spacing w:after="20" w:line="250" w:lineRule="auto"/>
            </w:pPr>
            <w:r>
              <w:rPr>
                <w:rFonts w:ascii="Arial" w:hAnsi="Arial" w:eastAsia="Arial"/>
                <w:color w:val="1F2937"/>
                <w:sz w:val="20"/>
              </w:rPr>
              <w:t>Workbook 3 - Intake, Informed Consent, Clinical Interviewing, Mental Status Examination, and Biopsychosocial-Cultural Assessment</w:t>
            </w:r>
          </w:p>
        </w:tc>
      </w:tr>
    </w:tbl>
    <w:p>
      <w:pPr>
        <w:spacing w:after="0"/>
      </w:pPr>
    </w:p>
    <w:sectPr w:rsidR="00FC693F" w:rsidRPr="0006063C" w:rsidSect="00034616">
      <w:headerReference w:type="default" r:id="rId9"/>
      <w:footerReference w:type="default" r:id="rId10"/>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7"/>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Workbook 2 - Identity, Scope, Competence, and Self-Awareness</w:t>
          </w:r>
        </w:p>
      </w:tc>
      <w:trPr>
        <w:tblHeader/>
      </w:trPr>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leginfo.legislature.ca.gov/faces/codes_displaySection.xhtml?lawCode=BPC&amp;sectionNum=4999.20." TargetMode="External"/><Relationship Id="rId13" Type="http://schemas.openxmlformats.org/officeDocument/2006/relationships/hyperlink" Target="https://www.bbs.ca.gov/applicants/lpcc.html" TargetMode="External"/><Relationship Id="rId14" Type="http://schemas.openxmlformats.org/officeDocument/2006/relationships/hyperlink" Target="https://www.bbs.ca.gov/pdf/publications/pcci_faq.pdf" TargetMode="External"/><Relationship Id="rId15" Type="http://schemas.openxmlformats.org/officeDocument/2006/relationships/hyperlink" Target="https://www.bbs.ca.gov/pdf/publications/supervision_brochure.pdf" TargetMode="External"/><Relationship Id="rId16" Type="http://schemas.openxmlformats.org/officeDocument/2006/relationships/hyperlink" Target="https://www.nbcc.org/assets/exam/ncmhce_content_outline.pdf" TargetMode="External"/><Relationship Id="rId17" Type="http://schemas.openxmlformats.org/officeDocument/2006/relationships/hyperlink" Target="https://www.nbcc.org/assets/exam/NCMHCE_exam_spec_2027.pdf" TargetMode="External"/><Relationship Id="rId18" Type="http://schemas.openxmlformats.org/officeDocument/2006/relationships/hyperlink" Target="https://www.nbcc.org/ethi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2: Professional Identity, California Scope, Competence, and Counselor Self-Awareness</dc:title>
  <dc:subject>California LPCC NCMHCE examination preparation</dc:subject>
  <dc:creator>Clinical Training Academy</dc:creator>
  <cp:keywords>LPCC, APCC, NCMHCE, California scope, competence, counselor self-awareness, supervision</cp:keywords>
  <dc:description>generated by python-docx</dc:description>
  <cp:lastModifiedBy/>
  <cp:revision>1</cp:revision>
  <dcterms:created xsi:type="dcterms:W3CDTF">2013-12-23T23:15:00Z</dcterms:created>
  <dcterms:modified xsi:type="dcterms:W3CDTF">2013-12-23T23:15:00Z</dcterms:modified>
  <cp:category/>
</cp:coreProperties>
</file>