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1920240" cy="1388039"/>
            <wp:docPr id="1" name="CTA stacked logo" descr="Clinical Training and Supervision Academy logo"/>
            <wp:cNvGraphicFramePr>
              <a:graphicFrameLocks noChangeAspect="1"/>
            </wp:cNvGraphicFramePr>
            <a:graphic>
              <a:graphicData uri="http://schemas.openxmlformats.org/drawingml/2006/picture">
                <pic:pic>
                  <pic:nvPicPr>
                    <pic:cNvPr id="0" name="CTA_Stacked_Logo(3).png"/>
                    <pic:cNvPicPr/>
                  </pic:nvPicPr>
                  <pic:blipFill>
                    <a:blip r:embed="rId11"/>
                    <a:stretch>
                      <a:fillRect/>
                    </a:stretch>
                  </pic:blipFill>
                  <pic:spPr>
                    <a:xfrm>
                      <a:off x="0" y="0"/>
                      <a:ext cx="1920240" cy="1388039"/>
                    </a:xfrm>
                    <a:prstGeom prst="rect"/>
                  </pic:spPr>
                </pic:pic>
              </a:graphicData>
            </a:graphic>
          </wp:inline>
        </w:drawing>
      </w:r>
    </w:p>
    <w:p>
      <w:pPr>
        <w:spacing w:after="40"/>
        <w:jc w:val="center"/>
      </w:pPr>
      <w:r>
        <w:rPr>
          <w:rFonts w:ascii="Arial" w:hAnsi="Arial" w:eastAsia="Arial"/>
          <w:b/>
          <w:color w:val="159C9C"/>
          <w:sz w:val="25"/>
        </w:rPr>
        <w:t>LPCC NCMHCE EXAM PREPARATION PROGRAM</w:t>
      </w:r>
    </w:p>
    <w:p>
      <w:pPr>
        <w:spacing w:after="80"/>
        <w:jc w:val="center"/>
      </w:pPr>
      <w:r>
        <w:rPr>
          <w:rFonts w:ascii="Arial" w:hAnsi="Arial" w:eastAsia="Arial"/>
          <w:b/>
          <w:color w:val="4E5B6B"/>
          <w:sz w:val="26"/>
        </w:rPr>
        <w:t>Student Workbook</w:t>
      </w:r>
    </w:p>
    <w:p>
      <w:pPr>
        <w:spacing w:after="140"/>
        <w:jc w:val="center"/>
      </w:pPr>
      <w:r>
        <w:rPr>
          <w:rFonts w:ascii="Arial" w:hAnsi="Arial" w:eastAsia="Arial"/>
          <w:b/>
          <w:color w:val="17365D"/>
          <w:sz w:val="36"/>
        </w:rPr>
        <w:t>CTA LPCC Workbook 3: Intake, Informed Consent, Clinical Interviewing, MSE, and Biopsychosocial-Cultural Assessment</w:t>
      </w:r>
    </w:p>
    <w:p>
      <w:pPr>
        <w:spacing w:after="180"/>
        <w:jc w:val="center"/>
      </w:pPr>
      <w:r>
        <w:rPr>
          <w:rFonts w:ascii="Arial" w:hAnsi="Arial" w:eastAsia="Arial"/>
          <w:i/>
          <w:color w:val="1F7A8C"/>
          <w:sz w:val="22"/>
        </w:rPr>
        <w:t>How to gather enough information, preserve alliance, recognize limits, and avoid premature conclusions</w:t>
      </w:r>
    </w:p>
    <w:p>
      <w:pPr>
        <w:spacing w:after="280"/>
        <w:jc w:val="center"/>
      </w:pPr>
      <w:r>
        <w:rPr>
          <w:rFonts w:ascii="Arial" w:hAnsi="Arial" w:eastAsia="Arial"/>
          <w:b/>
          <w:color w:val="4E5B6B"/>
          <w:sz w:val="21"/>
        </w:rPr>
        <w:t>Version 1.0 - July 2026</w:t>
      </w: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STUDENT-FACING EXAM PREPARATION MATERIAL</w:t>
            </w:r>
          </w:p>
          <w:p>
            <w:pPr>
              <w:spacing w:after="20" w:line="250" w:lineRule="auto"/>
            </w:pPr>
            <w:r>
              <w:rPr>
                <w:rFonts w:ascii="Arial" w:hAnsi="Arial" w:eastAsia="Arial"/>
                <w:color w:val="1F2937"/>
                <w:sz w:val="20"/>
              </w:rPr>
              <w:t>All teaching cases, worksheets, and practice questions are original CTA materials. They are not recalled, copied, or represented as actual NCMHCE items.</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EDUCATIONAL, NON-AFFILIATION, AND SCOPE NOTICE</w:t>
            </w:r>
          </w:p>
          <w:p>
            <w:pPr>
              <w:spacing w:after="20" w:line="250" w:lineRule="auto"/>
            </w:pPr>
            <w:r>
              <w:rPr>
                <w:rFonts w:ascii="Arial" w:hAnsi="Arial" w:eastAsia="Arial"/>
                <w:color w:val="1F2937"/>
                <w:sz w:val="20"/>
              </w:rPr>
              <w:t>Clinical Training Academy is not affiliated with the California Board of Behavioral Sciences, NBCC, CCE, Pearson VUE, ACA, APA, or any instrument publisher. This workbook does not replace legal advice, supervision, employer policy, current examination handbooks, statutes, regulations, ethical codes, instrument manuals, or specialized training.</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F2F4F7"/>
            <w:tcBorders>
              <w:top w:val="single" w:sz="10" w:color="D9E1E8"/>
              <w:left w:val="single" w:sz="10" w:color="D9E1E8"/>
              <w:bottom w:val="single" w:sz="10" w:color="D9E1E8"/>
              <w:right w:val="single" w:sz="10" w:color="D9E1E8"/>
            </w:tcBorders>
            <w:tcMar>
              <w:top w:w="110" w:type="dxa"/>
              <w:start w:w="140" w:type="dxa"/>
              <w:bottom w:w="110" w:type="dxa"/>
              <w:end w:w="140" w:type="dxa"/>
            </w:tcMar>
          </w:tcPr>
          <w:p>
            <w:pPr>
              <w:spacing w:after="60"/>
            </w:pPr>
            <w:r>
              <w:rPr>
                <w:rFonts w:ascii="Arial" w:hAnsi="Arial" w:eastAsia="Arial"/>
                <w:b/>
                <w:color w:val="17365D"/>
                <w:sz w:val="21"/>
              </w:rPr>
              <w:t>NO CONTINUING-EDUCATION CREDIT</w:t>
            </w:r>
          </w:p>
          <w:p>
            <w:pPr>
              <w:spacing w:after="20" w:line="250" w:lineRule="auto"/>
            </w:pPr>
            <w:r>
              <w:rPr>
                <w:rFonts w:ascii="Arial" w:hAnsi="Arial" w:eastAsia="Arial"/>
                <w:color w:val="1F2937"/>
                <w:sz w:val="20"/>
              </w:rPr>
              <w:t>This is an examination-preparation workbook. It does not award continuing-education credit.</w:t>
            </w:r>
          </w:p>
        </w:tc>
      </w:tr>
    </w:tbl>
    <w:p>
      <w:pPr>
        <w:spacing w:after="0"/>
      </w:pPr>
    </w:p>
    <w:p>
      <w:pPr>
        <w:pStyle w:val="Heading1"/>
        <w:spacing w:before="100" w:after="80"/>
        <w:keepNext/>
      </w:pPr>
      <w:r>
        <w:rPr>
          <w:rFonts w:ascii="Arial" w:hAnsi="Arial" w:eastAsia="Arial"/>
          <w:b/>
          <w:color w:val="17365D"/>
          <w:sz w:val="23"/>
        </w:rPr>
        <w:t>How to Use This Workbook</w:t>
      </w:r>
    </w:p>
    <w:p>
      <w:pPr>
        <w:spacing w:before="0" w:after="100" w:line="254" w:lineRule="auto"/>
      </w:pPr>
      <w:r>
        <w:rPr>
          <w:rFonts w:ascii="Arial" w:hAnsi="Arial" w:eastAsia="Arial"/>
          <w:b w:val="0"/>
          <w:i w:val="0"/>
          <w:color w:val="1F2937"/>
          <w:sz w:val="20"/>
        </w:rPr>
        <w:t>Workbook 3 teaches the assessment sequence that supports every later diagnosis, treatment plan, intervention, referral, and level-of-care decision. Complete the chapters in order. Write through the tools rather than reading passively. For every case, separate what the client reported, what the counselor directly observed, what a measure suggested, and what still requires clarification.</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F7A8C"/>
                <w:sz w:val="21"/>
              </w:rPr>
              <w:t>BIG IDEA</w:t>
            </w:r>
          </w:p>
          <w:p>
            <w:pPr>
              <w:spacing w:after="20" w:line="250" w:lineRule="auto"/>
            </w:pPr>
            <w:r>
              <w:rPr>
                <w:rFonts w:ascii="Arial" w:hAnsi="Arial" w:eastAsia="Arial"/>
                <w:color w:val="1F2937"/>
                <w:sz w:val="20"/>
              </w:rPr>
              <w:t>A strong intake is not the fastest route to a diagnosis. It is the most organized route to a safe, collaborative, culturally responsive, and sufficiently supported next decision.</w:t>
            </w:r>
          </w:p>
        </w:tc>
      </w:tr>
    </w:tbl>
    <w:p>
      <w:pPr>
        <w:spacing w:after="0"/>
      </w:pPr>
    </w:p>
    <w:p>
      <w:pPr>
        <w:pStyle w:val="Heading2"/>
        <w:spacing w:before="140" w:after="80"/>
        <w:keepNext/>
      </w:pPr>
      <w:r>
        <w:rPr>
          <w:rFonts w:ascii="Arial" w:hAnsi="Arial" w:eastAsia="Arial"/>
          <w:b/>
          <w:color w:val="159C9C"/>
          <w:sz w:val="26"/>
        </w:rPr>
        <w:t>Learning Objectives</w:t>
      </w:r>
    </w:p>
    <w:p>
      <w:pPr>
        <w:pStyle w:val="ListBullet"/>
        <w:spacing w:after="50" w:line="250" w:lineRule="auto"/>
        <w:keepLines/>
      </w:pPr>
      <w:r>
        <w:rPr>
          <w:rFonts w:ascii="Arial" w:hAnsi="Arial" w:eastAsia="Arial"/>
          <w:color w:val="1F2937"/>
          <w:sz w:val="20"/>
        </w:rPr>
        <w:t>Apply a structured intake sequence that addresses safety, informed consent, access, client rights, counselor roles, and presenting concerns.</w:t>
      </w:r>
    </w:p>
    <w:p>
      <w:pPr>
        <w:pStyle w:val="ListBullet"/>
        <w:spacing w:after="50" w:line="250" w:lineRule="auto"/>
        <w:keepLines/>
      </w:pPr>
      <w:r>
        <w:rPr>
          <w:rFonts w:ascii="Arial" w:hAnsi="Arial" w:eastAsia="Arial"/>
          <w:color w:val="1F2937"/>
          <w:sz w:val="20"/>
        </w:rPr>
        <w:t>Conduct clinical, diagnostic, biopsychosocial, developmental, functional, and cultural interviews using purposeful question types and accurate follow-up.</w:t>
      </w:r>
    </w:p>
    <w:p>
      <w:pPr>
        <w:pStyle w:val="ListBullet"/>
        <w:spacing w:after="50" w:line="250" w:lineRule="auto"/>
        <w:keepLines/>
      </w:pPr>
      <w:r>
        <w:rPr>
          <w:rFonts w:ascii="Arial" w:hAnsi="Arial" w:eastAsia="Arial"/>
          <w:color w:val="1F2937"/>
          <w:sz w:val="20"/>
        </w:rPr>
        <w:t>Describe mental status findings objectively and distinguish observation from client report, inference, diagnosis, and risk conclusion.</w:t>
      </w:r>
    </w:p>
    <w:p>
      <w:pPr>
        <w:pStyle w:val="ListBullet"/>
        <w:spacing w:after="50" w:line="250" w:lineRule="auto"/>
        <w:keepLines/>
      </w:pPr>
      <w:r>
        <w:rPr>
          <w:rFonts w:ascii="Arial" w:hAnsi="Arial" w:eastAsia="Arial"/>
          <w:color w:val="1F2937"/>
          <w:sz w:val="20"/>
        </w:rPr>
        <w:t>Select and interpret screening and assessment instruments within California LPCC scope, competence, population fit, and instrument limitations.</w:t>
      </w:r>
    </w:p>
    <w:p>
      <w:pPr>
        <w:pStyle w:val="ListBullet"/>
        <w:spacing w:after="50" w:line="250" w:lineRule="auto"/>
        <w:keepLines/>
      </w:pPr>
      <w:r>
        <w:rPr>
          <w:rFonts w:ascii="Arial" w:hAnsi="Arial" w:eastAsia="Arial"/>
          <w:color w:val="1F2937"/>
          <w:sz w:val="20"/>
        </w:rPr>
        <w:t>Integrate collateral information, baseline measures, outcome data, and telehealth-specific intake requirements without replacing clinical judgment.</w:t>
      </w:r>
    </w:p>
    <w:p>
      <w:pPr>
        <w:pStyle w:val="Heading2"/>
        <w:spacing w:before="140" w:after="80"/>
        <w:keepNext/>
      </w:pPr>
      <w:r>
        <w:rPr>
          <w:rFonts w:ascii="Arial" w:hAnsi="Arial" w:eastAsia="Arial"/>
          <w:b/>
          <w:color w:val="159C9C"/>
          <w:sz w:val="26"/>
        </w:rPr>
        <w:t>Why This Topic Matters</w:t>
      </w:r>
    </w:p>
    <w:p>
      <w:pPr>
        <w:spacing w:before="0" w:after="100" w:line="254" w:lineRule="auto"/>
      </w:pPr>
      <w:r>
        <w:rPr>
          <w:rFonts w:ascii="Arial" w:hAnsi="Arial" w:eastAsia="Arial"/>
          <w:b w:val="0"/>
          <w:i w:val="0"/>
          <w:color w:val="1F2937"/>
          <w:sz w:val="20"/>
        </w:rPr>
        <w:t>The NCMHCE frequently places the counselor at an intake, reassessment, or transition point. Distractors often move too quickly: assigning a diagnosis from a single symptom, beginning treatment before clarifying safety or consent, treating a screening score as a conclusion, or ignoring culture, functioning, medical factors, collateral information, or access barriers. The best answer usually completes the missing assessment task without collecting irrelevant data forever.</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BLUEPRINT ALIGNMENT</w:t>
            </w:r>
          </w:p>
          <w:p>
            <w:pPr>
              <w:spacing w:after="20" w:line="250" w:lineRule="auto"/>
            </w:pPr>
            <w:r>
              <w:rPr>
                <w:rFonts w:ascii="Arial" w:hAnsi="Arial" w:eastAsia="Arial"/>
                <w:color w:val="1F2937"/>
                <w:sz w:val="20"/>
              </w:rPr>
              <w:t>This workbook primarily supports the current Intake, Assessment, and Diagnosis domain and the Intake &amp; Assessment domain effective July 1, 2027. It also reinforces Professional Practice and Ethics, Core Counseling Attributes, Legal and Ethical Compliance, and engagement skills.</w:t>
            </w:r>
          </w:p>
        </w:tc>
      </w:tr>
    </w:tbl>
    <w:p>
      <w:pPr>
        <w:spacing w:after="0"/>
      </w:pPr>
    </w:p>
    <w:p>
      <w:pPr>
        <w:pStyle w:val="Heading2"/>
        <w:spacing w:before="140" w:after="80"/>
        <w:keepNext/>
      </w:pPr>
      <w:r>
        <w:rPr>
          <w:rFonts w:ascii="Arial" w:hAnsi="Arial" w:eastAsia="Arial"/>
          <w:b/>
          <w:color w:val="159C9C"/>
          <w:sz w:val="26"/>
        </w:rPr>
        <w:t>Workbook Roadmap</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15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Chapter</w:t>
            </w:r>
          </w:p>
        </w:tc>
        <w:tc>
          <w:tcPr>
            <w:tcW w:type="dxa" w:w="576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Focus</w:t>
            </w:r>
          </w:p>
        </w:tc>
        <w:tc>
          <w:tcPr>
            <w:tcW w:type="dxa" w:w="360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Primary Tool</w:t>
            </w:r>
          </w:p>
        </w:tc>
      </w:tr>
      <w:tr>
        <w:trPr>
          <w:cantSplit/>
        </w:trPr>
        <w:tc>
          <w:tcPr>
            <w:tcW w:type="dxa" w:w="11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1</w:t>
            </w:r>
          </w:p>
        </w:tc>
        <w:tc>
          <w:tcPr>
            <w:tcW w:type="dxa" w:w="57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Intake structure, informed consent, and access</w:t>
            </w:r>
          </w:p>
        </w:tc>
        <w:tc>
          <w:tcPr>
            <w:tcW w:type="dxa" w:w="360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START + CLEAR Intake Map</w:t>
            </w:r>
          </w:p>
        </w:tc>
      </w:tr>
      <w:tr>
        <w:trPr>
          <w:cantSplit/>
        </w:trPr>
        <w:tc>
          <w:tcPr>
            <w:tcW w:type="dxa" w:w="115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2</w:t>
            </w:r>
          </w:p>
        </w:tc>
        <w:tc>
          <w:tcPr>
            <w:tcW w:type="dxa" w:w="576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Clinical, diagnostic, biopsychosocial, and cultural interviews</w:t>
            </w:r>
          </w:p>
        </w:tc>
        <w:tc>
          <w:tcPr>
            <w:tcW w:type="dxa" w:w="360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WHOLE-PERSON Interview Map</w:t>
            </w:r>
          </w:p>
        </w:tc>
      </w:tr>
      <w:tr>
        <w:trPr>
          <w:cantSplit/>
        </w:trPr>
        <w:tc>
          <w:tcPr>
            <w:tcW w:type="dxa" w:w="11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3</w:t>
            </w:r>
          </w:p>
        </w:tc>
        <w:tc>
          <w:tcPr>
            <w:tcW w:type="dxa" w:w="57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Mental status and functional assessment</w:t>
            </w:r>
          </w:p>
        </w:tc>
        <w:tc>
          <w:tcPr>
            <w:tcW w:type="dxa" w:w="360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MSE Observation Grid</w:t>
            </w:r>
          </w:p>
        </w:tc>
      </w:tr>
      <w:tr>
        <w:trPr>
          <w:cantSplit/>
        </w:trPr>
        <w:tc>
          <w:tcPr>
            <w:tcW w:type="dxa" w:w="115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4</w:t>
            </w:r>
          </w:p>
        </w:tc>
        <w:tc>
          <w:tcPr>
            <w:tcW w:type="dxa" w:w="576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Instruments, collateral data, and outcome measurement</w:t>
            </w:r>
          </w:p>
        </w:tc>
        <w:tc>
          <w:tcPr>
            <w:tcW w:type="dxa" w:w="360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MEASURE Selection Check</w:t>
            </w:r>
          </w:p>
        </w:tc>
      </w:tr>
      <w:tr>
        <w:trPr>
          <w:cantSplit/>
        </w:trPr>
        <w:tc>
          <w:tcPr>
            <w:tcW w:type="dxa" w:w="11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5</w:t>
            </w:r>
          </w:p>
        </w:tc>
        <w:tc>
          <w:tcPr>
            <w:tcW w:type="dxa" w:w="57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Telehealth intake and assessment integration</w:t>
            </w:r>
          </w:p>
        </w:tc>
        <w:tc>
          <w:tcPr>
            <w:tcW w:type="dxa" w:w="360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REMOTE Telehealth Intake Check</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FCE8E6"/>
            <w:tcBorders>
              <w:top w:val="single" w:sz="10" w:color="B75D53"/>
              <w:left w:val="single" w:sz="10" w:color="B75D53"/>
              <w:bottom w:val="single" w:sz="10" w:color="B75D53"/>
              <w:right w:val="single" w:sz="10" w:color="B75D53"/>
            </w:tcBorders>
            <w:tcMar>
              <w:top w:w="110" w:type="dxa"/>
              <w:start w:w="140" w:type="dxa"/>
              <w:bottom w:w="110" w:type="dxa"/>
              <w:end w:w="140" w:type="dxa"/>
            </w:tcMar>
          </w:tcPr>
          <w:p>
            <w:pPr>
              <w:spacing w:after="60"/>
            </w:pPr>
            <w:r>
              <w:rPr>
                <w:rFonts w:ascii="Arial" w:hAnsi="Arial" w:eastAsia="Arial"/>
                <w:b/>
                <w:color w:val="17365D"/>
                <w:sz w:val="21"/>
              </w:rPr>
              <w:t>CALIFORNIA SCOPE REMINDER</w:t>
            </w:r>
          </w:p>
          <w:p>
            <w:pPr>
              <w:spacing w:after="20" w:line="250" w:lineRule="auto"/>
            </w:pPr>
            <w:r>
              <w:rPr>
                <w:rFonts w:ascii="Arial" w:hAnsi="Arial" w:eastAsia="Arial"/>
                <w:color w:val="1F2937"/>
                <w:sz w:val="20"/>
              </w:rPr>
              <w:t>California LPCC assessment may include selecting, administering, scoring, and interpreting appropriate tools as part of counseling. It does not include projective personality techniques, individually administered intelligence tests, neuropsychological testing, or a prohibited battery of three or more tests used to determine specified cognitive, psychotic, or criminal conditions. Refer when the requested task is beyond education, training, experience, or statutory scope.</w:t>
            </w:r>
          </w:p>
        </w:tc>
      </w:tr>
    </w:tbl>
    <w:p>
      <w:pPr>
        <w:spacing w:after="0"/>
      </w:pPr>
    </w:p>
    <w:p>
      <w:r>
        <w:br w:type="page"/>
      </w:r>
    </w:p>
    <w:tbl>
      <w:tblPr>
        <w:tblW w:type="auto" w:w="0"/>
        <w:jc w:val="center"/>
        <w:tblLayout w:type="fixed"/>
        <w:tblLook w:firstColumn="1" w:firstRow="1" w:lastColumn="0" w:lastRow="0" w:noHBand="0" w:noVBand="1" w:val="04A0"/>
      </w:tblPr>
      <w:tblGrid>
        <w:gridCol w:w="5155"/>
        <w:gridCol w:w="5155"/>
      </w:tblGrid>
      <w:tr>
        <w:tc>
          <w:tcPr>
            <w:tcW w:type="dxa" w:w="1008"/>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36"/>
              </w:rPr>
              <w:t>1</w:t>
            </w:r>
          </w:p>
        </w:tc>
        <w:tc>
          <w:tcPr>
            <w:tcW w:type="dxa" w:w="9504"/>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Intake Structure, Informed Consent, and Access</w:t>
            </w:r>
          </w:p>
        </w:tc>
      </w:tr>
    </w:tbl>
    <w:p>
      <w:pPr>
        <w:spacing w:before="100" w:after="180"/>
      </w:pPr>
      <w:r>
        <w:rPr>
          <w:rFonts w:ascii="Arial" w:hAnsi="Arial" w:eastAsia="Arial"/>
          <w:i/>
          <w:color w:val="4E5B6B"/>
          <w:sz w:val="21"/>
        </w:rPr>
        <w:t>Orient first, gather purposefully, and remove barriers that distort the assessment.</w:t>
      </w:r>
    </w:p>
    <w:p>
      <w:pPr>
        <w:pStyle w:val="Heading2"/>
        <w:spacing w:before="140" w:after="80"/>
        <w:keepNext/>
      </w:pPr>
      <w:r>
        <w:rPr>
          <w:rFonts w:ascii="Arial" w:hAnsi="Arial" w:eastAsia="Arial"/>
          <w:b/>
          <w:color w:val="159C9C"/>
          <w:sz w:val="26"/>
        </w:rPr>
        <w:t>The START Intake Sequence</w:t>
      </w:r>
    </w:p>
    <w:p>
      <w:pPr>
        <w:spacing w:before="0" w:after="100" w:line="254" w:lineRule="auto"/>
      </w:pPr>
      <w:r>
        <w:rPr>
          <w:rFonts w:ascii="Arial" w:hAnsi="Arial" w:eastAsia="Arial"/>
          <w:b w:val="0"/>
          <w:i w:val="0"/>
          <w:color w:val="1F2937"/>
          <w:sz w:val="20"/>
        </w:rPr>
        <w:t>START is a sequencing tool, not a rigid script. Urgent facts can move safety assessment earlier, while routine cases can proceed conversationally. The sequence prevents the counselor from beginning a detailed history before establishing the conditions needed for meaningful participation.</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65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Step</w:t>
            </w:r>
          </w:p>
        </w:tc>
        <w:tc>
          <w:tcPr>
            <w:tcW w:type="dxa" w:w="576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Counselor Task</w:t>
            </w:r>
          </w:p>
        </w:tc>
        <w:tc>
          <w:tcPr>
            <w:tcW w:type="dxa" w:w="309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Exam Question</w:t>
            </w:r>
          </w:p>
        </w:tc>
      </w:tr>
      <w:tr>
        <w:trPr>
          <w:cantSplit/>
        </w:trPr>
        <w:tc>
          <w:tcPr>
            <w:tcW w:type="dxa" w:w="16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 - Safety and immediate needs</w:t>
            </w:r>
          </w:p>
        </w:tc>
        <w:tc>
          <w:tcPr>
            <w:tcW w:type="dxa" w:w="57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Screen for urgent medical, psychiatric, abuse, violence, intoxication, withdrawal, or environmental concerns when cues are present.</w:t>
            </w:r>
          </w:p>
        </w:tc>
        <w:tc>
          <w:tcPr>
            <w:tcW w:type="dxa" w:w="309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Is there a fact that cannot safely wait?</w:t>
            </w:r>
          </w:p>
        </w:tc>
      </w:tr>
      <w:tr>
        <w:trPr>
          <w:cantSplit/>
        </w:trPr>
        <w:tc>
          <w:tcPr>
            <w:tcW w:type="dxa" w:w="165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 - Transparency and consent</w:t>
            </w:r>
          </w:p>
        </w:tc>
        <w:tc>
          <w:tcPr>
            <w:tcW w:type="dxa" w:w="576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Explain role, process, risks, benefits, alternatives, confidentiality and limits, records, fees, communication, and client rights in understandable language.</w:t>
            </w:r>
          </w:p>
        </w:tc>
        <w:tc>
          <w:tcPr>
            <w:tcW w:type="dxa" w:w="309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Does the client know what is happening and have an opportunity to choose?</w:t>
            </w:r>
          </w:p>
        </w:tc>
      </w:tr>
      <w:tr>
        <w:trPr>
          <w:cantSplit/>
        </w:trPr>
        <w:tc>
          <w:tcPr>
            <w:tcW w:type="dxa" w:w="16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 - Access and accommodation</w:t>
            </w:r>
          </w:p>
        </w:tc>
        <w:tc>
          <w:tcPr>
            <w:tcW w:type="dxa" w:w="57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Identify language, literacy, disability, technology, transportation, schedule, cost, privacy, caregiving, and cultural barriers.</w:t>
            </w:r>
          </w:p>
        </w:tc>
        <w:tc>
          <w:tcPr>
            <w:tcW w:type="dxa" w:w="309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Can this client actually use the service as designed?</w:t>
            </w:r>
          </w:p>
        </w:tc>
      </w:tr>
      <w:tr>
        <w:trPr>
          <w:cantSplit/>
        </w:trPr>
        <w:tc>
          <w:tcPr>
            <w:tcW w:type="dxa" w:w="165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 - Reason for seeking care</w:t>
            </w:r>
          </w:p>
        </w:tc>
        <w:tc>
          <w:tcPr>
            <w:tcW w:type="dxa" w:w="576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Clarify the client-defined concern, referral question, goals, expectations, and relevant external requirements.</w:t>
            </w:r>
          </w:p>
        </w:tc>
        <w:tc>
          <w:tcPr>
            <w:tcW w:type="dxa" w:w="309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Whose question is being answered?</w:t>
            </w:r>
          </w:p>
        </w:tc>
      </w:tr>
      <w:tr>
        <w:trPr>
          <w:cantSplit/>
        </w:trPr>
        <w:tc>
          <w:tcPr>
            <w:tcW w:type="dxa" w:w="16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 - Timeline and target assessment</w:t>
            </w:r>
          </w:p>
        </w:tc>
        <w:tc>
          <w:tcPr>
            <w:tcW w:type="dxa" w:w="57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Develop symptom, functioning, treatment, medical, substance, developmental, social, and cultural history in a focused sequence.</w:t>
            </w:r>
          </w:p>
        </w:tc>
        <w:tc>
          <w:tcPr>
            <w:tcW w:type="dxa" w:w="309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information is still needed for the next clinical decision?</w:t>
            </w:r>
          </w:p>
        </w:tc>
      </w:tr>
    </w:tbl>
    <w:p>
      <w:pPr>
        <w:spacing w:after="0"/>
      </w:pPr>
    </w:p>
    <w:p>
      <w:pPr>
        <w:pStyle w:val="Heading2"/>
        <w:spacing w:before="140" w:after="80"/>
        <w:keepNext/>
      </w:pPr>
      <w:r>
        <w:rPr>
          <w:rFonts w:ascii="Arial" w:hAnsi="Arial" w:eastAsia="Arial"/>
          <w:b/>
          <w:color w:val="159C9C"/>
          <w:sz w:val="26"/>
        </w:rPr>
        <w:t>Informed Consent Is a Conversation</w:t>
      </w:r>
    </w:p>
    <w:p>
      <w:pPr>
        <w:spacing w:before="0" w:after="100" w:line="254" w:lineRule="auto"/>
      </w:pPr>
      <w:r>
        <w:rPr>
          <w:rFonts w:ascii="Arial" w:hAnsi="Arial" w:eastAsia="Arial"/>
          <w:b w:val="0"/>
          <w:i w:val="0"/>
          <w:color w:val="1F2937"/>
          <w:sz w:val="20"/>
        </w:rPr>
        <w:t>A signed form can document consent, but the clinical task is to communicate information, assess understanding, invite questions, and revisit consent when circumstances change. Consent should be adapted to language, literacy, developmental level, disability, communication needs, setting, third-party involvement, and telehealth modality.</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288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CLEAR Element</w:t>
            </w:r>
          </w:p>
        </w:tc>
        <w:tc>
          <w:tcPr>
            <w:tcW w:type="dxa" w:w="763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What to Clarify</w:t>
            </w:r>
          </w:p>
        </w:tc>
      </w:tr>
      <w:tr>
        <w:trPr>
          <w:cantSplit/>
        </w:trPr>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 - Counselor identity and role</w:t>
            </w:r>
          </w:p>
        </w:tc>
        <w:tc>
          <w:tcPr>
            <w:tcW w:type="dxa" w:w="76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Credentials or associate status, supervision when applicable, agency role, and any limits on authority.</w:t>
            </w:r>
          </w:p>
        </w:tc>
      </w:tr>
      <w:tr>
        <w:trPr>
          <w:cantSplit/>
        </w:trPr>
        <w:tc>
          <w:tcPr>
            <w:tcW w:type="dxa" w:w="28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L - Limits and protections</w:t>
            </w:r>
          </w:p>
        </w:tc>
        <w:tc>
          <w:tcPr>
            <w:tcW w:type="dxa" w:w="76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Confidentiality, legally required disclosures, records, electronic communication, and who may access information.</w:t>
            </w:r>
          </w:p>
        </w:tc>
      </w:tr>
      <w:tr>
        <w:trPr>
          <w:cantSplit/>
        </w:trPr>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E - Expectations and process</w:t>
            </w:r>
          </w:p>
        </w:tc>
        <w:tc>
          <w:tcPr>
            <w:tcW w:type="dxa" w:w="76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assessment and counseling may involve, attendance, communication, participation, and how decisions will be made.</w:t>
            </w:r>
          </w:p>
        </w:tc>
      </w:tr>
      <w:tr>
        <w:trPr>
          <w:cantSplit/>
        </w:trPr>
        <w:tc>
          <w:tcPr>
            <w:tcW w:type="dxa" w:w="28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 - Alternatives, risks, and benefits</w:t>
            </w:r>
          </w:p>
        </w:tc>
        <w:tc>
          <w:tcPr>
            <w:tcW w:type="dxa" w:w="76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Reasonable alternatives, foreseeable limitations, potential benefits, and the option to ask questions or decline.</w:t>
            </w:r>
          </w:p>
        </w:tc>
      </w:tr>
      <w:tr>
        <w:trPr>
          <w:cantSplit/>
        </w:trPr>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R - Rights, responsibilities, and resources</w:t>
            </w:r>
          </w:p>
        </w:tc>
        <w:tc>
          <w:tcPr>
            <w:tcW w:type="dxa" w:w="76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Fees, insurance, complaint process, emergencies, records, accommodations, referrals, and how to withdraw or change consent.</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TIP</w:t>
            </w:r>
          </w:p>
          <w:p>
            <w:pPr>
              <w:spacing w:after="20" w:line="250" w:lineRule="auto"/>
            </w:pPr>
            <w:r>
              <w:rPr>
                <w:rFonts w:ascii="Arial" w:hAnsi="Arial" w:eastAsia="Arial"/>
                <w:color w:val="1F2937"/>
                <w:sz w:val="20"/>
              </w:rPr>
              <w:t>When the stem shows confusion about roles, confidentiality, participation, fees, third parties, or technology, the next action is often to clarify and obtain informed consent before proceeding - unless an immediate safety or medical concern requires first attention.</w:t>
            </w:r>
          </w:p>
        </w:tc>
      </w:tr>
    </w:tbl>
    <w:p>
      <w:pPr>
        <w:spacing w:after="0"/>
      </w:pPr>
    </w:p>
    <w:p>
      <w:pPr>
        <w:pStyle w:val="Heading2"/>
        <w:spacing w:before="140" w:after="80"/>
        <w:keepNext/>
      </w:pPr>
      <w:r>
        <w:rPr>
          <w:rFonts w:ascii="Arial" w:hAnsi="Arial" w:eastAsia="Arial"/>
          <w:b/>
          <w:color w:val="159C9C"/>
          <w:sz w:val="26"/>
        </w:rPr>
        <w:t>Access Is Assessment Data</w:t>
      </w:r>
    </w:p>
    <w:p>
      <w:pPr>
        <w:spacing w:before="0" w:after="100" w:line="254" w:lineRule="auto"/>
      </w:pPr>
      <w:r>
        <w:rPr>
          <w:rFonts w:ascii="Arial" w:hAnsi="Arial" w:eastAsia="Arial"/>
          <w:b w:val="0"/>
          <w:i w:val="0"/>
          <w:color w:val="1F2937"/>
          <w:sz w:val="20"/>
        </w:rPr>
        <w:t>A missed appointment, brief answer, poor eye contact, delayed response, or incomplete form may reflect access barriers rather than resistance, low motivation, or pathology. Ask before interpreting.</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288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ACCESS Domain</w:t>
            </w:r>
          </w:p>
        </w:tc>
        <w:tc>
          <w:tcPr>
            <w:tcW w:type="dxa" w:w="763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Examples of Clarifying Questions</w:t>
            </w:r>
          </w:p>
        </w:tc>
      </w:tr>
      <w:tr>
        <w:trPr>
          <w:cantSplit/>
        </w:trPr>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 - Accommodation</w:t>
            </w:r>
          </w:p>
        </w:tc>
        <w:tc>
          <w:tcPr>
            <w:tcW w:type="dxa" w:w="76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would make this process easier to use? Are disability-related accommodations needed?</w:t>
            </w:r>
          </w:p>
        </w:tc>
      </w:tr>
      <w:tr>
        <w:trPr>
          <w:cantSplit/>
        </w:trPr>
        <w:tc>
          <w:tcPr>
            <w:tcW w:type="dxa" w:w="28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 - Communication</w:t>
            </w:r>
          </w:p>
        </w:tc>
        <w:tc>
          <w:tcPr>
            <w:tcW w:type="dxa" w:w="76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language and communication method feel most accurate and comfortable?</w:t>
            </w:r>
          </w:p>
        </w:tc>
      </w:tr>
      <w:tr>
        <w:trPr>
          <w:cantSplit/>
        </w:trPr>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 - Cost and coverage</w:t>
            </w:r>
          </w:p>
        </w:tc>
        <w:tc>
          <w:tcPr>
            <w:tcW w:type="dxa" w:w="76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Are fees, insurance rules, transportation, or unpaid time creating barriers?</w:t>
            </w:r>
          </w:p>
        </w:tc>
      </w:tr>
      <w:tr>
        <w:trPr>
          <w:cantSplit/>
        </w:trPr>
        <w:tc>
          <w:tcPr>
            <w:tcW w:type="dxa" w:w="28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E - Environment</w:t>
            </w:r>
          </w:p>
        </w:tc>
        <w:tc>
          <w:tcPr>
            <w:tcW w:type="dxa" w:w="76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Is there privacy, safety, childcare, stable housing, or a workable place to participate?</w:t>
            </w:r>
          </w:p>
        </w:tc>
      </w:tr>
      <w:tr>
        <w:trPr>
          <w:cantSplit/>
        </w:trPr>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S - Schedule and systems</w:t>
            </w:r>
          </w:p>
        </w:tc>
        <w:tc>
          <w:tcPr>
            <w:tcW w:type="dxa" w:w="76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Do work, school, caregiving, court, probation, immigration, or agency systems affect availability or goals?</w:t>
            </w:r>
          </w:p>
        </w:tc>
      </w:tr>
      <w:tr>
        <w:trPr>
          <w:cantSplit/>
        </w:trPr>
        <w:tc>
          <w:tcPr>
            <w:tcW w:type="dxa" w:w="28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S - Skills and technology</w:t>
            </w:r>
          </w:p>
        </w:tc>
        <w:tc>
          <w:tcPr>
            <w:tcW w:type="dxa" w:w="76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Are devices, bandwidth, digital literacy, reading level, or form completion affecting participation?</w:t>
            </w:r>
          </w:p>
        </w:tc>
      </w:tr>
    </w:tbl>
    <w:p>
      <w:pPr>
        <w:spacing w:after="0"/>
      </w:pPr>
    </w:p>
    <w:p>
      <w:pPr>
        <w:pStyle w:val="Heading2"/>
        <w:spacing w:before="140" w:after="80"/>
        <w:keepNext/>
      </w:pPr>
      <w:r>
        <w:rPr>
          <w:rFonts w:ascii="Arial" w:hAnsi="Arial" w:eastAsia="Arial"/>
          <w:b/>
          <w:color w:val="159C9C"/>
          <w:sz w:val="26"/>
        </w:rPr>
        <w:t>Clinical Application: The Completed Forms</w:t>
      </w:r>
    </w:p>
    <w:p>
      <w:pPr>
        <w:spacing w:before="0" w:after="100" w:line="254" w:lineRule="auto"/>
      </w:pPr>
      <w:r>
        <w:rPr>
          <w:rFonts w:ascii="Arial" w:hAnsi="Arial" w:eastAsia="Arial"/>
          <w:b w:val="0"/>
          <w:i w:val="0"/>
          <w:color w:val="1F2937"/>
          <w:sz w:val="20"/>
        </w:rPr>
        <w:t>A new client arrives with every form signed. During the first minutes, the client repeatedly asks whether the employer will see the record and says, “I signed because HR told me to.” The strongest next step is not to assume valid understanding because the forms are complete. Clarify the counselor’s role, who the client is, what information may be shared, the limits of confidentiality, and whether participation is voluntary or required. Then document the discussion and the client’s questions.</w:t>
      </w:r>
    </w:p>
    <w:tbl>
      <w:tblPr>
        <w:tblW w:type="auto" w:w="0"/>
        <w:jc w:val="center"/>
        <w:tblLook w:firstColumn="1" w:firstRow="1" w:lastColumn="0" w:lastRow="0" w:noHBand="0" w:noVBand="1" w:val="04A0"/>
      </w:tblPr>
      <w:tblGrid>
        <w:gridCol w:w="10310"/>
      </w:tblGrid>
      <w:tr>
        <w:trPr>
          <w:cantSplit/>
        </w:trPr>
        <w:tc>
          <w:tcPr>
            <w:tcW w:type="dxa" w:w="10310"/>
            <w:shd w:fill="FCE8E6"/>
            <w:tcBorders>
              <w:top w:val="single" w:sz="10" w:color="B75D53"/>
              <w:left w:val="single" w:sz="10" w:color="B75D53"/>
              <w:bottom w:val="single" w:sz="10" w:color="B75D53"/>
              <w:right w:val="single" w:sz="10" w:color="B75D53"/>
            </w:tcBorders>
            <w:tcMar>
              <w:top w:w="110" w:type="dxa"/>
              <w:start w:w="140" w:type="dxa"/>
              <w:bottom w:w="110" w:type="dxa"/>
              <w:end w:w="140" w:type="dxa"/>
            </w:tcMar>
          </w:tcPr>
          <w:p>
            <w:pPr>
              <w:spacing w:after="60"/>
            </w:pPr>
            <w:r>
              <w:rPr>
                <w:rFonts w:ascii="Arial" w:hAnsi="Arial" w:eastAsia="Arial"/>
                <w:b/>
                <w:color w:val="17365D"/>
                <w:sz w:val="21"/>
              </w:rPr>
              <w:t>COMMON TRAP</w:t>
            </w:r>
          </w:p>
          <w:p>
            <w:pPr>
              <w:spacing w:after="20" w:line="250" w:lineRule="auto"/>
            </w:pPr>
            <w:r>
              <w:rPr>
                <w:rFonts w:ascii="Arial" w:hAnsi="Arial" w:eastAsia="Arial"/>
                <w:color w:val="1F2937"/>
                <w:sz w:val="20"/>
              </w:rPr>
              <w:t>Treating form completion as proof of comprehension, voluntariness, capacity, or informed choice.</w:t>
            </w:r>
          </w:p>
        </w:tc>
      </w:tr>
    </w:tbl>
    <w:p>
      <w:pPr>
        <w:spacing w:after="0"/>
      </w:pPr>
    </w:p>
    <w:p>
      <w:pPr>
        <w:pStyle w:val="Heading2"/>
        <w:spacing w:before="140" w:after="80"/>
        <w:keepNext/>
      </w:pPr>
      <w:r>
        <w:rPr>
          <w:rFonts w:ascii="Arial" w:hAnsi="Arial" w:eastAsia="Arial"/>
          <w:b/>
          <w:color w:val="159C9C"/>
          <w:sz w:val="26"/>
        </w:rPr>
        <w:t>START + CLEAR Intake Worksheet</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67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Prompt</w:t>
            </w:r>
          </w:p>
        </w:tc>
        <w:tc>
          <w:tcPr>
            <w:tcW w:type="dxa" w:w="684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Student Notes</w:t>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Immediate safety or medical facts that must be clarified</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Counselor role, client role, and referral question</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Consent topics that require discussion or teach-back</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Access, language, disability, privacy, cost, or technology barriers</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Client-defined concern and desired change</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Timeline and domains needed for the next decision</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can appropriately wait until a later session</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bl>
    <w:p>
      <w:pPr>
        <w:spacing w:after="0"/>
      </w:pPr>
    </w:p>
    <w:p>
      <w:pPr>
        <w:pStyle w:val="Heading2"/>
        <w:spacing w:before="140" w:after="80"/>
        <w:keepNext/>
      </w:pPr>
      <w:r>
        <w:rPr>
          <w:rFonts w:ascii="Arial" w:hAnsi="Arial" w:eastAsia="Arial"/>
          <w:b/>
          <w:color w:val="159C9C"/>
          <w:sz w:val="26"/>
        </w:rPr>
        <w:t>Chapter 1 Summary</w:t>
      </w:r>
    </w:p>
    <w:p>
      <w:pPr>
        <w:pStyle w:val="ListBullet"/>
        <w:spacing w:after="50" w:line="250" w:lineRule="auto"/>
        <w:keepLines/>
      </w:pPr>
      <w:r>
        <w:rPr>
          <w:rFonts w:ascii="Arial" w:hAnsi="Arial" w:eastAsia="Arial"/>
          <w:color w:val="1F2937"/>
          <w:sz w:val="20"/>
        </w:rPr>
        <w:t>Begin with conditions for safe and meaningful participation, not with the longest possible history.</w:t>
      </w:r>
    </w:p>
    <w:p>
      <w:pPr>
        <w:pStyle w:val="ListBullet"/>
        <w:spacing w:after="50" w:line="250" w:lineRule="auto"/>
        <w:keepLines/>
      </w:pPr>
      <w:r>
        <w:rPr>
          <w:rFonts w:ascii="Arial" w:hAnsi="Arial" w:eastAsia="Arial"/>
          <w:color w:val="1F2937"/>
          <w:sz w:val="20"/>
        </w:rPr>
        <w:t>Informed consent is an understandable, revisitable process; a signature is supporting documentation.</w:t>
      </w:r>
    </w:p>
    <w:p>
      <w:pPr>
        <w:pStyle w:val="ListBullet"/>
        <w:spacing w:after="50" w:line="250" w:lineRule="auto"/>
        <w:keepLines/>
      </w:pPr>
      <w:r>
        <w:rPr>
          <w:rFonts w:ascii="Arial" w:hAnsi="Arial" w:eastAsia="Arial"/>
          <w:color w:val="1F2937"/>
          <w:sz w:val="20"/>
        </w:rPr>
        <w:t>Access barriers can alter behavior and data quality and should be assessed before they are interpreted.</w:t>
      </w:r>
    </w:p>
    <w:p>
      <w:pPr>
        <w:pStyle w:val="ListBullet"/>
        <w:spacing w:after="50" w:line="250" w:lineRule="auto"/>
        <w:keepLines/>
      </w:pPr>
      <w:r>
        <w:rPr>
          <w:rFonts w:ascii="Arial" w:hAnsi="Arial" w:eastAsia="Arial"/>
          <w:color w:val="1F2937"/>
          <w:sz w:val="20"/>
        </w:rPr>
        <w:t>The intake should collect enough information for the next decision, not every fact in the client’s life.</w:t>
      </w:r>
    </w:p>
    <w:p>
      <w:r>
        <w:br w:type="page"/>
      </w:r>
    </w:p>
    <w:tbl>
      <w:tblPr>
        <w:tblW w:type="auto" w:w="0"/>
        <w:jc w:val="center"/>
        <w:tblLayout w:type="fixed"/>
        <w:tblLook w:firstColumn="1" w:firstRow="1" w:lastColumn="0" w:lastRow="0" w:noHBand="0" w:noVBand="1" w:val="04A0"/>
      </w:tblPr>
      <w:tblGrid>
        <w:gridCol w:w="5155"/>
        <w:gridCol w:w="5155"/>
      </w:tblGrid>
      <w:tr>
        <w:tc>
          <w:tcPr>
            <w:tcW w:type="dxa" w:w="1008"/>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36"/>
              </w:rPr>
              <w:t>2</w:t>
            </w:r>
          </w:p>
        </w:tc>
        <w:tc>
          <w:tcPr>
            <w:tcW w:type="dxa" w:w="9504"/>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Clinical, Diagnostic, Biopsychosocial, and Cultural Interviews</w:t>
            </w:r>
          </w:p>
        </w:tc>
      </w:tr>
    </w:tbl>
    <w:p>
      <w:pPr>
        <w:spacing w:before="100" w:after="180"/>
      </w:pPr>
      <w:r>
        <w:rPr>
          <w:rFonts w:ascii="Arial" w:hAnsi="Arial" w:eastAsia="Arial"/>
          <w:i/>
          <w:color w:val="4E5B6B"/>
          <w:sz w:val="21"/>
        </w:rPr>
        <w:t>Ask in a sequence that supports alliance, differential reasoning, and the client’s meaning-making.</w:t>
      </w:r>
    </w:p>
    <w:p>
      <w:pPr>
        <w:pStyle w:val="Heading2"/>
        <w:spacing w:before="140" w:after="80"/>
        <w:keepNext/>
      </w:pPr>
      <w:r>
        <w:rPr>
          <w:rFonts w:ascii="Arial" w:hAnsi="Arial" w:eastAsia="Arial"/>
          <w:b/>
          <w:color w:val="159C9C"/>
          <w:sz w:val="26"/>
        </w:rPr>
        <w:t>Different Interviews Serve Different Purposes</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223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Interview Focus</w:t>
            </w:r>
          </w:p>
        </w:tc>
        <w:tc>
          <w:tcPr>
            <w:tcW w:type="dxa" w:w="504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Primary Purpose</w:t>
            </w:r>
          </w:p>
        </w:tc>
        <w:tc>
          <w:tcPr>
            <w:tcW w:type="dxa" w:w="324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Common Error</w:t>
            </w:r>
          </w:p>
        </w:tc>
      </w:tr>
      <w:tr>
        <w:trPr>
          <w:cantSplit/>
        </w:trPr>
        <w:tc>
          <w:tcPr>
            <w:tcW w:type="dxa" w:w="22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Clinical intake</w:t>
            </w:r>
          </w:p>
        </w:tc>
        <w:tc>
          <w:tcPr>
            <w:tcW w:type="dxa" w:w="50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Understand the client’s concern, functioning, context, goals, safety, history, and fit for services.</w:t>
            </w:r>
          </w:p>
        </w:tc>
        <w:tc>
          <w:tcPr>
            <w:tcW w:type="dxa" w:w="32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Turning the interaction into a checklist with no relationship.</w:t>
            </w:r>
          </w:p>
        </w:tc>
      </w:tr>
      <w:tr>
        <w:trPr>
          <w:cantSplit/>
        </w:trPr>
        <w:tc>
          <w:tcPr>
            <w:tcW w:type="dxa" w:w="22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Diagnostic interview</w:t>
            </w:r>
          </w:p>
        </w:tc>
        <w:tc>
          <w:tcPr>
            <w:tcW w:type="dxa" w:w="504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Clarify symptom clusters, onset, duration, severity, impairment, course, exclusions, and differentials.</w:t>
            </w:r>
          </w:p>
        </w:tc>
        <w:tc>
          <w:tcPr>
            <w:tcW w:type="dxa" w:w="324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Naming a disorder before confirming criteria and alternatives.</w:t>
            </w:r>
          </w:p>
        </w:tc>
      </w:tr>
      <w:tr>
        <w:trPr>
          <w:cantSplit/>
        </w:trPr>
        <w:tc>
          <w:tcPr>
            <w:tcW w:type="dxa" w:w="22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Biopsychosocial interview</w:t>
            </w:r>
          </w:p>
        </w:tc>
        <w:tc>
          <w:tcPr>
            <w:tcW w:type="dxa" w:w="50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Integrate biological, psychological, relational, social, environmental, and system factors.</w:t>
            </w:r>
          </w:p>
        </w:tc>
        <w:tc>
          <w:tcPr>
            <w:tcW w:type="dxa" w:w="32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Collecting domains without connecting them to the referral question.</w:t>
            </w:r>
          </w:p>
        </w:tc>
      </w:tr>
      <w:tr>
        <w:trPr>
          <w:cantSplit/>
        </w:trPr>
        <w:tc>
          <w:tcPr>
            <w:tcW w:type="dxa" w:w="22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Cultural interview</w:t>
            </w:r>
          </w:p>
        </w:tc>
        <w:tc>
          <w:tcPr>
            <w:tcW w:type="dxa" w:w="504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Understand identity, explanatory models, supports, stressors, help-seeking, clinician-client differences, and preferred care.</w:t>
            </w:r>
          </w:p>
        </w:tc>
        <w:tc>
          <w:tcPr>
            <w:tcW w:type="dxa" w:w="324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Reducing culture to demographic labels or assuming meaning.</w:t>
            </w:r>
          </w:p>
        </w:tc>
      </w:tr>
      <w:tr>
        <w:trPr>
          <w:cantSplit/>
        </w:trPr>
        <w:tc>
          <w:tcPr>
            <w:tcW w:type="dxa" w:w="22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Functional interview</w:t>
            </w:r>
          </w:p>
        </w:tc>
        <w:tc>
          <w:tcPr>
            <w:tcW w:type="dxa" w:w="50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Determine how concerns affect daily living, relationships, education, work, self-care, decision-making, and role performance.</w:t>
            </w:r>
          </w:p>
        </w:tc>
        <w:tc>
          <w:tcPr>
            <w:tcW w:type="dxa" w:w="32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Mistaking symptom presence for clinical impairment.</w:t>
            </w:r>
          </w:p>
        </w:tc>
      </w:tr>
    </w:tbl>
    <w:p>
      <w:pPr>
        <w:spacing w:after="0"/>
      </w:pPr>
    </w:p>
    <w:p>
      <w:pPr>
        <w:pStyle w:val="Heading2"/>
        <w:spacing w:before="140" w:after="80"/>
        <w:keepNext/>
      </w:pPr>
      <w:r>
        <w:rPr>
          <w:rFonts w:ascii="Arial" w:hAnsi="Arial" w:eastAsia="Arial"/>
          <w:b/>
          <w:color w:val="159C9C"/>
          <w:sz w:val="26"/>
        </w:rPr>
        <w:t>The WHOLE-PERSON Interview Map</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295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Domain</w:t>
            </w:r>
          </w:p>
        </w:tc>
        <w:tc>
          <w:tcPr>
            <w:tcW w:type="dxa" w:w="756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High-Yield Inquiry</w:t>
            </w:r>
          </w:p>
        </w:tc>
      </w:tr>
      <w:tr>
        <w:trPr>
          <w:cantSplit/>
        </w:trPr>
        <w:tc>
          <w:tcPr>
            <w:tcW w:type="dxa" w:w="29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 - What brings the client now?</w:t>
            </w:r>
          </w:p>
        </w:tc>
        <w:tc>
          <w:tcPr>
            <w:tcW w:type="dxa" w:w="75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Client language for the concern; precipitating events; expectations; referral source; prior attempts to cope.</w:t>
            </w:r>
          </w:p>
        </w:tc>
      </w:tr>
      <w:tr>
        <w:trPr>
          <w:cantSplit/>
        </w:trPr>
        <w:tc>
          <w:tcPr>
            <w:tcW w:type="dxa" w:w="295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H - Health and body</w:t>
            </w:r>
          </w:p>
        </w:tc>
        <w:tc>
          <w:tcPr>
            <w:tcW w:type="dxa" w:w="756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Medical conditions, medications, pain, sleep, nutrition, reproductive or hormonal factors, neurological signs, and recent changes.</w:t>
            </w:r>
          </w:p>
        </w:tc>
      </w:tr>
      <w:tr>
        <w:trPr>
          <w:cantSplit/>
        </w:trPr>
        <w:tc>
          <w:tcPr>
            <w:tcW w:type="dxa" w:w="29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O - Onset, course, and severity</w:t>
            </w:r>
          </w:p>
        </w:tc>
        <w:tc>
          <w:tcPr>
            <w:tcW w:type="dxa" w:w="75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When symptoms began, pattern over time, triggers, duration, frequency, intensity, episodic versus persistent course, and prior episodes.</w:t>
            </w:r>
          </w:p>
        </w:tc>
      </w:tr>
      <w:tr>
        <w:trPr>
          <w:cantSplit/>
        </w:trPr>
        <w:tc>
          <w:tcPr>
            <w:tcW w:type="dxa" w:w="295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L - Life history and development</w:t>
            </w:r>
          </w:p>
        </w:tc>
        <w:tc>
          <w:tcPr>
            <w:tcW w:type="dxa" w:w="756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Developmental milestones, family history, education, work, relationships, attachment, trauma, losses, legal and military history when relevant.</w:t>
            </w:r>
          </w:p>
        </w:tc>
      </w:tr>
      <w:tr>
        <w:trPr>
          <w:cantSplit/>
        </w:trPr>
        <w:tc>
          <w:tcPr>
            <w:tcW w:type="dxa" w:w="29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 - Emotions, thoughts, behavior, and coping</w:t>
            </w:r>
          </w:p>
        </w:tc>
        <w:tc>
          <w:tcPr>
            <w:tcW w:type="dxa" w:w="75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Mood, anxiety, thought content, perception, impulses, habits, strengths, coping, substance use, and treatment history.</w:t>
            </w:r>
          </w:p>
        </w:tc>
      </w:tr>
      <w:tr>
        <w:trPr>
          <w:cantSplit/>
        </w:trPr>
        <w:tc>
          <w:tcPr>
            <w:tcW w:type="dxa" w:w="295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 - People and systems</w:t>
            </w:r>
          </w:p>
        </w:tc>
        <w:tc>
          <w:tcPr>
            <w:tcW w:type="dxa" w:w="756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Family, partners, peers, community, school, work, health care, housing, finances, immigration, justice, child welfare, and other systems.</w:t>
            </w:r>
          </w:p>
        </w:tc>
      </w:tr>
      <w:tr>
        <w:trPr>
          <w:cantSplit/>
        </w:trPr>
        <w:tc>
          <w:tcPr>
            <w:tcW w:type="dxa" w:w="29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 - Environment and access</w:t>
            </w:r>
          </w:p>
        </w:tc>
        <w:tc>
          <w:tcPr>
            <w:tcW w:type="dxa" w:w="75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Safety, housing, transportation, privacy, technology, discrimination, language, disability access, and practical barriers.</w:t>
            </w:r>
          </w:p>
        </w:tc>
      </w:tr>
      <w:tr>
        <w:trPr>
          <w:cantSplit/>
        </w:trPr>
        <w:tc>
          <w:tcPr>
            <w:tcW w:type="dxa" w:w="295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 - Roles and functioning</w:t>
            </w:r>
          </w:p>
        </w:tc>
        <w:tc>
          <w:tcPr>
            <w:tcW w:type="dxa" w:w="756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Self-care, parenting, relationships, employment, education, caregiving, sleep-wake routine, decision-making, and daily tasks.</w:t>
            </w:r>
          </w:p>
        </w:tc>
      </w:tr>
      <w:tr>
        <w:trPr>
          <w:cantSplit/>
        </w:trPr>
        <w:tc>
          <w:tcPr>
            <w:tcW w:type="dxa" w:w="29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 - Strengths and supports</w:t>
            </w:r>
          </w:p>
        </w:tc>
        <w:tc>
          <w:tcPr>
            <w:tcW w:type="dxa" w:w="75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Values, skills, cultural and spiritual resources, supportive people, prior successes, motivation, and reasons for hope.</w:t>
            </w:r>
          </w:p>
        </w:tc>
      </w:tr>
      <w:tr>
        <w:trPr>
          <w:cantSplit/>
        </w:trPr>
        <w:tc>
          <w:tcPr>
            <w:tcW w:type="dxa" w:w="295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O - Own explanation and preferences</w:t>
            </w:r>
          </w:p>
        </w:tc>
        <w:tc>
          <w:tcPr>
            <w:tcW w:type="dxa" w:w="756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the client calls the problem, why it is happening, what help should look like, and what may not fit.</w:t>
            </w:r>
          </w:p>
        </w:tc>
      </w:tr>
      <w:tr>
        <w:trPr>
          <w:cantSplit/>
        </w:trPr>
        <w:tc>
          <w:tcPr>
            <w:tcW w:type="dxa" w:w="29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N - Next information needed</w:t>
            </w:r>
          </w:p>
        </w:tc>
        <w:tc>
          <w:tcPr>
            <w:tcW w:type="dxa" w:w="75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Missing evidence that would change safety, diagnosis, level of care, treatment planning, referral, or consent.</w:t>
            </w:r>
          </w:p>
        </w:tc>
      </w:tr>
    </w:tbl>
    <w:p>
      <w:pPr>
        <w:spacing w:after="0"/>
      </w:pPr>
    </w:p>
    <w:p>
      <w:pPr>
        <w:pStyle w:val="Heading2"/>
        <w:spacing w:before="140" w:after="80"/>
        <w:keepNext/>
      </w:pPr>
      <w:r>
        <w:rPr>
          <w:rFonts w:ascii="Arial" w:hAnsi="Arial" w:eastAsia="Arial"/>
          <w:b/>
          <w:color w:val="159C9C"/>
          <w:sz w:val="26"/>
        </w:rPr>
        <w:t>Question Types and Timing</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208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Question Type</w:t>
            </w:r>
          </w:p>
        </w:tc>
        <w:tc>
          <w:tcPr>
            <w:tcW w:type="dxa" w:w="482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Best Use</w:t>
            </w:r>
          </w:p>
        </w:tc>
        <w:tc>
          <w:tcPr>
            <w:tcW w:type="dxa" w:w="360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Example</w:t>
            </w:r>
          </w:p>
        </w:tc>
      </w:tr>
      <w:tr>
        <w:trPr>
          <w:cantSplit/>
        </w:trPr>
        <w:tc>
          <w:tcPr>
            <w:tcW w:type="dxa" w:w="20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Open</w:t>
            </w:r>
          </w:p>
        </w:tc>
        <w:tc>
          <w:tcPr>
            <w:tcW w:type="dxa" w:w="48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Beginning a topic, eliciting narrative and client meaning.</w:t>
            </w:r>
          </w:p>
        </w:tc>
        <w:tc>
          <w:tcPr>
            <w:tcW w:type="dxa" w:w="360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has the last month been like for you?”</w:t>
            </w:r>
          </w:p>
        </w:tc>
      </w:tr>
      <w:tr>
        <w:trPr>
          <w:cantSplit/>
        </w:trPr>
        <w:tc>
          <w:tcPr>
            <w:tcW w:type="dxa" w:w="208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Focused</w:t>
            </w:r>
          </w:p>
        </w:tc>
        <w:tc>
          <w:tcPr>
            <w:tcW w:type="dxa" w:w="482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Clarifying a specific area while preserving narrative.</w:t>
            </w:r>
          </w:p>
        </w:tc>
        <w:tc>
          <w:tcPr>
            <w:tcW w:type="dxa" w:w="360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happens in your body when the episodes begin?”</w:t>
            </w:r>
          </w:p>
        </w:tc>
      </w:tr>
      <w:tr>
        <w:trPr>
          <w:cantSplit/>
        </w:trPr>
        <w:tc>
          <w:tcPr>
            <w:tcW w:type="dxa" w:w="20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Closed</w:t>
            </w:r>
          </w:p>
        </w:tc>
        <w:tc>
          <w:tcPr>
            <w:tcW w:type="dxa" w:w="48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Confirming dates, frequency, presence, absence, or concrete facts.</w:t>
            </w:r>
          </w:p>
        </w:tc>
        <w:tc>
          <w:tcPr>
            <w:tcW w:type="dxa" w:w="360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“Did you sleep at all last night?”</w:t>
            </w:r>
          </w:p>
        </w:tc>
      </w:tr>
      <w:tr>
        <w:trPr>
          <w:cantSplit/>
        </w:trPr>
        <w:tc>
          <w:tcPr>
            <w:tcW w:type="dxa" w:w="208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Direct safety or symptom question</w:t>
            </w:r>
          </w:p>
        </w:tc>
        <w:tc>
          <w:tcPr>
            <w:tcW w:type="dxa" w:w="482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Assessing important facts that should not be implied or avoided.</w:t>
            </w:r>
          </w:p>
        </w:tc>
        <w:tc>
          <w:tcPr>
            <w:tcW w:type="dxa" w:w="360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“Have you had thoughts of killing yourself?”</w:t>
            </w:r>
          </w:p>
        </w:tc>
      </w:tr>
      <w:tr>
        <w:trPr>
          <w:cantSplit/>
        </w:trPr>
        <w:tc>
          <w:tcPr>
            <w:tcW w:type="dxa" w:w="20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Reflective or summarizing</w:t>
            </w:r>
          </w:p>
        </w:tc>
        <w:tc>
          <w:tcPr>
            <w:tcW w:type="dxa" w:w="48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Checking understanding and organizing complex information.</w:t>
            </w:r>
          </w:p>
        </w:tc>
        <w:tc>
          <w:tcPr>
            <w:tcW w:type="dxa" w:w="360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“You are saying the fear began after the move and now affects driving and work. Did I get that right?”</w:t>
            </w:r>
          </w:p>
        </w:tc>
      </w:tr>
      <w:tr>
        <w:trPr>
          <w:cantSplit/>
        </w:trPr>
        <w:tc>
          <w:tcPr>
            <w:tcW w:type="dxa" w:w="208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Scaling or comparison</w:t>
            </w:r>
          </w:p>
        </w:tc>
        <w:tc>
          <w:tcPr>
            <w:tcW w:type="dxa" w:w="482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Establishing baseline, change, or priority.</w:t>
            </w:r>
          </w:p>
        </w:tc>
        <w:tc>
          <w:tcPr>
            <w:tcW w:type="dxa" w:w="360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“On your worst day this week, how intense was the fear from 0 to 10?”</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CTA REMEMBER</w:t>
            </w:r>
          </w:p>
          <w:p>
            <w:pPr>
              <w:spacing w:after="20" w:line="250" w:lineRule="auto"/>
            </w:pPr>
            <w:r>
              <w:rPr>
                <w:rFonts w:ascii="Arial" w:hAnsi="Arial" w:eastAsia="Arial"/>
                <w:color w:val="1F2937"/>
                <w:sz w:val="20"/>
              </w:rPr>
              <w:t>Open questions widen the picture. Focused and closed questions test specific possibilities. Direct questions address safety and essential criteria. Summaries verify accuracy. The exam rewards purposeful switching, not loyalty to one question style.</w:t>
            </w:r>
          </w:p>
        </w:tc>
      </w:tr>
    </w:tbl>
    <w:p>
      <w:pPr>
        <w:spacing w:after="0"/>
      </w:pPr>
    </w:p>
    <w:p>
      <w:pPr>
        <w:pStyle w:val="Heading2"/>
        <w:spacing w:before="140" w:after="80"/>
        <w:keepNext/>
      </w:pPr>
      <w:r>
        <w:rPr>
          <w:rFonts w:ascii="Arial" w:hAnsi="Arial" w:eastAsia="Arial"/>
          <w:b/>
          <w:color w:val="159C9C"/>
          <w:sz w:val="26"/>
        </w:rPr>
        <w:t>Cultural Formulation Without Assumption</w:t>
      </w:r>
    </w:p>
    <w:p>
      <w:pPr>
        <w:spacing w:before="0" w:after="100" w:line="254" w:lineRule="auto"/>
      </w:pPr>
      <w:r>
        <w:rPr>
          <w:rFonts w:ascii="Arial" w:hAnsi="Arial" w:eastAsia="Arial"/>
          <w:b w:val="0"/>
          <w:i w:val="0"/>
          <w:color w:val="1F2937"/>
          <w:sz w:val="20"/>
        </w:rPr>
        <w:t>Cultural assessment is not a separate demographic page. It changes how symptoms, functioning, help-seeking, risk, family involvement, spirituality, disability, discrimination, language, and treatment preferences are understood. Use the client’s explanation and context as data, while still assessing clinical and medical possibilities.</w:t>
      </w:r>
    </w:p>
    <w:p>
      <w:pPr>
        <w:pStyle w:val="ListBullet"/>
        <w:spacing w:after="50" w:line="250" w:lineRule="auto"/>
        <w:keepLines/>
      </w:pPr>
      <w:r>
        <w:rPr>
          <w:rFonts w:ascii="Arial" w:hAnsi="Arial" w:eastAsia="Arial"/>
          <w:color w:val="1F2937"/>
          <w:sz w:val="20"/>
        </w:rPr>
        <w:t>Ask how the client describes the concern and what words are used in the family or community.</w:t>
      </w:r>
    </w:p>
    <w:p>
      <w:pPr>
        <w:pStyle w:val="ListBullet"/>
        <w:spacing w:after="50" w:line="250" w:lineRule="auto"/>
        <w:keepLines/>
      </w:pPr>
      <w:r>
        <w:rPr>
          <w:rFonts w:ascii="Arial" w:hAnsi="Arial" w:eastAsia="Arial"/>
          <w:color w:val="1F2937"/>
          <w:sz w:val="20"/>
        </w:rPr>
        <w:t>Explore identity factors that the client considers relevant; do not make every listed identity clinically central.</w:t>
      </w:r>
    </w:p>
    <w:p>
      <w:pPr>
        <w:pStyle w:val="ListBullet"/>
        <w:spacing w:after="50" w:line="250" w:lineRule="auto"/>
        <w:keepLines/>
      </w:pPr>
      <w:r>
        <w:rPr>
          <w:rFonts w:ascii="Arial" w:hAnsi="Arial" w:eastAsia="Arial"/>
          <w:color w:val="1F2937"/>
          <w:sz w:val="20"/>
        </w:rPr>
        <w:t>Assess cultural, spiritual, family, and community explanations, supports, stressors, and prior help-seeking.</w:t>
      </w:r>
    </w:p>
    <w:p>
      <w:pPr>
        <w:pStyle w:val="ListBullet"/>
        <w:spacing w:after="50" w:line="250" w:lineRule="auto"/>
        <w:keepLines/>
      </w:pPr>
      <w:r>
        <w:rPr>
          <w:rFonts w:ascii="Arial" w:hAnsi="Arial" w:eastAsia="Arial"/>
          <w:color w:val="1F2937"/>
          <w:sz w:val="20"/>
        </w:rPr>
        <w:t>Broach differences in language, power, identity, age, disability, class, religion, or lived experience when they may affect trust or understanding.</w:t>
      </w:r>
    </w:p>
    <w:p>
      <w:pPr>
        <w:pStyle w:val="ListBullet"/>
        <w:spacing w:after="50" w:line="250" w:lineRule="auto"/>
        <w:keepLines/>
      </w:pPr>
      <w:r>
        <w:rPr>
          <w:rFonts w:ascii="Arial" w:hAnsi="Arial" w:eastAsia="Arial"/>
          <w:color w:val="1F2937"/>
          <w:sz w:val="20"/>
        </w:rPr>
        <w:t>Check whether assessment tools, norms, examples, and response formats fit the client’s language and context.</w:t>
      </w:r>
    </w:p>
    <w:p>
      <w:pPr>
        <w:pStyle w:val="ListBullet"/>
        <w:spacing w:after="50" w:line="250" w:lineRule="auto"/>
        <w:keepLines/>
      </w:pPr>
      <w:r>
        <w:rPr>
          <w:rFonts w:ascii="Arial" w:hAnsi="Arial" w:eastAsia="Arial"/>
          <w:color w:val="1F2937"/>
          <w:sz w:val="20"/>
        </w:rPr>
        <w:t>Document the client’s meaning and preferences separately from the counselor’s formulation.</w:t>
      </w:r>
    </w:p>
    <w:p>
      <w:pPr>
        <w:pStyle w:val="Heading2"/>
        <w:spacing w:before="140" w:after="80"/>
        <w:keepNext/>
      </w:pPr>
      <w:r>
        <w:rPr>
          <w:rFonts w:ascii="Arial" w:hAnsi="Arial" w:eastAsia="Arial"/>
          <w:b/>
          <w:color w:val="159C9C"/>
          <w:sz w:val="26"/>
        </w:rPr>
        <w:t>Clinical Application: “Nerves”</w:t>
      </w:r>
    </w:p>
    <w:p>
      <w:pPr>
        <w:spacing w:before="0" w:after="100" w:line="254" w:lineRule="auto"/>
      </w:pPr>
      <w:r>
        <w:rPr>
          <w:rFonts w:ascii="Arial" w:hAnsi="Arial" w:eastAsia="Arial"/>
          <w:b w:val="0"/>
          <w:i w:val="0"/>
          <w:color w:val="1F2937"/>
          <w:sz w:val="20"/>
        </w:rPr>
        <w:t>A client repeatedly describes “nerves” but rejects the counselor’s early use of the word anxiety. The best response is not to correct the client or abandon diagnostic assessment. Ask what “nerves” means to the client, how it is experienced, what causes it, how family members understand it, and what changes would signal improvement. Then clarify symptoms, duration, functioning, medical factors, substances, and differentials using the client’s language where possible.</w:t>
      </w:r>
    </w:p>
    <w:p>
      <w:pPr>
        <w:pStyle w:val="Heading2"/>
        <w:spacing w:before="140" w:after="80"/>
        <w:keepNext/>
      </w:pPr>
      <w:r>
        <w:rPr>
          <w:rFonts w:ascii="Arial" w:hAnsi="Arial" w:eastAsia="Arial"/>
          <w:b/>
          <w:color w:val="159C9C"/>
          <w:sz w:val="26"/>
        </w:rPr>
        <w:t>WHOLE-PERSON Interview Planner</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67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Prompt</w:t>
            </w:r>
          </w:p>
        </w:tc>
        <w:tc>
          <w:tcPr>
            <w:tcW w:type="dxa" w:w="684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Student Notes</w:t>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Client-defined concern and preferred language for it</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Onset, course, severity, triggers, and prior episodes</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Health, medication, sleep, pain, substance, and medical-rule-out questions</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Developmental, relational, work/school, legal, housing, and system context</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Cultural identity, explanatory model, supports, stressors, and preferences</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Functioning: self-care, roles, relationships, work/school, judgment, daily tasks</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Strengths, protective factors, prior successes, and available supports</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Missing evidence that could change the next decision</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bl>
    <w:p>
      <w:pPr>
        <w:spacing w:after="0"/>
      </w:pPr>
    </w:p>
    <w:p>
      <w:pPr>
        <w:pStyle w:val="Heading2"/>
        <w:spacing w:before="140" w:after="80"/>
        <w:keepNext/>
      </w:pPr>
      <w:r>
        <w:rPr>
          <w:rFonts w:ascii="Arial" w:hAnsi="Arial" w:eastAsia="Arial"/>
          <w:b/>
          <w:color w:val="159C9C"/>
          <w:sz w:val="26"/>
        </w:rPr>
        <w:t>Chapter 2 Summary</w:t>
      </w:r>
    </w:p>
    <w:p>
      <w:pPr>
        <w:pStyle w:val="ListBullet"/>
        <w:spacing w:after="50" w:line="250" w:lineRule="auto"/>
        <w:keepLines/>
      </w:pPr>
      <w:r>
        <w:rPr>
          <w:rFonts w:ascii="Arial" w:hAnsi="Arial" w:eastAsia="Arial"/>
          <w:color w:val="1F2937"/>
          <w:sz w:val="20"/>
        </w:rPr>
        <w:t>Interview domains should be connected to the referral question and next decision.</w:t>
      </w:r>
    </w:p>
    <w:p>
      <w:pPr>
        <w:pStyle w:val="ListBullet"/>
        <w:spacing w:after="50" w:line="250" w:lineRule="auto"/>
        <w:keepLines/>
      </w:pPr>
      <w:r>
        <w:rPr>
          <w:rFonts w:ascii="Arial" w:hAnsi="Arial" w:eastAsia="Arial"/>
          <w:color w:val="1F2937"/>
          <w:sz w:val="20"/>
        </w:rPr>
        <w:t>Use open, focused, closed, direct, reflective, and scaling questions deliberately.</w:t>
      </w:r>
    </w:p>
    <w:p>
      <w:pPr>
        <w:pStyle w:val="ListBullet"/>
        <w:spacing w:after="50" w:line="250" w:lineRule="auto"/>
        <w:keepLines/>
      </w:pPr>
      <w:r>
        <w:rPr>
          <w:rFonts w:ascii="Arial" w:hAnsi="Arial" w:eastAsia="Arial"/>
          <w:color w:val="1F2937"/>
          <w:sz w:val="20"/>
        </w:rPr>
        <w:t>Assess symptoms and cultural meaning together; neither replaces the other.</w:t>
      </w:r>
    </w:p>
    <w:p>
      <w:pPr>
        <w:pStyle w:val="ListBullet"/>
        <w:spacing w:after="50" w:line="250" w:lineRule="auto"/>
        <w:keepLines/>
      </w:pPr>
      <w:r>
        <w:rPr>
          <w:rFonts w:ascii="Arial" w:hAnsi="Arial" w:eastAsia="Arial"/>
          <w:color w:val="1F2937"/>
          <w:sz w:val="20"/>
        </w:rPr>
        <w:t>Functioning, strengths, medical factors, substances, and system context prevent premature diagnostic closure.</w:t>
      </w:r>
    </w:p>
    <w:p>
      <w:r>
        <w:br w:type="page"/>
      </w:r>
    </w:p>
    <w:tbl>
      <w:tblPr>
        <w:tblW w:type="auto" w:w="0"/>
        <w:jc w:val="center"/>
        <w:tblLayout w:type="fixed"/>
        <w:tblLook w:firstColumn="1" w:firstRow="1" w:lastColumn="0" w:lastRow="0" w:noHBand="0" w:noVBand="1" w:val="04A0"/>
      </w:tblPr>
      <w:tblGrid>
        <w:gridCol w:w="5155"/>
        <w:gridCol w:w="5155"/>
      </w:tblGrid>
      <w:tr>
        <w:tc>
          <w:tcPr>
            <w:tcW w:type="dxa" w:w="1008"/>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36"/>
              </w:rPr>
              <w:t>3</w:t>
            </w:r>
          </w:p>
        </w:tc>
        <w:tc>
          <w:tcPr>
            <w:tcW w:type="dxa" w:w="9504"/>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Mental Status and Functional Assessment</w:t>
            </w:r>
          </w:p>
        </w:tc>
      </w:tr>
    </w:tbl>
    <w:p>
      <w:pPr>
        <w:spacing w:before="100" w:after="180"/>
      </w:pPr>
      <w:r>
        <w:rPr>
          <w:rFonts w:ascii="Arial" w:hAnsi="Arial" w:eastAsia="Arial"/>
          <w:i/>
          <w:color w:val="4E5B6B"/>
          <w:sz w:val="21"/>
        </w:rPr>
        <w:t>Describe the client’s current presentation accurately before explaining what it means.</w:t>
      </w:r>
    </w:p>
    <w:p>
      <w:pPr>
        <w:pStyle w:val="Heading2"/>
        <w:spacing w:before="140" w:after="80"/>
        <w:keepNext/>
      </w:pPr>
      <w:r>
        <w:rPr>
          <w:rFonts w:ascii="Arial" w:hAnsi="Arial" w:eastAsia="Arial"/>
          <w:b/>
          <w:color w:val="159C9C"/>
          <w:sz w:val="26"/>
        </w:rPr>
        <w:t>What the Mental Status Examination Does</w:t>
      </w:r>
    </w:p>
    <w:p>
      <w:pPr>
        <w:spacing w:before="0" w:after="100" w:line="254" w:lineRule="auto"/>
      </w:pPr>
      <w:r>
        <w:rPr>
          <w:rFonts w:ascii="Arial" w:hAnsi="Arial" w:eastAsia="Arial"/>
          <w:b w:val="0"/>
          <w:i w:val="0"/>
          <w:color w:val="1F2937"/>
          <w:sz w:val="20"/>
        </w:rPr>
        <w:t>The MSE is a structured description of current behavioral and cognitive functioning during the encounter. It combines direct observation with selected questions. It contributes to diagnosis, risk assessment, level-of-care decisions, treatment planning, and monitoring, but it is not a complete history and does not independently establish a diagnosis.</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201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MSE Domain</w:t>
            </w:r>
          </w:p>
        </w:tc>
        <w:tc>
          <w:tcPr>
            <w:tcW w:type="dxa" w:w="446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What to Observe or Assess</w:t>
            </w:r>
          </w:p>
        </w:tc>
        <w:tc>
          <w:tcPr>
            <w:tcW w:type="dxa" w:w="403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Documentation Example</w:t>
            </w:r>
          </w:p>
        </w:tc>
      </w:tr>
      <w:tr>
        <w:trPr>
          <w:cantSplit/>
        </w:trPr>
        <w:tc>
          <w:tcPr>
            <w:tcW w:type="dxa" w:w="201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Appearance and behavior</w:t>
            </w:r>
          </w:p>
        </w:tc>
        <w:tc>
          <w:tcPr>
            <w:tcW w:type="dxa" w:w="446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Grooming, dress, posture, eye contact in context, cooperation, agitation, slowing, unusual movements.</w:t>
            </w:r>
          </w:p>
        </w:tc>
        <w:tc>
          <w:tcPr>
            <w:tcW w:type="dxa" w:w="40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“Casually dressed; grooming intact; frequently stood and paced during the interview.”</w:t>
            </w:r>
          </w:p>
        </w:tc>
      </w:tr>
      <w:tr>
        <w:trPr>
          <w:cantSplit/>
        </w:trPr>
        <w:tc>
          <w:tcPr>
            <w:tcW w:type="dxa" w:w="201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Speech</w:t>
            </w:r>
          </w:p>
        </w:tc>
        <w:tc>
          <w:tcPr>
            <w:tcW w:type="dxa" w:w="446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Rate, volume, rhythm, latency, fluency, articulation, spontaneity.</w:t>
            </w:r>
          </w:p>
        </w:tc>
        <w:tc>
          <w:tcPr>
            <w:tcW w:type="dxa" w:w="40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“Speech rapid and difficult to interrupt; volume elevated.”</w:t>
            </w:r>
          </w:p>
        </w:tc>
      </w:tr>
      <w:tr>
        <w:trPr>
          <w:cantSplit/>
        </w:trPr>
        <w:tc>
          <w:tcPr>
            <w:tcW w:type="dxa" w:w="201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Mood and affect</w:t>
            </w:r>
          </w:p>
        </w:tc>
        <w:tc>
          <w:tcPr>
            <w:tcW w:type="dxa" w:w="446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Client-reported emotional state; observed range, intensity, stability, congruence, and reactivity.</w:t>
            </w:r>
          </w:p>
        </w:tc>
        <w:tc>
          <w:tcPr>
            <w:tcW w:type="dxa" w:w="40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“Reports feeling ‘empty’; affect constricted and tearful when discussing the loss.”</w:t>
            </w:r>
          </w:p>
        </w:tc>
      </w:tr>
      <w:tr>
        <w:trPr>
          <w:cantSplit/>
        </w:trPr>
        <w:tc>
          <w:tcPr>
            <w:tcW w:type="dxa" w:w="201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Thought process</w:t>
            </w:r>
          </w:p>
        </w:tc>
        <w:tc>
          <w:tcPr>
            <w:tcW w:type="dxa" w:w="446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Organization and flow: linear, circumstantial, tangential, disorganized, blocked, racing, or perseverative.</w:t>
            </w:r>
          </w:p>
        </w:tc>
        <w:tc>
          <w:tcPr>
            <w:tcW w:type="dxa" w:w="40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“Responses generally linear; became circumstantial when discussing work conflict.”</w:t>
            </w:r>
          </w:p>
        </w:tc>
      </w:tr>
      <w:tr>
        <w:trPr>
          <w:cantSplit/>
        </w:trPr>
        <w:tc>
          <w:tcPr>
            <w:tcW w:type="dxa" w:w="201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Thought content</w:t>
            </w:r>
          </w:p>
        </w:tc>
        <w:tc>
          <w:tcPr>
            <w:tcW w:type="dxa" w:w="446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Preoccupations, hopelessness, guilt, obsessions, delusions, suicidal or homicidal thoughts, and other clinically relevant content.</w:t>
            </w:r>
          </w:p>
        </w:tc>
        <w:tc>
          <w:tcPr>
            <w:tcW w:type="dxa" w:w="40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“Reports recurrent contamination fears; denies current suicidal or homicidal intent.”</w:t>
            </w:r>
          </w:p>
        </w:tc>
      </w:tr>
      <w:tr>
        <w:trPr>
          <w:cantSplit/>
        </w:trPr>
        <w:tc>
          <w:tcPr>
            <w:tcW w:type="dxa" w:w="201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Perception</w:t>
            </w:r>
          </w:p>
        </w:tc>
        <w:tc>
          <w:tcPr>
            <w:tcW w:type="dxa" w:w="446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Hallucinations, illusions, dissociation, depersonalization, derealization, and response to internal stimuli.</w:t>
            </w:r>
          </w:p>
        </w:tc>
        <w:tc>
          <w:tcPr>
            <w:tcW w:type="dxa" w:w="40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“Reports hearing a critical voice when alone; no observed response to unseen stimuli during interview.”</w:t>
            </w:r>
          </w:p>
        </w:tc>
      </w:tr>
      <w:tr>
        <w:trPr>
          <w:cantSplit/>
        </w:trPr>
        <w:tc>
          <w:tcPr>
            <w:tcW w:type="dxa" w:w="201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Cognition</w:t>
            </w:r>
          </w:p>
        </w:tc>
        <w:tc>
          <w:tcPr>
            <w:tcW w:type="dxa" w:w="446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Alertness, orientation, attention, memory, language, abstraction, and executive functioning as clinically indicated.</w:t>
            </w:r>
          </w:p>
        </w:tc>
        <w:tc>
          <w:tcPr>
            <w:tcW w:type="dxa" w:w="40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“Alert and oriented to person, place, date, and situation; lost track during multi-step questions.”</w:t>
            </w:r>
          </w:p>
        </w:tc>
      </w:tr>
      <w:tr>
        <w:trPr>
          <w:cantSplit/>
        </w:trPr>
        <w:tc>
          <w:tcPr>
            <w:tcW w:type="dxa" w:w="201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Insight and judgment</w:t>
            </w:r>
          </w:p>
        </w:tc>
        <w:tc>
          <w:tcPr>
            <w:tcW w:type="dxa" w:w="446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Recognition of concerns and need for help; ability to make reasoned, safe, and context-sensitive decisions.</w:t>
            </w:r>
          </w:p>
        </w:tc>
        <w:tc>
          <w:tcPr>
            <w:tcW w:type="dxa" w:w="40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“Recognizes sleep loss is impairing work; continues driving after near-miss incidents despite concern.”</w:t>
            </w:r>
          </w:p>
        </w:tc>
      </w:tr>
    </w:tbl>
    <w:p>
      <w:pPr>
        <w:spacing w:after="0"/>
      </w:pPr>
    </w:p>
    <w:p>
      <w:pPr>
        <w:pStyle w:val="Heading2"/>
        <w:spacing w:before="140" w:after="80"/>
        <w:keepNext/>
      </w:pPr>
      <w:r>
        <w:rPr>
          <w:rFonts w:ascii="Arial" w:hAnsi="Arial" w:eastAsia="Arial"/>
          <w:b/>
          <w:color w:val="159C9C"/>
          <w:sz w:val="26"/>
        </w:rPr>
        <w:t>Report, Observation, and Inference</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208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Type</w:t>
            </w:r>
          </w:p>
        </w:tc>
        <w:tc>
          <w:tcPr>
            <w:tcW w:type="dxa" w:w="511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Example</w:t>
            </w:r>
          </w:p>
        </w:tc>
        <w:tc>
          <w:tcPr>
            <w:tcW w:type="dxa" w:w="331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Quality Check</w:t>
            </w:r>
          </w:p>
        </w:tc>
      </w:tr>
      <w:tr>
        <w:trPr>
          <w:cantSplit/>
        </w:trPr>
        <w:tc>
          <w:tcPr>
            <w:tcW w:type="dxa" w:w="20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Client report</w:t>
            </w:r>
          </w:p>
        </w:tc>
        <w:tc>
          <w:tcPr>
            <w:tcW w:type="dxa" w:w="511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“Client reports sleeping two hours nightly for four nights.”</w:t>
            </w:r>
          </w:p>
        </w:tc>
        <w:tc>
          <w:tcPr>
            <w:tcW w:type="dxa" w:w="331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Attribute the information to the source.</w:t>
            </w:r>
          </w:p>
        </w:tc>
      </w:tr>
      <w:tr>
        <w:trPr>
          <w:cantSplit/>
        </w:trPr>
        <w:tc>
          <w:tcPr>
            <w:tcW w:type="dxa" w:w="208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Direct observation</w:t>
            </w:r>
          </w:p>
        </w:tc>
        <w:tc>
          <w:tcPr>
            <w:tcW w:type="dxa" w:w="511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“Client yawned repeatedly and required two questions to be repeated.”</w:t>
            </w:r>
          </w:p>
        </w:tc>
        <w:tc>
          <w:tcPr>
            <w:tcW w:type="dxa" w:w="331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Use concrete, behavior-based language.</w:t>
            </w:r>
          </w:p>
        </w:tc>
      </w:tr>
      <w:tr>
        <w:trPr>
          <w:cantSplit/>
        </w:trPr>
        <w:tc>
          <w:tcPr>
            <w:tcW w:type="dxa" w:w="20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Clinical inference</w:t>
            </w:r>
          </w:p>
        </w:tc>
        <w:tc>
          <w:tcPr>
            <w:tcW w:type="dxa" w:w="511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“Presentation may be consistent with sleep deprivation; additional assessment is needed.”</w:t>
            </w:r>
          </w:p>
        </w:tc>
        <w:tc>
          <w:tcPr>
            <w:tcW w:type="dxa" w:w="331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State uncertainty and supporting facts.</w:t>
            </w:r>
          </w:p>
        </w:tc>
      </w:tr>
      <w:tr>
        <w:trPr>
          <w:cantSplit/>
        </w:trPr>
        <w:tc>
          <w:tcPr>
            <w:tcW w:type="dxa" w:w="208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Diagnosis or conclusion</w:t>
            </w:r>
          </w:p>
        </w:tc>
        <w:tc>
          <w:tcPr>
            <w:tcW w:type="dxa" w:w="511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“Bipolar I disorder, current manic episode.”</w:t>
            </w:r>
          </w:p>
        </w:tc>
        <w:tc>
          <w:tcPr>
            <w:tcW w:type="dxa" w:w="331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Requires broader criteria, course, impairment, exclusions, and differential assessment.</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FCE8E6"/>
            <w:tcBorders>
              <w:top w:val="single" w:sz="10" w:color="B75D53"/>
              <w:left w:val="single" w:sz="10" w:color="B75D53"/>
              <w:bottom w:val="single" w:sz="10" w:color="B75D53"/>
              <w:right w:val="single" w:sz="10" w:color="B75D53"/>
            </w:tcBorders>
            <w:tcMar>
              <w:top w:w="110" w:type="dxa"/>
              <w:start w:w="140" w:type="dxa"/>
              <w:bottom w:w="110" w:type="dxa"/>
              <w:end w:w="140" w:type="dxa"/>
            </w:tcMar>
          </w:tcPr>
          <w:p>
            <w:pPr>
              <w:spacing w:after="60"/>
            </w:pPr>
            <w:r>
              <w:rPr>
                <w:rFonts w:ascii="Arial" w:hAnsi="Arial" w:eastAsia="Arial"/>
                <w:b/>
                <w:color w:val="17365D"/>
                <w:sz w:val="21"/>
              </w:rPr>
              <w:t>COMMON TRAP</w:t>
            </w:r>
          </w:p>
          <w:p>
            <w:pPr>
              <w:spacing w:after="20" w:line="250" w:lineRule="auto"/>
            </w:pPr>
            <w:r>
              <w:rPr>
                <w:rFonts w:ascii="Arial" w:hAnsi="Arial" w:eastAsia="Arial"/>
                <w:color w:val="1F2937"/>
                <w:sz w:val="20"/>
              </w:rPr>
              <w:t>Converting a descriptive observation into a character judgment. “Avoidant,” “manipulative,” “unmotivated,” “paranoid,” or “poor historian” may be conclusions. Document the behavior, context, limitations, and source first.</w:t>
            </w:r>
          </w:p>
        </w:tc>
      </w:tr>
    </w:tbl>
    <w:p>
      <w:pPr>
        <w:spacing w:after="0"/>
      </w:pPr>
    </w:p>
    <w:p>
      <w:pPr>
        <w:pStyle w:val="Heading2"/>
        <w:spacing w:before="140" w:after="80"/>
        <w:keepNext/>
      </w:pPr>
      <w:r>
        <w:rPr>
          <w:rFonts w:ascii="Arial" w:hAnsi="Arial" w:eastAsia="Arial"/>
          <w:b/>
          <w:color w:val="159C9C"/>
          <w:sz w:val="26"/>
        </w:rPr>
        <w:t>Functional Assessment Completes the Picture</w:t>
      </w:r>
    </w:p>
    <w:p>
      <w:pPr>
        <w:spacing w:before="0" w:after="100" w:line="254" w:lineRule="auto"/>
      </w:pPr>
      <w:r>
        <w:rPr>
          <w:rFonts w:ascii="Arial" w:hAnsi="Arial" w:eastAsia="Arial"/>
          <w:b w:val="0"/>
          <w:i w:val="0"/>
          <w:color w:val="1F2937"/>
          <w:sz w:val="20"/>
        </w:rPr>
        <w:t>Symptoms become clinically meaningful through severity, distress, impairment, risk, and context. Ask what the client can and cannot do now compared with baseline. Consider both deficits and retained strengths.</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288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Functioning Area</w:t>
            </w:r>
          </w:p>
        </w:tc>
        <w:tc>
          <w:tcPr>
            <w:tcW w:type="dxa" w:w="763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Examples of High-Yield Data</w:t>
            </w:r>
          </w:p>
        </w:tc>
      </w:tr>
      <w:tr>
        <w:trPr>
          <w:cantSplit/>
        </w:trPr>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Daily living and self-care</w:t>
            </w:r>
          </w:p>
        </w:tc>
        <w:tc>
          <w:tcPr>
            <w:tcW w:type="dxa" w:w="76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Sleep-wake routine, hygiene, nutrition, medication management, mobility, household tasks.</w:t>
            </w:r>
          </w:p>
        </w:tc>
      </w:tr>
      <w:tr>
        <w:trPr>
          <w:cantSplit/>
        </w:trPr>
        <w:tc>
          <w:tcPr>
            <w:tcW w:type="dxa" w:w="28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Work and education</w:t>
            </w:r>
          </w:p>
        </w:tc>
        <w:tc>
          <w:tcPr>
            <w:tcW w:type="dxa" w:w="76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Attendance, concentration, performance, accommodations, conflict, leave, financial effects.</w:t>
            </w:r>
          </w:p>
        </w:tc>
      </w:tr>
      <w:tr>
        <w:trPr>
          <w:cantSplit/>
        </w:trPr>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Relationships and caregiving</w:t>
            </w:r>
          </w:p>
        </w:tc>
        <w:tc>
          <w:tcPr>
            <w:tcW w:type="dxa" w:w="76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Communication, conflict, parenting, caregiving responsibilities, isolation, support.</w:t>
            </w:r>
          </w:p>
        </w:tc>
      </w:tr>
      <w:tr>
        <w:trPr>
          <w:cantSplit/>
        </w:trPr>
        <w:tc>
          <w:tcPr>
            <w:tcW w:type="dxa" w:w="28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Decision-making and safety</w:t>
            </w:r>
          </w:p>
        </w:tc>
        <w:tc>
          <w:tcPr>
            <w:tcW w:type="dxa" w:w="76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Impulse control, driving, finances, medication use, risk recognition, ability to seek help.</w:t>
            </w:r>
          </w:p>
        </w:tc>
      </w:tr>
      <w:tr>
        <w:trPr>
          <w:cantSplit/>
        </w:trPr>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Community and systems</w:t>
            </w:r>
          </w:p>
        </w:tc>
        <w:tc>
          <w:tcPr>
            <w:tcW w:type="dxa" w:w="76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Housing, transportation, legal obligations, benefits, immigration concerns, health care access.</w:t>
            </w:r>
          </w:p>
        </w:tc>
      </w:tr>
      <w:tr>
        <w:trPr>
          <w:cantSplit/>
        </w:trPr>
        <w:tc>
          <w:tcPr>
            <w:tcW w:type="dxa" w:w="28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Meaningful activity and strengths</w:t>
            </w:r>
          </w:p>
        </w:tc>
        <w:tc>
          <w:tcPr>
            <w:tcW w:type="dxa" w:w="76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Interests, values, routines, faith or community practices, problem-solving, resilience.</w:t>
            </w:r>
          </w:p>
        </w:tc>
      </w:tr>
    </w:tbl>
    <w:p>
      <w:pPr>
        <w:spacing w:after="0"/>
      </w:pPr>
    </w:p>
    <w:p>
      <w:pPr>
        <w:pStyle w:val="Heading2"/>
        <w:spacing w:before="140" w:after="80"/>
        <w:keepNext/>
      </w:pPr>
      <w:r>
        <w:rPr>
          <w:rFonts w:ascii="Arial" w:hAnsi="Arial" w:eastAsia="Arial"/>
          <w:b/>
          <w:color w:val="159C9C"/>
          <w:sz w:val="26"/>
        </w:rPr>
        <w:t>When a Mental or Cognitive Change May Be Medical</w:t>
      </w:r>
    </w:p>
    <w:p>
      <w:pPr>
        <w:spacing w:before="0" w:after="100" w:line="254" w:lineRule="auto"/>
      </w:pPr>
      <w:r>
        <w:rPr>
          <w:rFonts w:ascii="Arial" w:hAnsi="Arial" w:eastAsia="Arial"/>
          <w:b w:val="0"/>
          <w:i w:val="0"/>
          <w:color w:val="1F2937"/>
          <w:sz w:val="20"/>
        </w:rPr>
        <w:t>Sudden confusion, fluctuating alertness, new neurological symptoms, severe headache, chest pain, breathing difficulty, recent head injury, medication change, intoxication, withdrawal, or abrupt cognitive decline can require urgent medical assessment. A counselor should not assume a psychiatric explanation when the timing or physical signs suggest a medical cause.</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CTA EXAM STRATEGY</w:t>
            </w:r>
          </w:p>
          <w:p>
            <w:pPr>
              <w:spacing w:after="20" w:line="250" w:lineRule="auto"/>
            </w:pPr>
            <w:r>
              <w:rPr>
                <w:rFonts w:ascii="Arial" w:hAnsi="Arial" w:eastAsia="Arial"/>
                <w:color w:val="1F2937"/>
                <w:sz w:val="20"/>
              </w:rPr>
              <w:t>When the case presents an acute change in consciousness, orientation, cognition, or physical status, compare psychiatric assessment options with medical-evaluation options. The safest first action often addresses the possible medical emergency before routine psychotherapy assessment continues.</w:t>
            </w:r>
          </w:p>
        </w:tc>
      </w:tr>
    </w:tbl>
    <w:p>
      <w:pPr>
        <w:spacing w:after="0"/>
      </w:pPr>
    </w:p>
    <w:p>
      <w:pPr>
        <w:pStyle w:val="Heading2"/>
        <w:spacing w:before="140" w:after="80"/>
        <w:keepNext/>
      </w:pPr>
      <w:r>
        <w:rPr>
          <w:rFonts w:ascii="Arial" w:hAnsi="Arial" w:eastAsia="Arial"/>
          <w:b/>
          <w:color w:val="159C9C"/>
          <w:sz w:val="26"/>
        </w:rPr>
        <w:t>MSE Observation Grid</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67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Prompt</w:t>
            </w:r>
          </w:p>
        </w:tc>
        <w:tc>
          <w:tcPr>
            <w:tcW w:type="dxa" w:w="684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Student Notes</w:t>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Appearance, behavior, motor activity, and level of distress</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Speech</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Client-reported mood and observed affect</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Thought process</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Thought content and direct risk inquiry when indicated</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Perception and dissociation</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Alertness, orientation, attention, memory, and other cognition as indicated</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Insight and judgment</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Functional strengths and impairments</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Limitations of the observation and needed follow-up</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bl>
    <w:p>
      <w:pPr>
        <w:spacing w:after="0"/>
      </w:pPr>
    </w:p>
    <w:p>
      <w:pPr>
        <w:pStyle w:val="Heading2"/>
        <w:spacing w:before="140" w:after="80"/>
        <w:keepNext/>
      </w:pPr>
      <w:r>
        <w:rPr>
          <w:rFonts w:ascii="Arial" w:hAnsi="Arial" w:eastAsia="Arial"/>
          <w:b/>
          <w:color w:val="159C9C"/>
          <w:sz w:val="26"/>
        </w:rPr>
        <w:t>Chapter 3 Summary</w:t>
      </w:r>
    </w:p>
    <w:p>
      <w:pPr>
        <w:pStyle w:val="ListBullet"/>
        <w:spacing w:after="50" w:line="250" w:lineRule="auto"/>
        <w:keepLines/>
      </w:pPr>
      <w:r>
        <w:rPr>
          <w:rFonts w:ascii="Arial" w:hAnsi="Arial" w:eastAsia="Arial"/>
          <w:color w:val="1F2937"/>
          <w:sz w:val="20"/>
        </w:rPr>
        <w:t>The MSE describes the current presentation; it does not replace history, risk assessment, medical evaluation, or diagnostic criteria.</w:t>
      </w:r>
    </w:p>
    <w:p>
      <w:pPr>
        <w:pStyle w:val="ListBullet"/>
        <w:spacing w:after="50" w:line="250" w:lineRule="auto"/>
        <w:keepLines/>
      </w:pPr>
      <w:r>
        <w:rPr>
          <w:rFonts w:ascii="Arial" w:hAnsi="Arial" w:eastAsia="Arial"/>
          <w:color w:val="1F2937"/>
          <w:sz w:val="20"/>
        </w:rPr>
        <w:t>Separate client report, direct observation, inference, and conclusion.</w:t>
      </w:r>
    </w:p>
    <w:p>
      <w:pPr>
        <w:pStyle w:val="ListBullet"/>
        <w:spacing w:after="50" w:line="250" w:lineRule="auto"/>
        <w:keepLines/>
      </w:pPr>
      <w:r>
        <w:rPr>
          <w:rFonts w:ascii="Arial" w:hAnsi="Arial" w:eastAsia="Arial"/>
          <w:color w:val="1F2937"/>
          <w:sz w:val="20"/>
        </w:rPr>
        <w:t>Use behavior-based, culturally contextualized language rather than character labels.</w:t>
      </w:r>
    </w:p>
    <w:p>
      <w:pPr>
        <w:pStyle w:val="ListBullet"/>
        <w:spacing w:after="50" w:line="250" w:lineRule="auto"/>
        <w:keepLines/>
      </w:pPr>
      <w:r>
        <w:rPr>
          <w:rFonts w:ascii="Arial" w:hAnsi="Arial" w:eastAsia="Arial"/>
          <w:color w:val="1F2937"/>
          <w:sz w:val="20"/>
        </w:rPr>
        <w:t>Assess functioning and abrupt medical or cognitive changes because they can change urgency and disposition.</w:t>
      </w:r>
    </w:p>
    <w:p>
      <w:r>
        <w:br w:type="page"/>
      </w:r>
    </w:p>
    <w:tbl>
      <w:tblPr>
        <w:tblW w:type="auto" w:w="0"/>
        <w:jc w:val="center"/>
        <w:tblLayout w:type="fixed"/>
        <w:tblLook w:firstColumn="1" w:firstRow="1" w:lastColumn="0" w:lastRow="0" w:noHBand="0" w:noVBand="1" w:val="04A0"/>
      </w:tblPr>
      <w:tblGrid>
        <w:gridCol w:w="5155"/>
        <w:gridCol w:w="5155"/>
      </w:tblGrid>
      <w:tr>
        <w:tc>
          <w:tcPr>
            <w:tcW w:type="dxa" w:w="1008"/>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36"/>
              </w:rPr>
              <w:t>4</w:t>
            </w:r>
          </w:p>
        </w:tc>
        <w:tc>
          <w:tcPr>
            <w:tcW w:type="dxa" w:w="9504"/>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Instruments, Collateral Data, and Outcome Measurement</w:t>
            </w:r>
          </w:p>
        </w:tc>
      </w:tr>
    </w:tbl>
    <w:p>
      <w:pPr>
        <w:spacing w:before="100" w:after="180"/>
      </w:pPr>
      <w:r>
        <w:rPr>
          <w:rFonts w:ascii="Arial" w:hAnsi="Arial" w:eastAsia="Arial"/>
          <w:i/>
          <w:color w:val="4E5B6B"/>
          <w:sz w:val="21"/>
        </w:rPr>
        <w:t>Use tools to sharpen clinical judgment, not to outsource it.</w:t>
      </w:r>
    </w:p>
    <w:p>
      <w:pPr>
        <w:pStyle w:val="Heading2"/>
        <w:spacing w:before="140" w:after="80"/>
        <w:keepNext/>
      </w:pPr>
      <w:r>
        <w:rPr>
          <w:rFonts w:ascii="Arial" w:hAnsi="Arial" w:eastAsia="Arial"/>
          <w:b/>
          <w:color w:val="159C9C"/>
          <w:sz w:val="26"/>
        </w:rPr>
        <w:t>Screening, Assessment, and Diagnosis Are Different</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216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Process</w:t>
            </w:r>
          </w:p>
        </w:tc>
        <w:tc>
          <w:tcPr>
            <w:tcW w:type="dxa" w:w="489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What It Can Do</w:t>
            </w:r>
          </w:p>
        </w:tc>
        <w:tc>
          <w:tcPr>
            <w:tcW w:type="dxa" w:w="345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What It Cannot Do Alone</w:t>
            </w:r>
          </w:p>
        </w:tc>
      </w:tr>
      <w:tr>
        <w:trPr>
          <w:cantSplit/>
        </w:trPr>
        <w:tc>
          <w:tcPr>
            <w:tcW w:type="dxa" w:w="21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Screening</w:t>
            </w:r>
          </w:p>
        </w:tc>
        <w:tc>
          <w:tcPr>
            <w:tcW w:type="dxa" w:w="489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Identify possible concern, severity range, or need for further evaluation.</w:t>
            </w:r>
          </w:p>
        </w:tc>
        <w:tc>
          <w:tcPr>
            <w:tcW w:type="dxa" w:w="34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Confirm diagnosis, explain cause, or determine treatment fit by itself.</w:t>
            </w:r>
          </w:p>
        </w:tc>
      </w:tr>
      <w:tr>
        <w:trPr>
          <w:cantSplit/>
        </w:trPr>
        <w:tc>
          <w:tcPr>
            <w:tcW w:type="dxa" w:w="216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Assessment</w:t>
            </w:r>
          </w:p>
        </w:tc>
        <w:tc>
          <w:tcPr>
            <w:tcW w:type="dxa" w:w="489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Integrate interview, observation, history, measures, collateral, records, and context for a clinical question.</w:t>
            </w:r>
          </w:p>
        </w:tc>
        <w:tc>
          <w:tcPr>
            <w:tcW w:type="dxa" w:w="345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Guarantee certainty or remove the need for professional judgment.</w:t>
            </w:r>
          </w:p>
        </w:tc>
      </w:tr>
      <w:tr>
        <w:trPr>
          <w:cantSplit/>
        </w:trPr>
        <w:tc>
          <w:tcPr>
            <w:tcW w:type="dxa" w:w="21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Diagnosis</w:t>
            </w:r>
          </w:p>
        </w:tc>
        <w:tc>
          <w:tcPr>
            <w:tcW w:type="dxa" w:w="489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Apply diagnostic criteria and differential reasoning to a sufficiently supported clinical formulation.</w:t>
            </w:r>
          </w:p>
        </w:tc>
        <w:tc>
          <w:tcPr>
            <w:tcW w:type="dxa" w:w="34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Be established solely by a cutoff score, one symptom, one observer, or one session.</w:t>
            </w:r>
          </w:p>
        </w:tc>
      </w:tr>
      <w:tr>
        <w:trPr>
          <w:cantSplit/>
        </w:trPr>
        <w:tc>
          <w:tcPr>
            <w:tcW w:type="dxa" w:w="216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Outcome measurement</w:t>
            </w:r>
          </w:p>
        </w:tc>
        <w:tc>
          <w:tcPr>
            <w:tcW w:type="dxa" w:w="489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Track change, deterioration, stability, functioning, or response over time.</w:t>
            </w:r>
          </w:p>
        </w:tc>
        <w:tc>
          <w:tcPr>
            <w:tcW w:type="dxa" w:w="345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Prove that all meaningful change is captured by the measure.</w:t>
            </w:r>
          </w:p>
        </w:tc>
      </w:tr>
    </w:tbl>
    <w:p>
      <w:pPr>
        <w:spacing w:after="0"/>
      </w:pPr>
    </w:p>
    <w:p>
      <w:pPr>
        <w:pStyle w:val="Heading2"/>
        <w:spacing w:before="140" w:after="80"/>
        <w:keepNext/>
      </w:pPr>
      <w:r>
        <w:rPr>
          <w:rFonts w:ascii="Arial" w:hAnsi="Arial" w:eastAsia="Arial"/>
          <w:b/>
          <w:color w:val="159C9C"/>
          <w:sz w:val="26"/>
        </w:rPr>
        <w:t>The MEASURE Selection Check</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172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Letter</w:t>
            </w:r>
          </w:p>
        </w:tc>
        <w:tc>
          <w:tcPr>
            <w:tcW w:type="dxa" w:w="878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Selection Question</w:t>
            </w:r>
          </w:p>
        </w:tc>
      </w:tr>
      <w:tr>
        <w:trPr>
          <w:cantSplit/>
        </w:trPr>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M - Match the purpose</w:t>
            </w:r>
          </w:p>
        </w:tc>
        <w:tc>
          <w:tcPr>
            <w:tcW w:type="dxa" w:w="878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exact clinical question will the tool help answer? Screening, severity, function, risk, progress, interest, aptitude, or another permitted purpose?</w:t>
            </w:r>
          </w:p>
        </w:tc>
      </w:tr>
      <w:tr>
        <w:trPr>
          <w:cantSplit/>
        </w:trPr>
        <w:tc>
          <w:tcPr>
            <w:tcW w:type="dxa" w:w="172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 - Evidence and quality</w:t>
            </w:r>
          </w:p>
        </w:tc>
        <w:tc>
          <w:tcPr>
            <w:tcW w:type="dxa" w:w="878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is known about reliability, validity, norms, sensitivity, specificity, and recommended use?</w:t>
            </w:r>
          </w:p>
        </w:tc>
      </w:tr>
      <w:tr>
        <w:trPr>
          <w:cantSplit/>
        </w:trPr>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 - Appropriate population</w:t>
            </w:r>
          </w:p>
        </w:tc>
        <w:tc>
          <w:tcPr>
            <w:tcW w:type="dxa" w:w="878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Does the language, age range, culture, disability access, reading level, setting, and normative group fit the client?</w:t>
            </w:r>
          </w:p>
        </w:tc>
      </w:tr>
      <w:tr>
        <w:trPr>
          <w:cantSplit/>
        </w:trPr>
        <w:tc>
          <w:tcPr>
            <w:tcW w:type="dxa" w:w="172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 - Scope and skill</w:t>
            </w:r>
          </w:p>
        </w:tc>
        <w:tc>
          <w:tcPr>
            <w:tcW w:type="dxa" w:w="878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Is the tool within California LPCC scope and the counselor’s education, training, and experience?</w:t>
            </w:r>
          </w:p>
        </w:tc>
      </w:tr>
      <w:tr>
        <w:trPr>
          <w:cantSplit/>
        </w:trPr>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U - Understand limitations</w:t>
            </w:r>
          </w:p>
        </w:tc>
        <w:tc>
          <w:tcPr>
            <w:tcW w:type="dxa" w:w="878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can the result not establish? What response bias, context, missing data, or administration issue may affect it?</w:t>
            </w:r>
          </w:p>
        </w:tc>
      </w:tr>
      <w:tr>
        <w:trPr>
          <w:cantSplit/>
        </w:trPr>
        <w:tc>
          <w:tcPr>
            <w:tcW w:type="dxa" w:w="172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 - Record and integrate</w:t>
            </w:r>
          </w:p>
        </w:tc>
        <w:tc>
          <w:tcPr>
            <w:tcW w:type="dxa" w:w="878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Document consent when needed, administration conditions, source, score, interpretation, limitations, and how it fits other data.</w:t>
            </w:r>
          </w:p>
        </w:tc>
      </w:tr>
      <w:tr>
        <w:trPr>
          <w:cantSplit/>
        </w:trPr>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 - Evaluate change</w:t>
            </w:r>
          </w:p>
        </w:tc>
        <w:tc>
          <w:tcPr>
            <w:tcW w:type="dxa" w:w="878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Will the same or comparable measure be used at meaningful intervals, and what action will follow improvement, no change, or worsening?</w:t>
            </w:r>
          </w:p>
        </w:tc>
      </w:tr>
    </w:tbl>
    <w:p>
      <w:pPr>
        <w:spacing w:after="0"/>
      </w:pPr>
    </w:p>
    <w:p>
      <w:pPr>
        <w:pStyle w:val="Heading2"/>
        <w:spacing w:before="140" w:after="80"/>
        <w:keepNext/>
      </w:pPr>
      <w:r>
        <w:rPr>
          <w:rFonts w:ascii="Arial" w:hAnsi="Arial" w:eastAsia="Arial"/>
          <w:b/>
          <w:color w:val="159C9C"/>
          <w:sz w:val="26"/>
        </w:rPr>
        <w:t>California LPCC Assessment Boundaries</w:t>
      </w:r>
    </w:p>
    <w:p>
      <w:pPr>
        <w:spacing w:before="0" w:after="100" w:line="254" w:lineRule="auto"/>
      </w:pPr>
      <w:r>
        <w:rPr>
          <w:rFonts w:ascii="Arial" w:hAnsi="Arial" w:eastAsia="Arial"/>
          <w:b w:val="0"/>
          <w:i w:val="0"/>
          <w:color w:val="1F2937"/>
          <w:sz w:val="20"/>
        </w:rPr>
        <w:t>California law defines assessment broadly enough to include many counseling tests and tools, but it also names explicit exclusions. A tool may be legally within profession-wide scope and still be outside an individual counselor’s competence. Conversely, a counselor should not avoid all assessment merely because specialized testing has limits.</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525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Within the Counseling Assessment Function</w:t>
            </w:r>
          </w:p>
        </w:tc>
        <w:tc>
          <w:tcPr>
            <w:tcW w:type="dxa" w:w="525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Requires Referral or Specialized Authority/Competence</w:t>
            </w:r>
          </w:p>
        </w:tc>
      </w:tr>
      <w:tr>
        <w:trPr>
          <w:cantSplit/>
        </w:trPr>
        <w:tc>
          <w:tcPr>
            <w:tcW w:type="dxa" w:w="52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Selecting and using appropriate screening, symptom, interest, aptitude, functioning, behavioral, developmental, and outcome tools for counseling purposes within competence.</w:t>
            </w:r>
          </w:p>
        </w:tc>
        <w:tc>
          <w:tcPr>
            <w:tcW w:type="dxa" w:w="52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Projective personality techniques; individually administered intelligence testing; neuropsychological testing; and the prohibited multi-test battery described in California law.</w:t>
            </w:r>
          </w:p>
        </w:tc>
      </w:tr>
      <w:tr>
        <w:trPr>
          <w:cantSplit/>
        </w:trPr>
        <w:tc>
          <w:tcPr>
            <w:tcW w:type="dxa" w:w="525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Integrating interview, observation, collateral, records, and measures to establish counseling goals and objectives.</w:t>
            </w:r>
          </w:p>
        </w:tc>
        <w:tc>
          <w:tcPr>
            <w:tcW w:type="dxa" w:w="525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Requests whose purpose or interpretation exceeds the counselor’s education, training, experience, or lawful scope.</w:t>
            </w:r>
          </w:p>
        </w:tc>
      </w:tr>
      <w:tr>
        <w:trPr>
          <w:cantSplit/>
        </w:trPr>
        <w:tc>
          <w:tcPr>
            <w:tcW w:type="dxa" w:w="52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Explaining results, limitations, and clinical implications in understandable language.</w:t>
            </w:r>
          </w:p>
        </w:tc>
        <w:tc>
          <w:tcPr>
            <w:tcW w:type="dxa" w:w="52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Representing a screening result as a definitive diagnosis or specialized forensic, disability, neurocognitive, or competency conclusion without authority and support.</w:t>
            </w:r>
          </w:p>
        </w:tc>
      </w:tr>
    </w:tbl>
    <w:p>
      <w:pPr>
        <w:spacing w:after="0"/>
      </w:pPr>
    </w:p>
    <w:p>
      <w:pPr>
        <w:pStyle w:val="Heading2"/>
        <w:spacing w:before="140" w:after="80"/>
        <w:keepNext/>
      </w:pPr>
      <w:r>
        <w:rPr>
          <w:rFonts w:ascii="Arial" w:hAnsi="Arial" w:eastAsia="Arial"/>
          <w:b/>
          <w:color w:val="159C9C"/>
          <w:sz w:val="26"/>
        </w:rPr>
        <w:t>Collateral Information: Helpful but Controlled</w:t>
      </w:r>
    </w:p>
    <w:p>
      <w:pPr>
        <w:pStyle w:val="ListBullet"/>
        <w:spacing w:after="50" w:line="250" w:lineRule="auto"/>
        <w:keepLines/>
      </w:pPr>
      <w:r>
        <w:rPr>
          <w:rFonts w:ascii="Arial" w:hAnsi="Arial" w:eastAsia="Arial"/>
          <w:color w:val="1F2937"/>
          <w:sz w:val="20"/>
        </w:rPr>
        <w:t>Clarify why collateral information is needed and how it may change the clinical decision.</w:t>
      </w:r>
    </w:p>
    <w:p>
      <w:pPr>
        <w:pStyle w:val="ListBullet"/>
        <w:spacing w:after="50" w:line="250" w:lineRule="auto"/>
        <w:keepLines/>
      </w:pPr>
      <w:r>
        <w:rPr>
          <w:rFonts w:ascii="Arial" w:hAnsi="Arial" w:eastAsia="Arial"/>
          <w:color w:val="1F2937"/>
          <w:sz w:val="20"/>
        </w:rPr>
        <w:t>Obtain appropriate authorization before routine contact or record exchange, unless a lawful exception applies.</w:t>
      </w:r>
    </w:p>
    <w:p>
      <w:pPr>
        <w:pStyle w:val="ListBullet"/>
        <w:spacing w:after="50" w:line="250" w:lineRule="auto"/>
        <w:keepLines/>
      </w:pPr>
      <w:r>
        <w:rPr>
          <w:rFonts w:ascii="Arial" w:hAnsi="Arial" w:eastAsia="Arial"/>
          <w:color w:val="1F2937"/>
          <w:sz w:val="20"/>
        </w:rPr>
        <w:t>Define the information requested rather than seeking unlimited access by default.</w:t>
      </w:r>
    </w:p>
    <w:p>
      <w:pPr>
        <w:pStyle w:val="ListBullet"/>
        <w:spacing w:after="50" w:line="250" w:lineRule="auto"/>
        <w:keepLines/>
      </w:pPr>
      <w:r>
        <w:rPr>
          <w:rFonts w:ascii="Arial" w:hAnsi="Arial" w:eastAsia="Arial"/>
          <w:color w:val="1F2937"/>
          <w:sz w:val="20"/>
        </w:rPr>
        <w:t>Distinguish collateral report from direct observation and from the client’s account.</w:t>
      </w:r>
    </w:p>
    <w:p>
      <w:pPr>
        <w:pStyle w:val="ListBullet"/>
        <w:spacing w:after="50" w:line="250" w:lineRule="auto"/>
        <w:keepLines/>
      </w:pPr>
      <w:r>
        <w:rPr>
          <w:rFonts w:ascii="Arial" w:hAnsi="Arial" w:eastAsia="Arial"/>
          <w:color w:val="1F2937"/>
          <w:sz w:val="20"/>
        </w:rPr>
        <w:t>Consider the collateral source’s relationship, incentives, opportunities to observe, culture, and possible bias.</w:t>
      </w:r>
    </w:p>
    <w:p>
      <w:pPr>
        <w:pStyle w:val="ListBullet"/>
        <w:spacing w:after="50" w:line="250" w:lineRule="auto"/>
        <w:keepLines/>
      </w:pPr>
      <w:r>
        <w:rPr>
          <w:rFonts w:ascii="Arial" w:hAnsi="Arial" w:eastAsia="Arial"/>
          <w:color w:val="1F2937"/>
          <w:sz w:val="20"/>
        </w:rPr>
        <w:t>Discuss meaningful discrepancies with the client when clinically appropriate instead of choosing one source automatically.</w:t>
      </w:r>
    </w:p>
    <w:p>
      <w:pPr>
        <w:pStyle w:val="ListBullet"/>
        <w:spacing w:after="50" w:line="250" w:lineRule="auto"/>
        <w:keepLines/>
      </w:pPr>
      <w:r>
        <w:rPr>
          <w:rFonts w:ascii="Arial" w:hAnsi="Arial" w:eastAsia="Arial"/>
          <w:color w:val="1F2937"/>
          <w:sz w:val="20"/>
        </w:rPr>
        <w:t>Document the source, date, consent or authority, information received, limitations, and how it affected the plan.</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TIP</w:t>
            </w:r>
          </w:p>
          <w:p>
            <w:pPr>
              <w:spacing w:after="20" w:line="250" w:lineRule="auto"/>
            </w:pPr>
            <w:r>
              <w:rPr>
                <w:rFonts w:ascii="Arial" w:hAnsi="Arial" w:eastAsia="Arial"/>
                <w:color w:val="1F2937"/>
                <w:sz w:val="20"/>
              </w:rPr>
              <w:t>When a family member calls with information and no immediate safety exception is described, receiving information may differ from disclosing information. The counselor should protect confidentiality, clarify consent and purpose, document the source, and avoid confirming the client’s status or treatment without authority.</w:t>
            </w:r>
          </w:p>
        </w:tc>
      </w:tr>
    </w:tbl>
    <w:p>
      <w:pPr>
        <w:spacing w:after="0"/>
      </w:pPr>
    </w:p>
    <w:p>
      <w:pPr>
        <w:pStyle w:val="Heading2"/>
        <w:spacing w:before="140" w:after="80"/>
        <w:keepNext/>
      </w:pPr>
      <w:r>
        <w:rPr>
          <w:rFonts w:ascii="Arial" w:hAnsi="Arial" w:eastAsia="Arial"/>
          <w:b/>
          <w:color w:val="159C9C"/>
          <w:sz w:val="26"/>
        </w:rPr>
        <w:t>Baseline and Outcome Measurement</w:t>
      </w:r>
    </w:p>
    <w:p>
      <w:pPr>
        <w:spacing w:before="0" w:after="100" w:line="254" w:lineRule="auto"/>
      </w:pPr>
      <w:r>
        <w:rPr>
          <w:rFonts w:ascii="Arial" w:hAnsi="Arial" w:eastAsia="Arial"/>
          <w:b w:val="0"/>
          <w:i w:val="0"/>
          <w:color w:val="1F2937"/>
          <w:sz w:val="20"/>
        </w:rPr>
        <w:t>A baseline is useful when it is tied to a target and a decision. Repeated measurement should help the counselor notice improvement, no change, deterioration, side effects, access problems, or a need to revise the formulation or plan. Use multiple data sources when a single measure does not capture functioning, culture, context, or client goals.</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244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Measurement Point</w:t>
            </w:r>
          </w:p>
        </w:tc>
        <w:tc>
          <w:tcPr>
            <w:tcW w:type="dxa" w:w="806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Clinical Question</w:t>
            </w:r>
          </w:p>
        </w:tc>
      </w:tr>
      <w:tr>
        <w:trPr>
          <w:cantSplit/>
        </w:trPr>
        <w:tc>
          <w:tcPr>
            <w:tcW w:type="dxa" w:w="24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Baseline</w:t>
            </w:r>
          </w:p>
        </w:tc>
        <w:tc>
          <w:tcPr>
            <w:tcW w:type="dxa" w:w="806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is the initial severity, frequency, functioning, or target behavior before intervention?</w:t>
            </w:r>
          </w:p>
        </w:tc>
      </w:tr>
      <w:tr>
        <w:trPr>
          <w:cantSplit/>
        </w:trPr>
        <w:tc>
          <w:tcPr>
            <w:tcW w:type="dxa" w:w="244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Early follow-up</w:t>
            </w:r>
          </w:p>
        </w:tc>
        <w:tc>
          <w:tcPr>
            <w:tcW w:type="dxa" w:w="806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Is the client engaging, tolerating the approach, and showing expected early movement?</w:t>
            </w:r>
          </w:p>
        </w:tc>
      </w:tr>
      <w:tr>
        <w:trPr>
          <w:cantSplit/>
        </w:trPr>
        <w:tc>
          <w:tcPr>
            <w:tcW w:type="dxa" w:w="24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Ongoing review</w:t>
            </w:r>
          </w:p>
        </w:tc>
        <w:tc>
          <w:tcPr>
            <w:tcW w:type="dxa" w:w="806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Is change clinically meaningful, consistent across sources, and connected to the client’s priorities?</w:t>
            </w:r>
          </w:p>
        </w:tc>
      </w:tr>
      <w:tr>
        <w:trPr>
          <w:cantSplit/>
        </w:trPr>
        <w:tc>
          <w:tcPr>
            <w:tcW w:type="dxa" w:w="244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No change or worsening</w:t>
            </w:r>
          </w:p>
        </w:tc>
        <w:tc>
          <w:tcPr>
            <w:tcW w:type="dxa" w:w="806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Was the assessment incomplete, diagnosis wrong, intervention mismatched, dose insufficient, barrier unaddressed, or level of care inadequate?</w:t>
            </w:r>
          </w:p>
        </w:tc>
      </w:tr>
      <w:tr>
        <w:trPr>
          <w:cantSplit/>
        </w:trPr>
        <w:tc>
          <w:tcPr>
            <w:tcW w:type="dxa" w:w="24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Termination or transition</w:t>
            </w:r>
          </w:p>
        </w:tc>
        <w:tc>
          <w:tcPr>
            <w:tcW w:type="dxa" w:w="806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changed, what remains, what risks or relapse signs persist, and what continuity plan is needed?</w:t>
            </w:r>
          </w:p>
        </w:tc>
      </w:tr>
    </w:tbl>
    <w:p>
      <w:pPr>
        <w:spacing w:after="0"/>
      </w:pPr>
    </w:p>
    <w:p>
      <w:pPr>
        <w:pStyle w:val="Heading2"/>
        <w:spacing w:before="140" w:after="80"/>
        <w:keepNext/>
      </w:pPr>
      <w:r>
        <w:rPr>
          <w:rFonts w:ascii="Arial" w:hAnsi="Arial" w:eastAsia="Arial"/>
          <w:b/>
          <w:color w:val="159C9C"/>
          <w:sz w:val="26"/>
        </w:rPr>
        <w:t>Instrument and Collateral Selection Worksheet</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67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Prompt</w:t>
            </w:r>
          </w:p>
        </w:tc>
        <w:tc>
          <w:tcPr>
            <w:tcW w:type="dxa" w:w="684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Student Notes</w:t>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Exact clinical purpose or decision</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Tool or collateral source under consideration</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Evidence, norms, language, culture, age, disability, and setting fit</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California scope and counselor competence</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Administration conditions and consent or authorization</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Limitations, possible bias, and missing data</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How results will be integrated and explained</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action follows each possible result</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bl>
    <w:p>
      <w:pPr>
        <w:spacing w:after="0"/>
      </w:pPr>
    </w:p>
    <w:p>
      <w:pPr>
        <w:pStyle w:val="Heading2"/>
        <w:spacing w:before="140" w:after="80"/>
        <w:keepNext/>
      </w:pPr>
      <w:r>
        <w:rPr>
          <w:rFonts w:ascii="Arial" w:hAnsi="Arial" w:eastAsia="Arial"/>
          <w:b/>
          <w:color w:val="159C9C"/>
          <w:sz w:val="26"/>
        </w:rPr>
        <w:t>Chapter 4 Summary</w:t>
      </w:r>
    </w:p>
    <w:p>
      <w:pPr>
        <w:pStyle w:val="ListBullet"/>
        <w:spacing w:after="50" w:line="250" w:lineRule="auto"/>
        <w:keepLines/>
      </w:pPr>
      <w:r>
        <w:rPr>
          <w:rFonts w:ascii="Arial" w:hAnsi="Arial" w:eastAsia="Arial"/>
          <w:color w:val="1F2937"/>
          <w:sz w:val="20"/>
        </w:rPr>
        <w:t>Screening identifies possibilities; assessment integrates data; diagnosis requires criteria and differential reasoning.</w:t>
      </w:r>
    </w:p>
    <w:p>
      <w:pPr>
        <w:pStyle w:val="ListBullet"/>
        <w:spacing w:after="50" w:line="250" w:lineRule="auto"/>
        <w:keepLines/>
      </w:pPr>
      <w:r>
        <w:rPr>
          <w:rFonts w:ascii="Arial" w:hAnsi="Arial" w:eastAsia="Arial"/>
          <w:color w:val="1F2937"/>
          <w:sz w:val="20"/>
        </w:rPr>
        <w:t>Select tools by purpose, evidence, population fit, scope, competence, limitations, and planned clinical action.</w:t>
      </w:r>
    </w:p>
    <w:p>
      <w:pPr>
        <w:pStyle w:val="ListBullet"/>
        <w:spacing w:after="50" w:line="250" w:lineRule="auto"/>
        <w:keepLines/>
      </w:pPr>
      <w:r>
        <w:rPr>
          <w:rFonts w:ascii="Arial" w:hAnsi="Arial" w:eastAsia="Arial"/>
          <w:color w:val="1F2937"/>
          <w:sz w:val="20"/>
        </w:rPr>
        <w:t>Collateral information is a source, not an automatic truth; protect confidentiality and document source limitations.</w:t>
      </w:r>
    </w:p>
    <w:p>
      <w:pPr>
        <w:pStyle w:val="ListBullet"/>
        <w:spacing w:after="50" w:line="250" w:lineRule="auto"/>
        <w:keepLines/>
      </w:pPr>
      <w:r>
        <w:rPr>
          <w:rFonts w:ascii="Arial" w:hAnsi="Arial" w:eastAsia="Arial"/>
          <w:color w:val="1F2937"/>
          <w:sz w:val="20"/>
        </w:rPr>
        <w:t>Outcome measurement is valuable only when results influence review, revision, referral, or continuity decisions.</w:t>
      </w:r>
    </w:p>
    <w:p>
      <w:r>
        <w:br w:type="page"/>
      </w:r>
    </w:p>
    <w:tbl>
      <w:tblPr>
        <w:tblW w:type="auto" w:w="0"/>
        <w:jc w:val="center"/>
        <w:tblLayout w:type="fixed"/>
        <w:tblLook w:firstColumn="1" w:firstRow="1" w:lastColumn="0" w:lastRow="0" w:noHBand="0" w:noVBand="1" w:val="04A0"/>
      </w:tblPr>
      <w:tblGrid>
        <w:gridCol w:w="5155"/>
        <w:gridCol w:w="5155"/>
      </w:tblGrid>
      <w:tr>
        <w:tc>
          <w:tcPr>
            <w:tcW w:type="dxa" w:w="1008"/>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36"/>
              </w:rPr>
              <w:t>5</w:t>
            </w:r>
          </w:p>
        </w:tc>
        <w:tc>
          <w:tcPr>
            <w:tcW w:type="dxa" w:w="9504"/>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Telehealth Intake and Assessment Integration</w:t>
            </w:r>
          </w:p>
        </w:tc>
      </w:tr>
    </w:tbl>
    <w:p>
      <w:pPr>
        <w:spacing w:before="100" w:after="180"/>
      </w:pPr>
      <w:r>
        <w:rPr>
          <w:rFonts w:ascii="Arial" w:hAnsi="Arial" w:eastAsia="Arial"/>
          <w:i/>
          <w:color w:val="4E5B6B"/>
          <w:sz w:val="21"/>
        </w:rPr>
        <w:t>Telehealth changes the conditions of assessment, not the need for clinical rigor.</w:t>
      </w:r>
    </w:p>
    <w:p>
      <w:pPr>
        <w:pStyle w:val="Heading2"/>
        <w:spacing w:before="140" w:after="80"/>
        <w:keepNext/>
      </w:pPr>
      <w:r>
        <w:rPr>
          <w:rFonts w:ascii="Arial" w:hAnsi="Arial" w:eastAsia="Arial"/>
          <w:b/>
          <w:color w:val="159C9C"/>
          <w:sz w:val="26"/>
        </w:rPr>
        <w:t>The REMOTE Telehealth Intake Check</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295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Step</w:t>
            </w:r>
          </w:p>
        </w:tc>
        <w:tc>
          <w:tcPr>
            <w:tcW w:type="dxa" w:w="756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What to Verify</w:t>
            </w:r>
          </w:p>
        </w:tc>
      </w:tr>
      <w:tr>
        <w:trPr>
          <w:cantSplit/>
        </w:trPr>
        <w:tc>
          <w:tcPr>
            <w:tcW w:type="dxa" w:w="29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 - Region and exact location</w:t>
            </w:r>
          </w:p>
        </w:tc>
        <w:tc>
          <w:tcPr>
            <w:tcW w:type="dxa" w:w="75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Where is the client physically located now? Is the counselor legally authorized to provide services there? What local emergency resources apply?</w:t>
            </w:r>
          </w:p>
        </w:tc>
      </w:tr>
      <w:tr>
        <w:trPr>
          <w:cantSplit/>
        </w:trPr>
        <w:tc>
          <w:tcPr>
            <w:tcW w:type="dxa" w:w="295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 - Emergency and disconnection plan</w:t>
            </w:r>
          </w:p>
        </w:tc>
        <w:tc>
          <w:tcPr>
            <w:tcW w:type="dxa" w:w="756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Current phone number, local emergency resources, support person when appropriate, authorization, and what happens if the connection fails.</w:t>
            </w:r>
          </w:p>
        </w:tc>
      </w:tr>
      <w:tr>
        <w:trPr>
          <w:cantSplit/>
        </w:trPr>
        <w:tc>
          <w:tcPr>
            <w:tcW w:type="dxa" w:w="29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M - Method and modality fit</w:t>
            </w:r>
          </w:p>
        </w:tc>
        <w:tc>
          <w:tcPr>
            <w:tcW w:type="dxa" w:w="75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Video, audio, platform, device, bandwidth, privacy, sensory or cognitive accessibility, and whether telehealth can support the assessment purpose.</w:t>
            </w:r>
          </w:p>
        </w:tc>
      </w:tr>
      <w:tr>
        <w:trPr>
          <w:cantSplit/>
        </w:trPr>
        <w:tc>
          <w:tcPr>
            <w:tcW w:type="dxa" w:w="295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O - Orientation and consent</w:t>
            </w:r>
          </w:p>
        </w:tc>
        <w:tc>
          <w:tcPr>
            <w:tcW w:type="dxa" w:w="756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Identity, who is present, telehealth risks and limits, privacy, documentation of verbal or written consent, and alternatives including in-person care.</w:t>
            </w:r>
          </w:p>
        </w:tc>
      </w:tr>
      <w:tr>
        <w:trPr>
          <w:cantSplit/>
        </w:trPr>
        <w:tc>
          <w:tcPr>
            <w:tcW w:type="dxa" w:w="29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 - Technology and access</w:t>
            </w:r>
          </w:p>
        </w:tc>
        <w:tc>
          <w:tcPr>
            <w:tcW w:type="dxa" w:w="75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Digital literacy, language access, captions, interpreter integration, portal use, forms, headphones, and backup method.</w:t>
            </w:r>
          </w:p>
        </w:tc>
      </w:tr>
      <w:tr>
        <w:trPr>
          <w:cantSplit/>
        </w:trPr>
        <w:tc>
          <w:tcPr>
            <w:tcW w:type="dxa" w:w="295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 - Environment and observation limits</w:t>
            </w:r>
          </w:p>
        </w:tc>
        <w:tc>
          <w:tcPr>
            <w:tcW w:type="dxa" w:w="756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Privacy, distractions, safety, camera view, other people, driving, public spaces, and what cannot be adequately observed remotely.</w:t>
            </w:r>
          </w:p>
        </w:tc>
      </w:tr>
    </w:tbl>
    <w:p>
      <w:pPr>
        <w:spacing w:after="0"/>
      </w:pPr>
    </w:p>
    <w:p>
      <w:pPr>
        <w:pStyle w:val="Heading2"/>
        <w:spacing w:before="140" w:after="80"/>
        <w:keepNext/>
      </w:pPr>
      <w:r>
        <w:rPr>
          <w:rFonts w:ascii="Arial" w:hAnsi="Arial" w:eastAsia="Arial"/>
          <w:b/>
          <w:color w:val="159C9C"/>
          <w:sz w:val="26"/>
        </w:rPr>
        <w:t>California Telehealth Consent</w:t>
      </w:r>
    </w:p>
    <w:p>
      <w:pPr>
        <w:spacing w:before="0" w:after="100" w:line="254" w:lineRule="auto"/>
      </w:pPr>
      <w:r>
        <w:rPr>
          <w:rFonts w:ascii="Arial" w:hAnsi="Arial" w:eastAsia="Arial"/>
          <w:b w:val="0"/>
          <w:i w:val="0"/>
          <w:color w:val="1F2937"/>
          <w:sz w:val="20"/>
        </w:rPr>
        <w:t>California law requires the health care provider initiating telehealth to inform the patient about telehealth, obtain verbal or written consent before delivery, and document that consent. Telehealth does not expand scope of practice, and ordinary confidentiality, professional responsibility, and standards of practice continue to apply.</w:t>
      </w: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CTA REMEMBER</w:t>
            </w:r>
          </w:p>
          <w:p>
            <w:pPr>
              <w:spacing w:after="20" w:line="250" w:lineRule="auto"/>
            </w:pPr>
            <w:r>
              <w:rPr>
                <w:rFonts w:ascii="Arial" w:hAnsi="Arial" w:eastAsia="Arial"/>
                <w:color w:val="1F2937"/>
                <w:sz w:val="20"/>
              </w:rPr>
              <w:t>Telehealth consent is necessary but not sufficient. The counselor must also verify location, identity, privacy, technology, emergency planning, modality fit, access, and legal authority for the client’s location.</w:t>
            </w:r>
          </w:p>
        </w:tc>
      </w:tr>
    </w:tbl>
    <w:p>
      <w:pPr>
        <w:spacing w:after="0"/>
      </w:pPr>
    </w:p>
    <w:p>
      <w:pPr>
        <w:pStyle w:val="Heading2"/>
        <w:spacing w:before="140" w:after="80"/>
        <w:keepNext/>
      </w:pPr>
      <w:r>
        <w:rPr>
          <w:rFonts w:ascii="Arial" w:hAnsi="Arial" w:eastAsia="Arial"/>
          <w:b/>
          <w:color w:val="159C9C"/>
          <w:sz w:val="26"/>
        </w:rPr>
        <w:t>Telehealth Observations Have Limits</w:t>
      </w:r>
    </w:p>
    <w:p>
      <w:pPr>
        <w:pStyle w:val="ListBullet"/>
        <w:spacing w:after="50" w:line="250" w:lineRule="auto"/>
        <w:keepLines/>
      </w:pPr>
      <w:r>
        <w:rPr>
          <w:rFonts w:ascii="Arial" w:hAnsi="Arial" w:eastAsia="Arial"/>
          <w:color w:val="1F2937"/>
          <w:sz w:val="20"/>
        </w:rPr>
        <w:t>A camera may not show gait, full motor activity, injuries, environmental hazards, substance use, or who else is nearby.</w:t>
      </w:r>
    </w:p>
    <w:p>
      <w:pPr>
        <w:pStyle w:val="ListBullet"/>
        <w:spacing w:after="50" w:line="250" w:lineRule="auto"/>
        <w:keepLines/>
      </w:pPr>
      <w:r>
        <w:rPr>
          <w:rFonts w:ascii="Arial" w:hAnsi="Arial" w:eastAsia="Arial"/>
          <w:color w:val="1F2937"/>
          <w:sz w:val="20"/>
        </w:rPr>
        <w:t>Audio delays, poor bandwidth, muted sound, camera position, lighting, headphones, or device processing can alter apparent latency, eye contact, affect, and speech.</w:t>
      </w:r>
    </w:p>
    <w:p>
      <w:pPr>
        <w:pStyle w:val="ListBullet"/>
        <w:spacing w:after="50" w:line="250" w:lineRule="auto"/>
        <w:keepLines/>
      </w:pPr>
      <w:r>
        <w:rPr>
          <w:rFonts w:ascii="Arial" w:hAnsi="Arial" w:eastAsia="Arial"/>
          <w:color w:val="1F2937"/>
          <w:sz w:val="20"/>
        </w:rPr>
        <w:t>The client may answer briefly because of privacy, fear of being overheard, data cost, disability access, or unfamiliar technology.</w:t>
      </w:r>
    </w:p>
    <w:p>
      <w:pPr>
        <w:pStyle w:val="ListBullet"/>
        <w:spacing w:after="50" w:line="250" w:lineRule="auto"/>
        <w:keepLines/>
      </w:pPr>
      <w:r>
        <w:rPr>
          <w:rFonts w:ascii="Arial" w:hAnsi="Arial" w:eastAsia="Arial"/>
          <w:color w:val="1F2937"/>
          <w:sz w:val="20"/>
        </w:rPr>
        <w:t>When limitations materially affect safety or accuracy, modify the assessment, change modality, arrange in-person evaluation, or refer rather than pretending the data are complete.</w:t>
      </w:r>
    </w:p>
    <w:p>
      <w:pPr>
        <w:pStyle w:val="Heading2"/>
        <w:spacing w:before="140" w:after="80"/>
        <w:keepNext/>
      </w:pPr>
      <w:r>
        <w:rPr>
          <w:rFonts w:ascii="Arial" w:hAnsi="Arial" w:eastAsia="Arial"/>
          <w:b/>
          <w:color w:val="159C9C"/>
          <w:sz w:val="26"/>
        </w:rPr>
        <w:t>Clinical Application: The Client in a Parked Car</w:t>
      </w:r>
    </w:p>
    <w:p>
      <w:pPr>
        <w:spacing w:before="0" w:after="100" w:line="254" w:lineRule="auto"/>
      </w:pPr>
      <w:r>
        <w:rPr>
          <w:rFonts w:ascii="Arial" w:hAnsi="Arial" w:eastAsia="Arial"/>
          <w:b w:val="0"/>
          <w:i w:val="0"/>
          <w:color w:val="1F2937"/>
          <w:sz w:val="20"/>
        </w:rPr>
        <w:t>A client joins an initial video session from a parked car outside work. The client confirms being alone but says a supervisor may approach at any time. The counselor should verify exact location, discuss privacy and the option to reschedule or use another safe setting, confirm emergency and disconnection plans, and determine whether a limited orientation can occur without collecting sensitive history. “The car is private enough” is not an automatic conclusion, and ending without offering alternatives may create an unnecessary access barrier.</w:t>
      </w:r>
    </w:p>
    <w:p>
      <w:pPr>
        <w:pStyle w:val="Heading2"/>
        <w:spacing w:before="140" w:after="80"/>
        <w:keepNext/>
      </w:pPr>
      <w:r>
        <w:rPr>
          <w:rFonts w:ascii="Arial" w:hAnsi="Arial" w:eastAsia="Arial"/>
          <w:b/>
          <w:color w:val="159C9C"/>
          <w:sz w:val="26"/>
        </w:rPr>
        <w:t>Telehealth Intake Adaptation Worksheet</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67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Prompt</w:t>
            </w:r>
          </w:p>
        </w:tc>
        <w:tc>
          <w:tcPr>
            <w:tcW w:type="dxa" w:w="684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Student Notes</w:t>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Client identity, exact location, and counselor authorization</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Current phone number, local emergency resources, support contact, and disconnection plan</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Telehealth consent and teach-back</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Who is present and whether the client freely consents to their presence</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Privacy, safety, driving/public-space concerns, and environmental limits</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Language, interpreter, disability, device, bandwidth, and digital-literacy access</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can be assessed reliably through this modality</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requires modification, in-person evaluation, consultation, or referral</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bl>
    <w:p>
      <w:pPr>
        <w:spacing w:after="0"/>
      </w:pPr>
    </w:p>
    <w:p>
      <w:pPr>
        <w:pStyle w:val="Heading2"/>
        <w:spacing w:before="140" w:after="80"/>
        <w:keepNext/>
      </w:pPr>
      <w:r>
        <w:rPr>
          <w:rFonts w:ascii="Arial" w:hAnsi="Arial" w:eastAsia="Arial"/>
          <w:b/>
          <w:color w:val="159C9C"/>
          <w:sz w:val="26"/>
        </w:rPr>
        <w:t>Chapter 5 Summary</w:t>
      </w:r>
    </w:p>
    <w:p>
      <w:pPr>
        <w:pStyle w:val="ListBullet"/>
        <w:spacing w:after="50" w:line="250" w:lineRule="auto"/>
        <w:keepLines/>
      </w:pPr>
      <w:r>
        <w:rPr>
          <w:rFonts w:ascii="Arial" w:hAnsi="Arial" w:eastAsia="Arial"/>
          <w:color w:val="1F2937"/>
          <w:sz w:val="20"/>
        </w:rPr>
        <w:t>Verify the client’s exact location and legal service conditions before assuming a telehealth session can continue.</w:t>
      </w:r>
    </w:p>
    <w:p>
      <w:pPr>
        <w:pStyle w:val="ListBullet"/>
        <w:spacing w:after="50" w:line="250" w:lineRule="auto"/>
        <w:keepLines/>
      </w:pPr>
      <w:r>
        <w:rPr>
          <w:rFonts w:ascii="Arial" w:hAnsi="Arial" w:eastAsia="Arial"/>
          <w:color w:val="1F2937"/>
          <w:sz w:val="20"/>
        </w:rPr>
        <w:t>Document telehealth consent and maintain ordinary scope, confidentiality, and professional standards.</w:t>
      </w:r>
    </w:p>
    <w:p>
      <w:pPr>
        <w:pStyle w:val="ListBullet"/>
        <w:spacing w:after="50" w:line="250" w:lineRule="auto"/>
        <w:keepLines/>
      </w:pPr>
      <w:r>
        <w:rPr>
          <w:rFonts w:ascii="Arial" w:hAnsi="Arial" w:eastAsia="Arial"/>
          <w:color w:val="1F2937"/>
          <w:sz w:val="20"/>
        </w:rPr>
        <w:t>Create an emergency and disconnection plan before a crisis occurs.</w:t>
      </w:r>
    </w:p>
    <w:p>
      <w:pPr>
        <w:pStyle w:val="ListBullet"/>
        <w:spacing w:after="50" w:line="250" w:lineRule="auto"/>
        <w:keepLines/>
      </w:pPr>
      <w:r>
        <w:rPr>
          <w:rFonts w:ascii="Arial" w:hAnsi="Arial" w:eastAsia="Arial"/>
          <w:color w:val="1F2937"/>
          <w:sz w:val="20"/>
        </w:rPr>
        <w:t>Treat technology, privacy, environment, language, and accessibility as assessment conditions that can alter data quality.</w:t>
      </w:r>
    </w:p>
    <w:p>
      <w:pPr>
        <w:pStyle w:val="ListBullet"/>
        <w:spacing w:after="50" w:line="250" w:lineRule="auto"/>
        <w:keepLines/>
      </w:pPr>
      <w:r>
        <w:rPr>
          <w:rFonts w:ascii="Arial" w:hAnsi="Arial" w:eastAsia="Arial"/>
          <w:color w:val="1F2937"/>
          <w:sz w:val="20"/>
        </w:rPr>
        <w:t>Change modality or arrange additional evaluation when remote limitations materially affect safety or clinical accuracy.</w:t>
      </w:r>
    </w:p>
    <w:p>
      <w:pPr>
        <w:pStyle w:val="Heading1"/>
        <w:spacing w:before="100" w:after="80"/>
        <w:keepNext/>
      </w:pPr>
      <w:r>
        <w:rPr>
          <w:rFonts w:ascii="Arial" w:hAnsi="Arial" w:eastAsia="Arial"/>
          <w:b/>
          <w:color w:val="17365D"/>
          <w:sz w:val="23"/>
        </w:rPr>
        <w:t>Original CTA Cumulative Case Lab: Rafael</w:t>
      </w:r>
    </w:p>
    <w:p>
      <w:pPr>
        <w:spacing w:before="0" w:after="100" w:line="254" w:lineRule="auto"/>
      </w:pPr>
      <w:r>
        <w:rPr>
          <w:rFonts w:ascii="Arial" w:hAnsi="Arial" w:eastAsia="Arial"/>
          <w:b w:val="0"/>
          <w:i w:val="0"/>
          <w:color w:val="1F2937"/>
          <w:sz w:val="20"/>
        </w:rPr>
        <w:t>Use the case in sequence. At each part, write only from the facts currently available. Do not carry assumptions forward as if they were confirmed.</w:t>
      </w:r>
    </w:p>
    <w:p>
      <w:pPr>
        <w:pStyle w:val="Heading2"/>
        <w:spacing w:before="140" w:after="80"/>
        <w:keepNext/>
      </w:pPr>
      <w:r>
        <w:rPr>
          <w:rFonts w:ascii="Arial" w:hAnsi="Arial" w:eastAsia="Arial"/>
          <w:b/>
          <w:color w:val="159C9C"/>
          <w:sz w:val="26"/>
        </w:rPr>
        <w:t>Part 1: Intake and Meaning</w:t>
      </w:r>
    </w:p>
    <w:tbl>
      <w:tblPr>
        <w:tblW w:type="auto" w:w="0"/>
        <w:jc w:val="center"/>
        <w:tblLook w:firstColumn="1" w:firstRow="1" w:lastColumn="0" w:lastRow="0" w:noHBand="0" w:noVBand="1" w:val="04A0"/>
      </w:tblPr>
      <w:tblGrid>
        <w:gridCol w:w="10310"/>
      </w:tblGrid>
      <w:tr>
        <w:trPr>
          <w:cantSplit/>
        </w:trPr>
        <w:tc>
          <w:tcPr>
            <w:tcW w:type="dxa" w:w="10310"/>
            <w:shd w:fill="F2F7FB"/>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CASE FACTS</w:t>
            </w:r>
          </w:p>
          <w:p>
            <w:pPr>
              <w:spacing w:after="20" w:line="250" w:lineRule="auto"/>
            </w:pPr>
            <w:r>
              <w:rPr>
                <w:rFonts w:ascii="Arial" w:hAnsi="Arial" w:eastAsia="Arial"/>
                <w:color w:val="1F2937"/>
                <w:sz w:val="20"/>
              </w:rPr>
              <w:t>Rafael is a 43-year-old bilingual warehouse supervisor who requests telehealth because he works rotating shifts and shares one vehicle with his spouse. He joins from a parked car. His cousin is in the passenger seat and says she can interpret, although Rafael answers routine questions in English. Rafael describes “nervios,” chest tightness, poor sleep, irritability, and difficulty concentrating for six weeks after a workplace accident involving a coworker. He says he has not seen a physician because he cannot miss work. He asks whether the counselor can “just tell me if this is anxiety.”</w:t>
            </w:r>
          </w:p>
        </w:tc>
      </w:tr>
    </w:tbl>
    <w:p>
      <w:pPr>
        <w:spacing w:after="0"/>
      </w:pP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67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Prompt</w:t>
            </w:r>
          </w:p>
        </w:tc>
        <w:tc>
          <w:tcPr>
            <w:tcW w:type="dxa" w:w="684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Student Notes</w:t>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Immediate conditions to clarify before a detailed interview</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Consent, privacy, third-party, and language-access questions</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Client-defined meaning of “nervios” and desired change</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Medical, trauma, sleep, substance, and functioning questions that cannot be skipped</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would be premature to conclude at this point</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F7A8C"/>
                <w:sz w:val="21"/>
              </w:rPr>
              <w:t>DEBRIEF</w:t>
            </w:r>
          </w:p>
          <w:p>
            <w:pPr>
              <w:spacing w:after="20" w:line="250" w:lineRule="auto"/>
            </w:pPr>
            <w:r>
              <w:rPr>
                <w:rFonts w:ascii="Arial" w:hAnsi="Arial" w:eastAsia="Arial"/>
                <w:color w:val="1F2937"/>
                <w:sz w:val="20"/>
              </w:rPr>
              <w:t>Strong reasoning verifies location and privacy, asks Rafael’s language and interpreter preference privately, clarifies consent and the cousin’s role, assesses the chest symptoms and possible medical need, explores the workplace event and trauma symptoms, and gathers course and functioning data. A diagnosis from the presenting label or one symptom would be premature.</w:t>
            </w:r>
          </w:p>
        </w:tc>
      </w:tr>
    </w:tbl>
    <w:p>
      <w:pPr>
        <w:spacing w:after="0"/>
      </w:pPr>
    </w:p>
    <w:p>
      <w:pPr>
        <w:pStyle w:val="Heading2"/>
        <w:spacing w:before="140" w:after="80"/>
        <w:keepNext/>
      </w:pPr>
      <w:r>
        <w:rPr>
          <w:rFonts w:ascii="Arial" w:hAnsi="Arial" w:eastAsia="Arial"/>
          <w:b/>
          <w:color w:val="159C9C"/>
          <w:sz w:val="26"/>
        </w:rPr>
        <w:t>Part 2: Measures, MSE, and Collateral</w:t>
      </w:r>
    </w:p>
    <w:tbl>
      <w:tblPr>
        <w:tblW w:type="auto" w:w="0"/>
        <w:jc w:val="center"/>
        <w:tblLook w:firstColumn="1" w:firstRow="1" w:lastColumn="0" w:lastRow="0" w:noHBand="0" w:noVBand="1" w:val="04A0"/>
      </w:tblPr>
      <w:tblGrid>
        <w:gridCol w:w="10310"/>
      </w:tblGrid>
      <w:tr>
        <w:trPr>
          <w:cantSplit/>
        </w:trPr>
        <w:tc>
          <w:tcPr>
            <w:tcW w:type="dxa" w:w="10310"/>
            <w:shd w:fill="F2F7FB"/>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NEW FACTS</w:t>
            </w:r>
          </w:p>
          <w:p>
            <w:pPr>
              <w:spacing w:after="20" w:line="250" w:lineRule="auto"/>
            </w:pPr>
            <w:r>
              <w:rPr>
                <w:rFonts w:ascii="Arial" w:hAnsi="Arial" w:eastAsia="Arial"/>
                <w:color w:val="1F2937"/>
                <w:sz w:val="20"/>
              </w:rPr>
              <w:t>Rafael chooses English for most of the interview but requests Spanish-language written materials. He reports two energy drinks per shift, increased alcohol use on weekends, and waking with a racing heart. He is alert and fully oriented. Speech is normal in rate and volume. Mood is “on edge”; affect is tense but reactive. Thought process is linear. He denies hallucinations and current suicidal or homicidal thoughts. A brief anxiety screener is elevated. Rafael’s spouse asks to speak with the counselor and says Rafael snores loudly and sometimes stops breathing during sleep.</w:t>
            </w:r>
          </w:p>
        </w:tc>
      </w:tr>
    </w:tbl>
    <w:p>
      <w:pPr>
        <w:spacing w:after="0"/>
      </w:pP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67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Prompt</w:t>
            </w:r>
          </w:p>
        </w:tc>
        <w:tc>
          <w:tcPr>
            <w:tcW w:type="dxa" w:w="684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Student Notes</w:t>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Objective MSE description</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the elevated screener can and cannot establish</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How caffeine, alcohol, sleep, trauma, and medical factors affect the differential</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Consent and purpose for spouse collateral</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Appropriate medical or sleep-related referral considerations</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Baseline measures or functional targets that could support follow-up</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F7A8C"/>
                <w:sz w:val="21"/>
              </w:rPr>
              <w:t>DEBRIEF</w:t>
            </w:r>
          </w:p>
          <w:p>
            <w:pPr>
              <w:spacing w:after="20" w:line="250" w:lineRule="auto"/>
            </w:pPr>
            <w:r>
              <w:rPr>
                <w:rFonts w:ascii="Arial" w:hAnsi="Arial" w:eastAsia="Arial"/>
                <w:color w:val="1F2937"/>
                <w:sz w:val="20"/>
              </w:rPr>
              <w:t>The elevated score supports further assessment and a baseline, not a stand-alone diagnosis. The spouse’s report may be clinically relevant but requires appropriate authorization for routine two-way discussion. Sleep-disordered breathing and chest symptoms strengthen the need for medical evaluation. The counselor integrates trauma, anxiety, substance, sleep, and medical possibilities rather than selecting the most familiar label.</w:t>
            </w:r>
          </w:p>
        </w:tc>
      </w:tr>
    </w:tbl>
    <w:p>
      <w:pPr>
        <w:spacing w:after="0"/>
      </w:pPr>
    </w:p>
    <w:p>
      <w:pPr>
        <w:pStyle w:val="Heading2"/>
        <w:spacing w:before="140" w:after="80"/>
        <w:keepNext/>
      </w:pPr>
      <w:r>
        <w:rPr>
          <w:rFonts w:ascii="Arial" w:hAnsi="Arial" w:eastAsia="Arial"/>
          <w:b/>
          <w:color w:val="159C9C"/>
          <w:sz w:val="26"/>
        </w:rPr>
        <w:t>Part 3: Telehealth Change</w:t>
      </w:r>
    </w:p>
    <w:tbl>
      <w:tblPr>
        <w:tblW w:type="auto" w:w="0"/>
        <w:jc w:val="center"/>
        <w:tblLook w:firstColumn="1" w:firstRow="1" w:lastColumn="0" w:lastRow="0" w:noHBand="0" w:noVBand="1" w:val="04A0"/>
      </w:tblPr>
      <w:tblGrid>
        <w:gridCol w:w="10310"/>
      </w:tblGrid>
      <w:tr>
        <w:trPr>
          <w:cantSplit/>
        </w:trPr>
        <w:tc>
          <w:tcPr>
            <w:tcW w:type="dxa" w:w="10310"/>
            <w:shd w:fill="F2F7FB"/>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NEW FACTS</w:t>
            </w:r>
          </w:p>
          <w:p>
            <w:pPr>
              <w:spacing w:after="20" w:line="250" w:lineRule="auto"/>
            </w:pPr>
            <w:r>
              <w:rPr>
                <w:rFonts w:ascii="Arial" w:hAnsi="Arial" w:eastAsia="Arial"/>
                <w:color w:val="1F2937"/>
                <w:sz w:val="20"/>
              </w:rPr>
              <w:t>At the next scheduled session, Rafael states that he is temporarily staying with family in Nevada for two weeks. He is using audio-only service because the internet connection is unstable. He says the chest tightness is less frequent after reducing energy drinks, but he missed work twice and feels ashamed about asking for medical care.</w:t>
            </w:r>
          </w:p>
        </w:tc>
      </w:tr>
    </w:tbl>
    <w:p>
      <w:pPr>
        <w:spacing w:after="0"/>
      </w:pP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67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Prompt</w:t>
            </w:r>
          </w:p>
        </w:tc>
        <w:tc>
          <w:tcPr>
            <w:tcW w:type="dxa" w:w="684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Student Notes</w:t>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must be verified before continuing clinical services</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How audio-only limits the planned assessment</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Access and cultural factors affecting medical follow-through</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can be reinforced or clarified without exceeding legal authority</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Documentation and continuity actions</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F7A8C"/>
                <w:sz w:val="21"/>
              </w:rPr>
              <w:t>DEBRIEF</w:t>
            </w:r>
          </w:p>
          <w:p>
            <w:pPr>
              <w:spacing w:after="20" w:line="250" w:lineRule="auto"/>
            </w:pPr>
            <w:r>
              <w:rPr>
                <w:rFonts w:ascii="Arial" w:hAnsi="Arial" w:eastAsia="Arial"/>
                <w:color w:val="1F2937"/>
                <w:sz w:val="20"/>
              </w:rPr>
              <w:t>The counselor must verify Rafael’s exact location and whether practice is legally permitted there before continuing. The counselor also evaluates whether audio-only service can support the intended assessment, documents modality limits, and develops a lawful continuity plan. Shame, work demands, cost, transportation, and family meaning are access data that can be addressed without minimizing the medical referral.</w:t>
            </w:r>
          </w:p>
        </w:tc>
      </w:tr>
    </w:tbl>
    <w:p>
      <w:pPr>
        <w:spacing w:after="0"/>
      </w:pPr>
    </w:p>
    <w:p>
      <w:pPr>
        <w:pStyle w:val="Heading1"/>
        <w:spacing w:before="100" w:after="80"/>
        <w:keepNext/>
      </w:pPr>
      <w:r>
        <w:rPr>
          <w:rFonts w:ascii="Arial" w:hAnsi="Arial" w:eastAsia="Arial"/>
          <w:b/>
          <w:color w:val="17365D"/>
          <w:sz w:val="23"/>
        </w:rPr>
        <w:t>Workbook 3 Knowledge Check</w:t>
      </w:r>
    </w:p>
    <w:p>
      <w:pPr>
        <w:spacing w:before="0" w:after="100" w:line="254" w:lineRule="auto"/>
      </w:pPr>
      <w:r>
        <w:rPr>
          <w:rFonts w:ascii="Arial" w:hAnsi="Arial" w:eastAsia="Arial"/>
          <w:b w:val="0"/>
          <w:i w:val="0"/>
          <w:color w:val="1F2937"/>
          <w:sz w:val="20"/>
        </w:rPr>
        <w:t>Complete all 10 questions before reviewing the rationales. Mark confidence from 1 (guessing) to 3 (confident).</w:t>
      </w:r>
    </w:p>
    <w:p>
      <w:pPr>
        <w:spacing w:before="140" w:after="40"/>
        <w:keepNext/>
      </w:pPr>
      <w:r>
        <w:rPr>
          <w:rFonts w:ascii="Arial" w:hAnsi="Arial" w:eastAsia="Arial"/>
          <w:b/>
          <w:color w:val="1F7A8C"/>
          <w:sz w:val="17"/>
        </w:rPr>
        <w:t>LPCC-WB03-Q001 | Application | Easy | Primary concept: Informed consent</w:t>
      </w:r>
    </w:p>
    <w:p>
      <w:pPr>
        <w:spacing w:after="60" w:line="250" w:lineRule="auto"/>
        <w:keepNext/>
      </w:pPr>
      <w:r>
        <w:rPr>
          <w:rFonts w:ascii="Arial" w:hAnsi="Arial" w:eastAsia="Arial"/>
          <w:b/>
          <w:color w:val="1F2937"/>
          <w:sz w:val="20"/>
        </w:rPr>
        <w:t>A client has signed every intake form but asks whether the employer that referred them will receive session details. What should the counselor do FIRST?</w:t>
      </w:r>
    </w:p>
    <w:p>
      <w:pPr>
        <w:spacing w:after="40" w:line="247" w:lineRule="auto"/>
        <w:ind w:left="216" w:hanging="216"/>
        <w:keepNext/>
      </w:pPr>
      <w:r>
        <w:rPr>
          <w:rFonts w:ascii="Arial" w:hAnsi="Arial" w:eastAsia="Arial"/>
          <w:sz w:val="20"/>
        </w:rPr>
        <w:t>A. Begin the diagnostic interview because written consent is already complete.</w:t>
      </w:r>
    </w:p>
    <w:p>
      <w:pPr>
        <w:spacing w:after="40" w:line="247" w:lineRule="auto"/>
        <w:ind w:left="216" w:hanging="216"/>
        <w:keepNext/>
      </w:pPr>
      <w:r>
        <w:rPr>
          <w:rFonts w:ascii="Arial" w:hAnsi="Arial" w:eastAsia="Arial"/>
          <w:sz w:val="20"/>
        </w:rPr>
        <w:t>B. Clarify the counselor’s role, confidentiality and its limits, any authorized disclosure, and the client’s questions before proceeding.</w:t>
      </w:r>
    </w:p>
    <w:p>
      <w:pPr>
        <w:spacing w:after="40" w:line="247" w:lineRule="auto"/>
        <w:ind w:left="216" w:hanging="216"/>
        <w:keepNext/>
      </w:pPr>
      <w:r>
        <w:rPr>
          <w:rFonts w:ascii="Arial" w:hAnsi="Arial" w:eastAsia="Arial"/>
          <w:sz w:val="20"/>
        </w:rPr>
        <w:t>C. Tell the client that employers never receive mental health information.</w:t>
      </w:r>
    </w:p>
    <w:p>
      <w:pPr>
        <w:spacing w:after="40" w:line="247" w:lineRule="auto"/>
        <w:ind w:left="216" w:hanging="216"/>
        <w:keepNext/>
      </w:pPr>
      <w:r>
        <w:rPr>
          <w:rFonts w:ascii="Arial" w:hAnsi="Arial" w:eastAsia="Arial"/>
          <w:sz w:val="20"/>
        </w:rPr>
        <w:t>D. Ask the employer to explain the referral arrangement to the client.</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LPCC-WB03-Q002 | Application | Easy | Primary concept: Language access</w:t>
      </w:r>
    </w:p>
    <w:p>
      <w:pPr>
        <w:spacing w:after="60" w:line="250" w:lineRule="auto"/>
        <w:keepNext/>
      </w:pPr>
      <w:r>
        <w:rPr>
          <w:rFonts w:ascii="Arial" w:hAnsi="Arial" w:eastAsia="Arial"/>
          <w:b/>
          <w:color w:val="1F2937"/>
          <w:sz w:val="20"/>
        </w:rPr>
        <w:t>An adult client brings a family member to interpret during intake. The strongest initial response is to:</w:t>
      </w:r>
    </w:p>
    <w:p>
      <w:pPr>
        <w:spacing w:after="40" w:line="247" w:lineRule="auto"/>
        <w:ind w:left="216" w:hanging="216"/>
        <w:keepNext/>
      </w:pPr>
      <w:r>
        <w:rPr>
          <w:rFonts w:ascii="Arial" w:hAnsi="Arial" w:eastAsia="Arial"/>
          <w:sz w:val="20"/>
        </w:rPr>
        <w:t>A. Use the family member because the client brought them voluntarily.</w:t>
      </w:r>
    </w:p>
    <w:p>
      <w:pPr>
        <w:spacing w:after="40" w:line="247" w:lineRule="auto"/>
        <w:ind w:left="216" w:hanging="216"/>
        <w:keepNext/>
      </w:pPr>
      <w:r>
        <w:rPr>
          <w:rFonts w:ascii="Arial" w:hAnsi="Arial" w:eastAsia="Arial"/>
          <w:sz w:val="20"/>
        </w:rPr>
        <w:t>B. Ask the family member to leave permanently before discussing preferences.</w:t>
      </w:r>
    </w:p>
    <w:p>
      <w:pPr>
        <w:spacing w:after="40" w:line="247" w:lineRule="auto"/>
        <w:ind w:left="216" w:hanging="216"/>
        <w:keepNext/>
      </w:pPr>
      <w:r>
        <w:rPr>
          <w:rFonts w:ascii="Arial" w:hAnsi="Arial" w:eastAsia="Arial"/>
          <w:sz w:val="20"/>
        </w:rPr>
        <w:t>C. Speak privately with the client about language preference, confidentiality, voluntariness, and qualified interpreter options.</w:t>
      </w:r>
    </w:p>
    <w:p>
      <w:pPr>
        <w:spacing w:after="40" w:line="247" w:lineRule="auto"/>
        <w:ind w:left="216" w:hanging="216"/>
        <w:keepNext/>
      </w:pPr>
      <w:r>
        <w:rPr>
          <w:rFonts w:ascii="Arial" w:hAnsi="Arial" w:eastAsia="Arial"/>
          <w:sz w:val="20"/>
        </w:rPr>
        <w:t>D. Conduct the intake in English to avoid third-party confidentiality concerns.</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LPCC-WB03-Q003 | Knowledge/Application | Easy | Primary concept: MSE documentation</w:t>
      </w:r>
    </w:p>
    <w:p>
      <w:pPr>
        <w:spacing w:after="60" w:line="250" w:lineRule="auto"/>
        <w:keepNext/>
      </w:pPr>
      <w:r>
        <w:rPr>
          <w:rFonts w:ascii="Arial" w:hAnsi="Arial" w:eastAsia="Arial"/>
          <w:b/>
          <w:color w:val="1F2937"/>
          <w:sz w:val="20"/>
        </w:rPr>
        <w:t>Which note is the MOST objective mental status documentation?</w:t>
      </w:r>
    </w:p>
    <w:p>
      <w:pPr>
        <w:spacing w:after="40" w:line="247" w:lineRule="auto"/>
        <w:ind w:left="216" w:hanging="216"/>
        <w:keepNext/>
      </w:pPr>
      <w:r>
        <w:rPr>
          <w:rFonts w:ascii="Arial" w:hAnsi="Arial" w:eastAsia="Arial"/>
          <w:sz w:val="20"/>
        </w:rPr>
        <w:t>A. Client was manipulative and attention seeking.</w:t>
      </w:r>
    </w:p>
    <w:p>
      <w:pPr>
        <w:spacing w:after="40" w:line="247" w:lineRule="auto"/>
        <w:ind w:left="216" w:hanging="216"/>
        <w:keepNext/>
      </w:pPr>
      <w:r>
        <w:rPr>
          <w:rFonts w:ascii="Arial" w:hAnsi="Arial" w:eastAsia="Arial"/>
          <w:sz w:val="20"/>
        </w:rPr>
        <w:t>B. Client appeared paranoid and refused to cooperate.</w:t>
      </w:r>
    </w:p>
    <w:p>
      <w:pPr>
        <w:spacing w:after="40" w:line="247" w:lineRule="auto"/>
        <w:ind w:left="216" w:hanging="216"/>
        <w:keepNext/>
      </w:pPr>
      <w:r>
        <w:rPr>
          <w:rFonts w:ascii="Arial" w:hAnsi="Arial" w:eastAsia="Arial"/>
          <w:sz w:val="20"/>
        </w:rPr>
        <w:t>C. Client looked strange and acted inappropriately.</w:t>
      </w:r>
    </w:p>
    <w:p>
      <w:pPr>
        <w:spacing w:after="40" w:line="247" w:lineRule="auto"/>
        <w:ind w:left="216" w:hanging="216"/>
        <w:keepNext/>
      </w:pPr>
      <w:r>
        <w:rPr>
          <w:rFonts w:ascii="Arial" w:hAnsi="Arial" w:eastAsia="Arial"/>
          <w:sz w:val="20"/>
        </w:rPr>
        <w:t>D. Client scanned the hallway repeatedly, lowered their voice when others passed, and declined three questions about housing.</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LPCC-WB03-Q004 | Application | Moderate | Primary concept: Medical rule-out</w:t>
      </w:r>
    </w:p>
    <w:p>
      <w:pPr>
        <w:spacing w:after="60" w:line="250" w:lineRule="auto"/>
        <w:keepNext/>
      </w:pPr>
      <w:r>
        <w:rPr>
          <w:rFonts w:ascii="Arial" w:hAnsi="Arial" w:eastAsia="Arial"/>
          <w:b/>
          <w:color w:val="1F2937"/>
          <w:sz w:val="20"/>
        </w:rPr>
        <w:t>During an intake, a previously organized client becomes disoriented, has slurred speech, and cannot remain awake. What is the BEST next action?</w:t>
      </w:r>
    </w:p>
    <w:p>
      <w:pPr>
        <w:spacing w:after="40" w:line="247" w:lineRule="auto"/>
        <w:ind w:left="216" w:hanging="216"/>
        <w:keepNext/>
      </w:pPr>
      <w:r>
        <w:rPr>
          <w:rFonts w:ascii="Arial" w:hAnsi="Arial" w:eastAsia="Arial"/>
          <w:sz w:val="20"/>
        </w:rPr>
        <w:t>A. Complete a depression screener to establish symptom severity.</w:t>
      </w:r>
    </w:p>
    <w:p>
      <w:pPr>
        <w:spacing w:after="40" w:line="247" w:lineRule="auto"/>
        <w:ind w:left="216" w:hanging="216"/>
        <w:keepNext/>
      </w:pPr>
      <w:r>
        <w:rPr>
          <w:rFonts w:ascii="Arial" w:hAnsi="Arial" w:eastAsia="Arial"/>
          <w:sz w:val="20"/>
        </w:rPr>
        <w:t>B. Arrange immediate medical evaluation and follow emergency procedures.</w:t>
      </w:r>
    </w:p>
    <w:p>
      <w:pPr>
        <w:spacing w:after="40" w:line="247" w:lineRule="auto"/>
        <w:ind w:left="216" w:hanging="216"/>
        <w:keepNext/>
      </w:pPr>
      <w:r>
        <w:rPr>
          <w:rFonts w:ascii="Arial" w:hAnsi="Arial" w:eastAsia="Arial"/>
          <w:sz w:val="20"/>
        </w:rPr>
        <w:t>C. Explore childhood trauma to identify a trigger.</w:t>
      </w:r>
    </w:p>
    <w:p>
      <w:pPr>
        <w:spacing w:after="40" w:line="247" w:lineRule="auto"/>
        <w:ind w:left="216" w:hanging="216"/>
        <w:keepNext/>
      </w:pPr>
      <w:r>
        <w:rPr>
          <w:rFonts w:ascii="Arial" w:hAnsi="Arial" w:eastAsia="Arial"/>
          <w:sz w:val="20"/>
        </w:rPr>
        <w:t>D. Schedule a longer diagnostic appointment for the next day.</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LPCC-WB03-Q005 | Application | Moderate | Primary concept: Screening limits</w:t>
      </w:r>
    </w:p>
    <w:p>
      <w:pPr>
        <w:spacing w:after="60" w:line="250" w:lineRule="auto"/>
        <w:keepNext/>
      </w:pPr>
      <w:r>
        <w:rPr>
          <w:rFonts w:ascii="Arial" w:hAnsi="Arial" w:eastAsia="Arial"/>
          <w:b/>
          <w:color w:val="1F2937"/>
          <w:sz w:val="20"/>
        </w:rPr>
        <w:t>A client scores above the cutoff on a brief anxiety screener. What is the most accurate interpretation?</w:t>
      </w:r>
    </w:p>
    <w:p>
      <w:pPr>
        <w:spacing w:after="40" w:line="247" w:lineRule="auto"/>
        <w:ind w:left="216" w:hanging="216"/>
        <w:keepNext/>
      </w:pPr>
      <w:r>
        <w:rPr>
          <w:rFonts w:ascii="Arial" w:hAnsi="Arial" w:eastAsia="Arial"/>
          <w:sz w:val="20"/>
        </w:rPr>
        <w:t>A. The result supports further assessment and may provide a baseline, but it does not establish a diagnosis by itself.</w:t>
      </w:r>
    </w:p>
    <w:p>
      <w:pPr>
        <w:spacing w:after="40" w:line="247" w:lineRule="auto"/>
        <w:ind w:left="216" w:hanging="216"/>
        <w:keepNext/>
      </w:pPr>
      <w:r>
        <w:rPr>
          <w:rFonts w:ascii="Arial" w:hAnsi="Arial" w:eastAsia="Arial"/>
          <w:sz w:val="20"/>
        </w:rPr>
        <w:t>B. The client meets criteria for an anxiety disorder.</w:t>
      </w:r>
    </w:p>
    <w:p>
      <w:pPr>
        <w:spacing w:after="40" w:line="247" w:lineRule="auto"/>
        <w:ind w:left="216" w:hanging="216"/>
        <w:keepNext/>
      </w:pPr>
      <w:r>
        <w:rPr>
          <w:rFonts w:ascii="Arial" w:hAnsi="Arial" w:eastAsia="Arial"/>
          <w:sz w:val="20"/>
        </w:rPr>
        <w:t>C. The counselor should begin exposure therapy immediately.</w:t>
      </w:r>
    </w:p>
    <w:p>
      <w:pPr>
        <w:spacing w:after="40" w:line="247" w:lineRule="auto"/>
        <w:ind w:left="216" w:hanging="216"/>
        <w:keepNext/>
      </w:pPr>
      <w:r>
        <w:rPr>
          <w:rFonts w:ascii="Arial" w:hAnsi="Arial" w:eastAsia="Arial"/>
          <w:sz w:val="20"/>
        </w:rPr>
        <w:t>D. The measure is invalid unless a psychologist administers it.</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LPCC-WB03-Q006 | Application | Moderate | Primary concept: Collateral information</w:t>
      </w:r>
    </w:p>
    <w:p>
      <w:pPr>
        <w:spacing w:after="60" w:line="250" w:lineRule="auto"/>
        <w:keepNext/>
      </w:pPr>
      <w:r>
        <w:rPr>
          <w:rFonts w:ascii="Arial" w:hAnsi="Arial" w:eastAsia="Arial"/>
          <w:b/>
          <w:color w:val="1F2937"/>
          <w:sz w:val="20"/>
        </w:rPr>
        <w:t>A client’s spouse calls and asks whether the client is attending counseling, then offers information about recent behavior. No emergency is described. What should the counselor do?</w:t>
      </w:r>
    </w:p>
    <w:p>
      <w:pPr>
        <w:spacing w:after="40" w:line="247" w:lineRule="auto"/>
        <w:ind w:left="216" w:hanging="216"/>
        <w:keepNext/>
      </w:pPr>
      <w:r>
        <w:rPr>
          <w:rFonts w:ascii="Arial" w:hAnsi="Arial" w:eastAsia="Arial"/>
          <w:sz w:val="20"/>
        </w:rPr>
        <w:t>A. Confirm attendance so the spouse knows the call reached the correct clinician.</w:t>
      </w:r>
    </w:p>
    <w:p>
      <w:pPr>
        <w:spacing w:after="40" w:line="247" w:lineRule="auto"/>
        <w:ind w:left="216" w:hanging="216"/>
        <w:keepNext/>
      </w:pPr>
      <w:r>
        <w:rPr>
          <w:rFonts w:ascii="Arial" w:hAnsi="Arial" w:eastAsia="Arial"/>
          <w:sz w:val="20"/>
        </w:rPr>
        <w:t>B. Refuse to hear any information unless the client is present.</w:t>
      </w:r>
    </w:p>
    <w:p>
      <w:pPr>
        <w:spacing w:after="40" w:line="247" w:lineRule="auto"/>
        <w:ind w:left="216" w:hanging="216"/>
        <w:keepNext/>
      </w:pPr>
      <w:r>
        <w:rPr>
          <w:rFonts w:ascii="Arial" w:hAnsi="Arial" w:eastAsia="Arial"/>
          <w:sz w:val="20"/>
        </w:rPr>
        <w:t>C. Protect confidentiality, avoid confirming client status, clarify the caller’s information, and address authorization and purpose before any disclosure or routine two-way contact.</w:t>
      </w:r>
    </w:p>
    <w:p>
      <w:pPr>
        <w:spacing w:after="40" w:line="247" w:lineRule="auto"/>
        <w:ind w:left="216" w:hanging="216"/>
        <w:keepNext/>
      </w:pPr>
      <w:r>
        <w:rPr>
          <w:rFonts w:ascii="Arial" w:hAnsi="Arial" w:eastAsia="Arial"/>
          <w:sz w:val="20"/>
        </w:rPr>
        <w:t>D. Tell the spouse to send all information by email without further discussion.</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LPCC-WB03-Q007 | Application | Moderate | Primary concept: California assessment scope</w:t>
      </w:r>
    </w:p>
    <w:p>
      <w:pPr>
        <w:spacing w:after="60" w:line="250" w:lineRule="auto"/>
        <w:keepNext/>
      </w:pPr>
      <w:r>
        <w:rPr>
          <w:rFonts w:ascii="Arial" w:hAnsi="Arial" w:eastAsia="Arial"/>
          <w:b/>
          <w:color w:val="1F2937"/>
          <w:sz w:val="20"/>
        </w:rPr>
        <w:t>An LPCC is asked to administer an individually administered intelligence test to determine eligibility for a specialized educational placement. What is the BEST response?</w:t>
      </w:r>
    </w:p>
    <w:p>
      <w:pPr>
        <w:spacing w:after="40" w:line="247" w:lineRule="auto"/>
        <w:ind w:left="216" w:hanging="216"/>
        <w:keepNext/>
      </w:pPr>
      <w:r>
        <w:rPr>
          <w:rFonts w:ascii="Arial" w:hAnsi="Arial" w:eastAsia="Arial"/>
          <w:sz w:val="20"/>
        </w:rPr>
        <w:t>A. Administer it if the counselor has read the manual.</w:t>
      </w:r>
    </w:p>
    <w:p>
      <w:pPr>
        <w:spacing w:after="40" w:line="247" w:lineRule="auto"/>
        <w:ind w:left="216" w:hanging="216"/>
        <w:keepNext/>
      </w:pPr>
      <w:r>
        <w:rPr>
          <w:rFonts w:ascii="Arial" w:hAnsi="Arial" w:eastAsia="Arial"/>
          <w:sz w:val="20"/>
        </w:rPr>
        <w:t>B. Use a brief intelligence screener instead and provide the same conclusion.</w:t>
      </w:r>
    </w:p>
    <w:p>
      <w:pPr>
        <w:spacing w:after="40" w:line="247" w:lineRule="auto"/>
        <w:ind w:left="216" w:hanging="216"/>
        <w:keepNext/>
      </w:pPr>
      <w:r>
        <w:rPr>
          <w:rFonts w:ascii="Arial" w:hAnsi="Arial" w:eastAsia="Arial"/>
          <w:sz w:val="20"/>
        </w:rPr>
        <w:t>C. Refer for an appropriately qualified assessment because individually administered intelligence testing is excluded from California LPCC assessment.</w:t>
      </w:r>
    </w:p>
    <w:p>
      <w:pPr>
        <w:spacing w:after="40" w:line="247" w:lineRule="auto"/>
        <w:ind w:left="216" w:hanging="216"/>
        <w:keepNext/>
      </w:pPr>
      <w:r>
        <w:rPr>
          <w:rFonts w:ascii="Arial" w:hAnsi="Arial" w:eastAsia="Arial"/>
          <w:sz w:val="20"/>
        </w:rPr>
        <w:t>D. Ask the client to sign a waiver acknowledging the counselor’s limited experience.</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LPCC-WB03-Q008 | Application | Moderate | Primary concept: Outcome measurement</w:t>
      </w:r>
    </w:p>
    <w:p>
      <w:pPr>
        <w:spacing w:after="60" w:line="250" w:lineRule="auto"/>
        <w:keepNext/>
      </w:pPr>
      <w:r>
        <w:rPr>
          <w:rFonts w:ascii="Arial" w:hAnsi="Arial" w:eastAsia="Arial"/>
          <w:b/>
          <w:color w:val="1F2937"/>
          <w:sz w:val="20"/>
        </w:rPr>
        <w:t>A counselor wants to use a symptom measure during treatment. Which plan is MOST clinically useful?</w:t>
      </w:r>
    </w:p>
    <w:p>
      <w:pPr>
        <w:spacing w:after="40" w:line="247" w:lineRule="auto"/>
        <w:ind w:left="216" w:hanging="216"/>
        <w:keepNext/>
      </w:pPr>
      <w:r>
        <w:rPr>
          <w:rFonts w:ascii="Arial" w:hAnsi="Arial" w:eastAsia="Arial"/>
          <w:sz w:val="20"/>
        </w:rPr>
        <w:t>A. Administer it once at termination to avoid influencing treatment.</w:t>
      </w:r>
    </w:p>
    <w:p>
      <w:pPr>
        <w:spacing w:after="40" w:line="247" w:lineRule="auto"/>
        <w:ind w:left="216" w:hanging="216"/>
        <w:keepNext/>
      </w:pPr>
      <w:r>
        <w:rPr>
          <w:rFonts w:ascii="Arial" w:hAnsi="Arial" w:eastAsia="Arial"/>
          <w:sz w:val="20"/>
        </w:rPr>
        <w:t>B. Select a measure tied to the client’s target, establish a baseline, repeat it at meaningful intervals, and define how results will affect the plan.</w:t>
      </w:r>
    </w:p>
    <w:p>
      <w:pPr>
        <w:spacing w:after="40" w:line="247" w:lineRule="auto"/>
        <w:ind w:left="216" w:hanging="216"/>
        <w:keepNext/>
      </w:pPr>
      <w:r>
        <w:rPr>
          <w:rFonts w:ascii="Arial" w:hAnsi="Arial" w:eastAsia="Arial"/>
          <w:sz w:val="20"/>
        </w:rPr>
        <w:t>C. Use several measures at every session regardless of burden.</w:t>
      </w:r>
    </w:p>
    <w:p>
      <w:pPr>
        <w:spacing w:after="40" w:line="247" w:lineRule="auto"/>
        <w:ind w:left="216" w:hanging="216"/>
        <w:keepNext/>
      </w:pPr>
      <w:r>
        <w:rPr>
          <w:rFonts w:ascii="Arial" w:hAnsi="Arial" w:eastAsia="Arial"/>
          <w:sz w:val="20"/>
        </w:rPr>
        <w:t>D. Choose the shortest available measure even if the language and norms do not fit the client.</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LPCC-WB03-Q009 | Integrated reasoning | Difficult | Primary concept: Telehealth intake</w:t>
      </w:r>
    </w:p>
    <w:p>
      <w:pPr>
        <w:spacing w:after="60" w:line="250" w:lineRule="auto"/>
        <w:keepNext/>
      </w:pPr>
      <w:r>
        <w:rPr>
          <w:rFonts w:ascii="Arial" w:hAnsi="Arial" w:eastAsia="Arial"/>
          <w:b/>
          <w:color w:val="1F2937"/>
          <w:sz w:val="20"/>
        </w:rPr>
        <w:t>A new telehealth client joins from a public library, whispers, and will not state the exact location. The client denies immediate danger. What should the counselor do NEXT?</w:t>
      </w:r>
    </w:p>
    <w:p>
      <w:pPr>
        <w:spacing w:after="40" w:line="247" w:lineRule="auto"/>
        <w:ind w:left="216" w:hanging="216"/>
        <w:keepNext/>
      </w:pPr>
      <w:r>
        <w:rPr>
          <w:rFonts w:ascii="Arial" w:hAnsi="Arial" w:eastAsia="Arial"/>
          <w:sz w:val="20"/>
        </w:rPr>
        <w:t>A. Proceed because the client denied danger.</w:t>
      </w:r>
    </w:p>
    <w:p>
      <w:pPr>
        <w:spacing w:after="40" w:line="247" w:lineRule="auto"/>
        <w:ind w:left="216" w:hanging="216"/>
        <w:keepNext/>
      </w:pPr>
      <w:r>
        <w:rPr>
          <w:rFonts w:ascii="Arial" w:hAnsi="Arial" w:eastAsia="Arial"/>
          <w:sz w:val="20"/>
        </w:rPr>
        <w:t>B. Explain why location and privacy matter, offer a less sensitive orientation or rescheduling option, and verify location and emergency planning before a full assessment.</w:t>
      </w:r>
    </w:p>
    <w:p>
      <w:pPr>
        <w:spacing w:after="40" w:line="247" w:lineRule="auto"/>
        <w:ind w:left="216" w:hanging="216"/>
        <w:keepNext/>
      </w:pPr>
      <w:r>
        <w:rPr>
          <w:rFonts w:ascii="Arial" w:hAnsi="Arial" w:eastAsia="Arial"/>
          <w:sz w:val="20"/>
        </w:rPr>
        <w:t>C. Terminate services because the client is noncompliant.</w:t>
      </w:r>
    </w:p>
    <w:p>
      <w:pPr>
        <w:spacing w:after="40" w:line="247" w:lineRule="auto"/>
        <w:ind w:left="216" w:hanging="216"/>
        <w:keepNext/>
      </w:pPr>
      <w:r>
        <w:rPr>
          <w:rFonts w:ascii="Arial" w:hAnsi="Arial" w:eastAsia="Arial"/>
          <w:sz w:val="20"/>
        </w:rPr>
        <w:t>D. Ask the client to complete all diagnostic measures in the chat box.</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LPCC-WB03-Q010 | Integrated reasoning | Difficult | Primary concept: Assessment sequence</w:t>
      </w:r>
    </w:p>
    <w:p>
      <w:pPr>
        <w:spacing w:after="60" w:line="250" w:lineRule="auto"/>
        <w:keepNext/>
      </w:pPr>
      <w:r>
        <w:rPr>
          <w:rFonts w:ascii="Arial" w:hAnsi="Arial" w:eastAsia="Arial"/>
          <w:b/>
          <w:color w:val="1F2937"/>
          <w:sz w:val="20"/>
        </w:rPr>
        <w:t>A client reports panic-like episodes, chest discomfort, sleep loss, increased caffeine use, and recent trauma exposure. A screener is elevated, and the MSE is otherwise organized. What is the BEST next step?</w:t>
      </w:r>
    </w:p>
    <w:p>
      <w:pPr>
        <w:spacing w:after="40" w:line="247" w:lineRule="auto"/>
        <w:ind w:left="216" w:hanging="216"/>
        <w:keepNext/>
      </w:pPr>
      <w:r>
        <w:rPr>
          <w:rFonts w:ascii="Arial" w:hAnsi="Arial" w:eastAsia="Arial"/>
          <w:sz w:val="20"/>
        </w:rPr>
        <w:t>A. Diagnose panic disorder and begin interoceptive exposure.</w:t>
      </w:r>
    </w:p>
    <w:p>
      <w:pPr>
        <w:spacing w:after="40" w:line="247" w:lineRule="auto"/>
        <w:ind w:left="216" w:hanging="216"/>
        <w:keepNext/>
      </w:pPr>
      <w:r>
        <w:rPr>
          <w:rFonts w:ascii="Arial" w:hAnsi="Arial" w:eastAsia="Arial"/>
          <w:sz w:val="20"/>
        </w:rPr>
        <w:t>B. Diagnose posttraumatic stress disorder because the episodes followed trauma.</w:t>
      </w:r>
    </w:p>
    <w:p>
      <w:pPr>
        <w:spacing w:after="40" w:line="247" w:lineRule="auto"/>
        <w:ind w:left="216" w:hanging="216"/>
        <w:keepNext/>
      </w:pPr>
      <w:r>
        <w:rPr>
          <w:rFonts w:ascii="Arial" w:hAnsi="Arial" w:eastAsia="Arial"/>
          <w:sz w:val="20"/>
        </w:rPr>
        <w:t>C. Integrate timeline, triggers, impairment, trauma symptoms, substances, medical factors, and differential information, and arrange medical evaluation when indicated before finalizing the formulation.</w:t>
      </w:r>
    </w:p>
    <w:p>
      <w:pPr>
        <w:spacing w:after="40" w:line="247" w:lineRule="auto"/>
        <w:ind w:left="216" w:hanging="216"/>
        <w:keepNext/>
      </w:pPr>
      <w:r>
        <w:rPr>
          <w:rFonts w:ascii="Arial" w:hAnsi="Arial" w:eastAsia="Arial"/>
          <w:sz w:val="20"/>
        </w:rPr>
        <w:t>D. Repeat the same screener until the score falls below cutoff.</w:t>
      </w:r>
    </w:p>
    <w:p>
      <w:pPr>
        <w:spacing w:after="60"/>
      </w:pPr>
      <w:r>
        <w:rPr>
          <w:rFonts w:ascii="Arial" w:hAnsi="Arial" w:eastAsia="Arial"/>
          <w:i/>
          <w:color w:val="4E5B6B"/>
          <w:sz w:val="18"/>
        </w:rPr>
        <w:t>My answer: ______    Confidence: 1  2  3</w:t>
      </w:r>
    </w:p>
    <w:p>
      <w:pPr>
        <w:pStyle w:val="Heading1"/>
        <w:spacing w:before="100" w:after="80"/>
        <w:keepNext/>
      </w:pPr>
      <w:r>
        <w:rPr>
          <w:rFonts w:ascii="Arial" w:hAnsi="Arial" w:eastAsia="Arial"/>
          <w:b/>
          <w:color w:val="17365D"/>
          <w:sz w:val="23"/>
        </w:rPr>
        <w:t>Answer Key and Detailed Rationales</w:t>
      </w:r>
    </w:p>
    <w:p>
      <w:pPr>
        <w:pStyle w:val="Heading2"/>
        <w:spacing w:before="140" w:after="60"/>
        <w:keepNext/>
      </w:pPr>
      <w:r>
        <w:rPr>
          <w:rFonts w:ascii="Arial" w:hAnsi="Arial" w:eastAsia="Arial"/>
          <w:b/>
          <w:color w:val="17365D"/>
          <w:sz w:val="23"/>
        </w:rPr>
        <w:t>Question 1 (LPCC-WB03-Q001)</w:t>
      </w:r>
    </w:p>
    <w:p>
      <w:pPr>
        <w:spacing w:after="60"/>
        <w:keepNext/>
      </w:pPr>
      <w:r>
        <w:rPr>
          <w:rFonts w:ascii="Arial" w:hAnsi="Arial" w:eastAsia="Arial"/>
          <w:b/>
          <w:color w:val="1F7A8C"/>
          <w:sz w:val="20"/>
        </w:rPr>
        <w:t>Correct Answer: B</w:t>
      </w:r>
    </w:p>
    <w:p>
      <w:pPr>
        <w:spacing w:after="40"/>
        <w:ind w:left="173" w:hanging="173"/>
        <w:keepNext/>
      </w:pPr>
      <w:r>
        <w:rPr>
          <w:rFonts w:ascii="Arial" w:hAnsi="Arial" w:eastAsia="Arial"/>
          <w:b/>
          <w:color w:val="1F2937"/>
          <w:sz w:val="20"/>
        </w:rPr>
        <w:t xml:space="preserve">A. </w:t>
      </w:r>
      <w:r>
        <w:rPr>
          <w:rFonts w:ascii="Arial" w:hAnsi="Arial" w:eastAsia="Arial"/>
          <w:sz w:val="20"/>
        </w:rPr>
        <w:t>Incorrect. A signature does not resolve the client’s confusion or establish meaningful understanding of the referral and disclosure conditions.</w:t>
      </w:r>
    </w:p>
    <w:p>
      <w:pPr>
        <w:spacing w:after="40"/>
        <w:ind w:left="173" w:hanging="173"/>
        <w:keepNext/>
      </w:pPr>
      <w:r>
        <w:rPr>
          <w:rFonts w:ascii="Arial" w:hAnsi="Arial" w:eastAsia="Arial"/>
          <w:b/>
          <w:color w:val="17365D"/>
          <w:sz w:val="20"/>
        </w:rPr>
        <w:t xml:space="preserve">B. </w:t>
      </w:r>
      <w:r>
        <w:rPr>
          <w:rFonts w:ascii="Arial" w:hAnsi="Arial" w:eastAsia="Arial"/>
          <w:sz w:val="20"/>
        </w:rPr>
        <w:t>Correct. Clarifying role, confidentiality, authorized disclosure, and the client’s questions restores informed participation before the assessment continues.</w:t>
      </w:r>
    </w:p>
    <w:p>
      <w:pPr>
        <w:spacing w:after="40"/>
        <w:ind w:left="173" w:hanging="173"/>
        <w:keepNext/>
      </w:pPr>
      <w:r>
        <w:rPr>
          <w:rFonts w:ascii="Arial" w:hAnsi="Arial" w:eastAsia="Arial"/>
          <w:b/>
          <w:color w:val="1F2937"/>
          <w:sz w:val="20"/>
        </w:rPr>
        <w:t xml:space="preserve">C. </w:t>
      </w:r>
      <w:r>
        <w:rPr>
          <w:rFonts w:ascii="Arial" w:hAnsi="Arial" w:eastAsia="Arial"/>
          <w:sz w:val="20"/>
        </w:rPr>
        <w:t>Incorrect. Employer access depends on law, authorization, program structure, and other circumstances; an absolute promise may be inaccurate.</w:t>
      </w:r>
    </w:p>
    <w:p>
      <w:pPr>
        <w:spacing w:after="40"/>
        <w:ind w:left="173" w:hanging="173"/>
        <w:keepNext/>
      </w:pPr>
      <w:r>
        <w:rPr>
          <w:rFonts w:ascii="Arial" w:hAnsi="Arial" w:eastAsia="Arial"/>
          <w:b/>
          <w:color w:val="1F2937"/>
          <w:sz w:val="20"/>
        </w:rPr>
        <w:t xml:space="preserve">D. </w:t>
      </w:r>
      <w:r>
        <w:rPr>
          <w:rFonts w:ascii="Arial" w:hAnsi="Arial" w:eastAsia="Arial"/>
          <w:sz w:val="20"/>
        </w:rPr>
        <w:t>Incorrect. The counselor remains responsible for explaining the counselor’s own role, privacy practices, and consent conditions.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When the client does not understand a material consent issue, clarify and check understanding before collecting more sensitive information, unless safety requires immediate action.</w:t>
            </w:r>
          </w:p>
        </w:tc>
      </w:tr>
    </w:tbl>
    <w:p>
      <w:pPr>
        <w:spacing w:after="0"/>
      </w:pPr>
    </w:p>
    <w:p>
      <w:pPr>
        <w:pStyle w:val="Heading2"/>
        <w:spacing w:before="140" w:after="60"/>
        <w:keepNext/>
      </w:pPr>
      <w:r>
        <w:rPr>
          <w:rFonts w:ascii="Arial" w:hAnsi="Arial" w:eastAsia="Arial"/>
          <w:b/>
          <w:color w:val="17365D"/>
          <w:sz w:val="23"/>
        </w:rPr>
        <w:t>Question 2 (LPCC-WB03-Q002)</w:t>
      </w:r>
    </w:p>
    <w:p>
      <w:pPr>
        <w:spacing w:after="60"/>
        <w:keepNext/>
      </w:pPr>
      <w:r>
        <w:rPr>
          <w:rFonts w:ascii="Arial" w:hAnsi="Arial" w:eastAsia="Arial"/>
          <w:b/>
          <w:color w:val="1F7A8C"/>
          <w:sz w:val="20"/>
        </w:rPr>
        <w:t>Correct Answer: C</w:t>
      </w:r>
    </w:p>
    <w:p>
      <w:pPr>
        <w:spacing w:after="40"/>
        <w:ind w:left="173" w:hanging="173"/>
        <w:keepNext/>
      </w:pPr>
      <w:r>
        <w:rPr>
          <w:rFonts w:ascii="Arial" w:hAnsi="Arial" w:eastAsia="Arial"/>
          <w:b/>
          <w:color w:val="1F2937"/>
          <w:sz w:val="20"/>
        </w:rPr>
        <w:t xml:space="preserve">A. </w:t>
      </w:r>
      <w:r>
        <w:rPr>
          <w:rFonts w:ascii="Arial" w:hAnsi="Arial" w:eastAsia="Arial"/>
          <w:sz w:val="20"/>
        </w:rPr>
        <w:t>Incorrect. The client’s arrival with a family member does not automatically establish free choice, accuracy, privacy, or suitability for sensitive clinical interpretation.</w:t>
      </w:r>
    </w:p>
    <w:p>
      <w:pPr>
        <w:spacing w:after="40"/>
        <w:ind w:left="173" w:hanging="173"/>
        <w:keepNext/>
      </w:pPr>
      <w:r>
        <w:rPr>
          <w:rFonts w:ascii="Arial" w:hAnsi="Arial" w:eastAsia="Arial"/>
          <w:b/>
          <w:color w:val="1F2937"/>
          <w:sz w:val="20"/>
        </w:rPr>
        <w:t xml:space="preserve">B. </w:t>
      </w:r>
      <w:r>
        <w:rPr>
          <w:rFonts w:ascii="Arial" w:hAnsi="Arial" w:eastAsia="Arial"/>
          <w:sz w:val="20"/>
        </w:rPr>
        <w:t>Incorrect. Removing the family member without first learning the client’s preference may disregard autonomy and access needs.</w:t>
      </w:r>
    </w:p>
    <w:p>
      <w:pPr>
        <w:spacing w:after="40"/>
        <w:ind w:left="173" w:hanging="173"/>
        <w:keepNext/>
      </w:pPr>
      <w:r>
        <w:rPr>
          <w:rFonts w:ascii="Arial" w:hAnsi="Arial" w:eastAsia="Arial"/>
          <w:b/>
          <w:color w:val="17365D"/>
          <w:sz w:val="20"/>
        </w:rPr>
        <w:t xml:space="preserve">C. </w:t>
      </w:r>
      <w:r>
        <w:rPr>
          <w:rFonts w:ascii="Arial" w:hAnsi="Arial" w:eastAsia="Arial"/>
          <w:sz w:val="20"/>
        </w:rPr>
        <w:t>Correct. A private conversation allows the counselor to assess language preference, voluntariness, confidentiality, and the need for a qualified interpreter.</w:t>
      </w:r>
    </w:p>
    <w:p>
      <w:pPr>
        <w:spacing w:after="40"/>
        <w:ind w:left="173" w:hanging="173"/>
        <w:keepNext/>
      </w:pPr>
      <w:r>
        <w:rPr>
          <w:rFonts w:ascii="Arial" w:hAnsi="Arial" w:eastAsia="Arial"/>
          <w:b/>
          <w:color w:val="1F2937"/>
          <w:sz w:val="20"/>
        </w:rPr>
        <w:t xml:space="preserve">D. </w:t>
      </w:r>
      <w:r>
        <w:rPr>
          <w:rFonts w:ascii="Arial" w:hAnsi="Arial" w:eastAsia="Arial"/>
          <w:sz w:val="20"/>
        </w:rPr>
        <w:t>Incorrect. Conducting the intake in a less accurate language can impair consent and assessment.</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Do not assume either that family interpretation is acceptable or that it must be rejected. First assess the client’s preference, privacy, voluntariness, and accuracy needs.</w:t>
            </w:r>
          </w:p>
        </w:tc>
      </w:tr>
    </w:tbl>
    <w:p>
      <w:pPr>
        <w:spacing w:after="0"/>
      </w:pPr>
    </w:p>
    <w:p>
      <w:pPr>
        <w:pStyle w:val="Heading2"/>
        <w:spacing w:before="140" w:after="60"/>
        <w:keepNext/>
      </w:pPr>
      <w:r>
        <w:rPr>
          <w:rFonts w:ascii="Arial" w:hAnsi="Arial" w:eastAsia="Arial"/>
          <w:b/>
          <w:color w:val="17365D"/>
          <w:sz w:val="23"/>
        </w:rPr>
        <w:t>Question 3 (LPCC-WB03-Q003)</w:t>
      </w:r>
    </w:p>
    <w:p>
      <w:pPr>
        <w:spacing w:after="60"/>
        <w:keepNext/>
      </w:pPr>
      <w:r>
        <w:rPr>
          <w:rFonts w:ascii="Arial" w:hAnsi="Arial" w:eastAsia="Arial"/>
          <w:b/>
          <w:color w:val="1F7A8C"/>
          <w:sz w:val="20"/>
        </w:rPr>
        <w:t>Correct Answer: D</w:t>
      </w:r>
    </w:p>
    <w:p>
      <w:pPr>
        <w:spacing w:after="40"/>
        <w:ind w:left="173" w:hanging="173"/>
        <w:keepNext/>
      </w:pPr>
      <w:r>
        <w:rPr>
          <w:rFonts w:ascii="Arial" w:hAnsi="Arial" w:eastAsia="Arial"/>
          <w:b/>
          <w:color w:val="1F2937"/>
          <w:sz w:val="20"/>
        </w:rPr>
        <w:t xml:space="preserve">A. </w:t>
      </w:r>
      <w:r>
        <w:rPr>
          <w:rFonts w:ascii="Arial" w:hAnsi="Arial" w:eastAsia="Arial"/>
          <w:sz w:val="20"/>
        </w:rPr>
        <w:t>Incorrect. “Manipulative” and “attention seeking” are interpretations rather than observable facts.</w:t>
      </w:r>
    </w:p>
    <w:p>
      <w:pPr>
        <w:spacing w:after="40"/>
        <w:ind w:left="173" w:hanging="173"/>
        <w:keepNext/>
      </w:pPr>
      <w:r>
        <w:rPr>
          <w:rFonts w:ascii="Arial" w:hAnsi="Arial" w:eastAsia="Arial"/>
          <w:b/>
          <w:color w:val="1F2937"/>
          <w:sz w:val="20"/>
        </w:rPr>
        <w:t xml:space="preserve">B. </w:t>
      </w:r>
      <w:r>
        <w:rPr>
          <w:rFonts w:ascii="Arial" w:hAnsi="Arial" w:eastAsia="Arial"/>
          <w:sz w:val="20"/>
        </w:rPr>
        <w:t>Incorrect. “Paranoid” and “refused to cooperate” compress behavior into conclusions and omit context.</w:t>
      </w:r>
    </w:p>
    <w:p>
      <w:pPr>
        <w:spacing w:after="40"/>
        <w:ind w:left="173" w:hanging="173"/>
        <w:keepNext/>
      </w:pPr>
      <w:r>
        <w:rPr>
          <w:rFonts w:ascii="Arial" w:hAnsi="Arial" w:eastAsia="Arial"/>
          <w:b/>
          <w:color w:val="1F2937"/>
          <w:sz w:val="20"/>
        </w:rPr>
        <w:t xml:space="preserve">C. </w:t>
      </w:r>
      <w:r>
        <w:rPr>
          <w:rFonts w:ascii="Arial" w:hAnsi="Arial" w:eastAsia="Arial"/>
          <w:sz w:val="20"/>
        </w:rPr>
        <w:t>Incorrect. “Strange” and “inappropriately” are vague and judgmental.</w:t>
      </w:r>
    </w:p>
    <w:p>
      <w:pPr>
        <w:spacing w:after="40"/>
        <w:ind w:left="173" w:hanging="173"/>
        <w:keepNext/>
      </w:pPr>
      <w:r>
        <w:rPr>
          <w:rFonts w:ascii="Arial" w:hAnsi="Arial" w:eastAsia="Arial"/>
          <w:b/>
          <w:color w:val="17365D"/>
          <w:sz w:val="20"/>
        </w:rPr>
        <w:t xml:space="preserve">D. </w:t>
      </w:r>
      <w:r>
        <w:rPr>
          <w:rFonts w:ascii="Arial" w:hAnsi="Arial" w:eastAsia="Arial"/>
          <w:sz w:val="20"/>
        </w:rPr>
        <w:t>Correct. The note identifies concrete behavior, context, and the specific questions declined without assigning motive or diagnosis.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Choose the option that another clinician could picture and verify. Observable behavior is stronger than a character label.</w:t>
            </w:r>
          </w:p>
        </w:tc>
      </w:tr>
    </w:tbl>
    <w:p>
      <w:pPr>
        <w:spacing w:after="0"/>
      </w:pPr>
    </w:p>
    <w:p>
      <w:pPr>
        <w:pStyle w:val="Heading2"/>
        <w:spacing w:before="140" w:after="60"/>
        <w:keepNext/>
      </w:pPr>
      <w:r>
        <w:rPr>
          <w:rFonts w:ascii="Arial" w:hAnsi="Arial" w:eastAsia="Arial"/>
          <w:b/>
          <w:color w:val="17365D"/>
          <w:sz w:val="23"/>
        </w:rPr>
        <w:t>Question 4 (LPCC-WB03-Q004)</w:t>
      </w:r>
    </w:p>
    <w:p>
      <w:pPr>
        <w:spacing w:after="60"/>
        <w:keepNext/>
      </w:pPr>
      <w:r>
        <w:rPr>
          <w:rFonts w:ascii="Arial" w:hAnsi="Arial" w:eastAsia="Arial"/>
          <w:b/>
          <w:color w:val="1F7A8C"/>
          <w:sz w:val="20"/>
        </w:rPr>
        <w:t>Correct Answer: B</w:t>
      </w:r>
    </w:p>
    <w:p>
      <w:pPr>
        <w:spacing w:after="40"/>
        <w:ind w:left="173" w:hanging="173"/>
        <w:keepNext/>
      </w:pPr>
      <w:r>
        <w:rPr>
          <w:rFonts w:ascii="Arial" w:hAnsi="Arial" w:eastAsia="Arial"/>
          <w:b/>
          <w:color w:val="1F2937"/>
          <w:sz w:val="20"/>
        </w:rPr>
        <w:t xml:space="preserve">A. </w:t>
      </w:r>
      <w:r>
        <w:rPr>
          <w:rFonts w:ascii="Arial" w:hAnsi="Arial" w:eastAsia="Arial"/>
          <w:sz w:val="20"/>
        </w:rPr>
        <w:t>Incorrect. A routine symptom screener is not the priority during an acute alteration in consciousness and orientation.</w:t>
      </w:r>
    </w:p>
    <w:p>
      <w:pPr>
        <w:spacing w:after="40"/>
        <w:ind w:left="173" w:hanging="173"/>
        <w:keepNext/>
      </w:pPr>
      <w:r>
        <w:rPr>
          <w:rFonts w:ascii="Arial" w:hAnsi="Arial" w:eastAsia="Arial"/>
          <w:b/>
          <w:color w:val="17365D"/>
          <w:sz w:val="20"/>
        </w:rPr>
        <w:t xml:space="preserve">B. </w:t>
      </w:r>
      <w:r>
        <w:rPr>
          <w:rFonts w:ascii="Arial" w:hAnsi="Arial" w:eastAsia="Arial"/>
          <w:sz w:val="20"/>
        </w:rPr>
        <w:t>Correct. Sudden disorientation, slurred speech, and inability to remain awake may indicate a medical emergency and require immediate evaluation.</w:t>
      </w:r>
    </w:p>
    <w:p>
      <w:pPr>
        <w:spacing w:after="40"/>
        <w:ind w:left="173" w:hanging="173"/>
        <w:keepNext/>
      </w:pPr>
      <w:r>
        <w:rPr>
          <w:rFonts w:ascii="Arial" w:hAnsi="Arial" w:eastAsia="Arial"/>
          <w:b/>
          <w:color w:val="1F2937"/>
          <w:sz w:val="20"/>
        </w:rPr>
        <w:t xml:space="preserve">C. </w:t>
      </w:r>
      <w:r>
        <w:rPr>
          <w:rFonts w:ascii="Arial" w:hAnsi="Arial" w:eastAsia="Arial"/>
          <w:sz w:val="20"/>
        </w:rPr>
        <w:t>Incorrect. Trauma exploration delays assessment of a potentially life-threatening medical condition.</w:t>
      </w:r>
    </w:p>
    <w:p>
      <w:pPr>
        <w:spacing w:after="40"/>
        <w:ind w:left="173" w:hanging="173"/>
        <w:keepNext/>
      </w:pPr>
      <w:r>
        <w:rPr>
          <w:rFonts w:ascii="Arial" w:hAnsi="Arial" w:eastAsia="Arial"/>
          <w:b/>
          <w:color w:val="1F2937"/>
          <w:sz w:val="20"/>
        </w:rPr>
        <w:t xml:space="preserve">D. </w:t>
      </w:r>
      <w:r>
        <w:rPr>
          <w:rFonts w:ascii="Arial" w:hAnsi="Arial" w:eastAsia="Arial"/>
          <w:sz w:val="20"/>
        </w:rPr>
        <w:t>Incorrect. Scheduling later is unsafe given the acute presentation.</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Acute cognitive, neurological, or consciousness changes move medical safety ahead of routine psychotherapy assessment.</w:t>
            </w:r>
          </w:p>
        </w:tc>
      </w:tr>
    </w:tbl>
    <w:p>
      <w:pPr>
        <w:spacing w:after="0"/>
      </w:pPr>
    </w:p>
    <w:p>
      <w:pPr>
        <w:pStyle w:val="Heading2"/>
        <w:spacing w:before="140" w:after="60"/>
        <w:keepNext/>
      </w:pPr>
      <w:r>
        <w:rPr>
          <w:rFonts w:ascii="Arial" w:hAnsi="Arial" w:eastAsia="Arial"/>
          <w:b/>
          <w:color w:val="17365D"/>
          <w:sz w:val="23"/>
        </w:rPr>
        <w:t>Question 5 (LPCC-WB03-Q005)</w:t>
      </w:r>
    </w:p>
    <w:p>
      <w:pPr>
        <w:spacing w:after="60"/>
        <w:keepNext/>
      </w:pPr>
      <w:r>
        <w:rPr>
          <w:rFonts w:ascii="Arial" w:hAnsi="Arial" w:eastAsia="Arial"/>
          <w:b/>
          <w:color w:val="1F7A8C"/>
          <w:sz w:val="20"/>
        </w:rPr>
        <w:t>Correct Answer: A</w:t>
      </w:r>
    </w:p>
    <w:p>
      <w:pPr>
        <w:spacing w:after="40"/>
        <w:ind w:left="173" w:hanging="173"/>
        <w:keepNext/>
      </w:pPr>
      <w:r>
        <w:rPr>
          <w:rFonts w:ascii="Arial" w:hAnsi="Arial" w:eastAsia="Arial"/>
          <w:b/>
          <w:color w:val="17365D"/>
          <w:sz w:val="20"/>
        </w:rPr>
        <w:t xml:space="preserve">A. </w:t>
      </w:r>
      <w:r>
        <w:rPr>
          <w:rFonts w:ascii="Arial" w:hAnsi="Arial" w:eastAsia="Arial"/>
          <w:sz w:val="20"/>
        </w:rPr>
        <w:t>Correct. A positive screen identifies possible concern and can support severity tracking, but diagnosis requires broader assessment and differential reasoning.</w:t>
      </w:r>
    </w:p>
    <w:p>
      <w:pPr>
        <w:spacing w:after="40"/>
        <w:ind w:left="173" w:hanging="173"/>
        <w:keepNext/>
      </w:pPr>
      <w:r>
        <w:rPr>
          <w:rFonts w:ascii="Arial" w:hAnsi="Arial" w:eastAsia="Arial"/>
          <w:b/>
          <w:color w:val="1F2937"/>
          <w:sz w:val="20"/>
        </w:rPr>
        <w:t xml:space="preserve">B. </w:t>
      </w:r>
      <w:r>
        <w:rPr>
          <w:rFonts w:ascii="Arial" w:hAnsi="Arial" w:eastAsia="Arial"/>
          <w:sz w:val="20"/>
        </w:rPr>
        <w:t>Incorrect. A cutoff score alone does not establish all diagnostic criteria or exclusions.</w:t>
      </w:r>
    </w:p>
    <w:p>
      <w:pPr>
        <w:spacing w:after="40"/>
        <w:ind w:left="173" w:hanging="173"/>
        <w:keepNext/>
      </w:pPr>
      <w:r>
        <w:rPr>
          <w:rFonts w:ascii="Arial" w:hAnsi="Arial" w:eastAsia="Arial"/>
          <w:b/>
          <w:color w:val="1F2937"/>
          <w:sz w:val="20"/>
        </w:rPr>
        <w:t xml:space="preserve">C. </w:t>
      </w:r>
      <w:r>
        <w:rPr>
          <w:rFonts w:ascii="Arial" w:hAnsi="Arial" w:eastAsia="Arial"/>
          <w:sz w:val="20"/>
        </w:rPr>
        <w:t>Incorrect. Intervention selection requires formulation, readiness, fit, and contraindication review.</w:t>
      </w:r>
    </w:p>
    <w:p>
      <w:pPr>
        <w:spacing w:after="40"/>
        <w:ind w:left="173" w:hanging="173"/>
        <w:keepNext/>
      </w:pPr>
      <w:r>
        <w:rPr>
          <w:rFonts w:ascii="Arial" w:hAnsi="Arial" w:eastAsia="Arial"/>
          <w:b/>
          <w:color w:val="1F2937"/>
          <w:sz w:val="20"/>
        </w:rPr>
        <w:t xml:space="preserve">D. </w:t>
      </w:r>
      <w:r>
        <w:rPr>
          <w:rFonts w:ascii="Arial" w:hAnsi="Arial" w:eastAsia="Arial"/>
          <w:sz w:val="20"/>
        </w:rPr>
        <w:t>Incorrect. Many counseling screening tools may be used by appropriately trained LPCCs within scope and competence.</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Screening answers “Should I assess further?” more reliably than “What is the final diagnosis?”</w:t>
            </w:r>
          </w:p>
        </w:tc>
      </w:tr>
    </w:tbl>
    <w:p>
      <w:pPr>
        <w:spacing w:after="0"/>
      </w:pPr>
    </w:p>
    <w:p>
      <w:pPr>
        <w:pStyle w:val="Heading2"/>
        <w:spacing w:before="140" w:after="60"/>
        <w:keepNext/>
      </w:pPr>
      <w:r>
        <w:rPr>
          <w:rFonts w:ascii="Arial" w:hAnsi="Arial" w:eastAsia="Arial"/>
          <w:b/>
          <w:color w:val="17365D"/>
          <w:sz w:val="23"/>
        </w:rPr>
        <w:t>Question 6 (LPCC-WB03-Q006)</w:t>
      </w:r>
    </w:p>
    <w:p>
      <w:pPr>
        <w:spacing w:after="60"/>
        <w:keepNext/>
      </w:pPr>
      <w:r>
        <w:rPr>
          <w:rFonts w:ascii="Arial" w:hAnsi="Arial" w:eastAsia="Arial"/>
          <w:b/>
          <w:color w:val="1F7A8C"/>
          <w:sz w:val="20"/>
        </w:rPr>
        <w:t>Correct Answer: C</w:t>
      </w:r>
    </w:p>
    <w:p>
      <w:pPr>
        <w:spacing w:after="40"/>
        <w:ind w:left="173" w:hanging="173"/>
        <w:keepNext/>
      </w:pPr>
      <w:r>
        <w:rPr>
          <w:rFonts w:ascii="Arial" w:hAnsi="Arial" w:eastAsia="Arial"/>
          <w:b/>
          <w:color w:val="1F2937"/>
          <w:sz w:val="20"/>
        </w:rPr>
        <w:t xml:space="preserve">A. </w:t>
      </w:r>
      <w:r>
        <w:rPr>
          <w:rFonts w:ascii="Arial" w:hAnsi="Arial" w:eastAsia="Arial"/>
          <w:sz w:val="20"/>
        </w:rPr>
        <w:t>Incorrect. Confirming attendance may disclose protected information.</w:t>
      </w:r>
    </w:p>
    <w:p>
      <w:pPr>
        <w:spacing w:after="40"/>
        <w:ind w:left="173" w:hanging="173"/>
        <w:keepNext/>
      </w:pPr>
      <w:r>
        <w:rPr>
          <w:rFonts w:ascii="Arial" w:hAnsi="Arial" w:eastAsia="Arial"/>
          <w:b/>
          <w:color w:val="1F2937"/>
          <w:sz w:val="20"/>
        </w:rPr>
        <w:t xml:space="preserve">B. </w:t>
      </w:r>
      <w:r>
        <w:rPr>
          <w:rFonts w:ascii="Arial" w:hAnsi="Arial" w:eastAsia="Arial"/>
          <w:sz w:val="20"/>
        </w:rPr>
        <w:t>Incorrect. A counselor may be able to receive information without disclosing information, but must manage confidentiality and purpose carefully.</w:t>
      </w:r>
    </w:p>
    <w:p>
      <w:pPr>
        <w:spacing w:after="40"/>
        <w:ind w:left="173" w:hanging="173"/>
        <w:keepNext/>
      </w:pPr>
      <w:r>
        <w:rPr>
          <w:rFonts w:ascii="Arial" w:hAnsi="Arial" w:eastAsia="Arial"/>
          <w:b/>
          <w:color w:val="17365D"/>
          <w:sz w:val="20"/>
        </w:rPr>
        <w:t xml:space="preserve">C. </w:t>
      </w:r>
      <w:r>
        <w:rPr>
          <w:rFonts w:ascii="Arial" w:hAnsi="Arial" w:eastAsia="Arial"/>
          <w:sz w:val="20"/>
        </w:rPr>
        <w:t>Correct. The response protects confidentiality, avoids confirmation, clarifies the source, and addresses authorization before routine two-way contact.</w:t>
      </w:r>
    </w:p>
    <w:p>
      <w:pPr>
        <w:spacing w:after="40"/>
        <w:ind w:left="173" w:hanging="173"/>
        <w:keepNext/>
      </w:pPr>
      <w:r>
        <w:rPr>
          <w:rFonts w:ascii="Arial" w:hAnsi="Arial" w:eastAsia="Arial"/>
          <w:b/>
          <w:color w:val="1F2937"/>
          <w:sz w:val="20"/>
        </w:rPr>
        <w:t xml:space="preserve">D. </w:t>
      </w:r>
      <w:r>
        <w:rPr>
          <w:rFonts w:ascii="Arial" w:hAnsi="Arial" w:eastAsia="Arial"/>
          <w:sz w:val="20"/>
        </w:rPr>
        <w:t>Incorrect. Unstructured email may create privacy, documentation, and boundary problems and does not resolve authorization.</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Separate receiving information from disclosing information. Protect confidentiality first, then clarify authority, purpose, source, and documentation.</w:t>
            </w:r>
          </w:p>
        </w:tc>
      </w:tr>
    </w:tbl>
    <w:p>
      <w:pPr>
        <w:spacing w:after="0"/>
      </w:pPr>
    </w:p>
    <w:p>
      <w:pPr>
        <w:pStyle w:val="Heading2"/>
        <w:spacing w:before="140" w:after="60"/>
        <w:keepNext/>
      </w:pPr>
      <w:r>
        <w:rPr>
          <w:rFonts w:ascii="Arial" w:hAnsi="Arial" w:eastAsia="Arial"/>
          <w:b/>
          <w:color w:val="17365D"/>
          <w:sz w:val="23"/>
        </w:rPr>
        <w:t>Question 7 (LPCC-WB03-Q007)</w:t>
      </w:r>
    </w:p>
    <w:p>
      <w:pPr>
        <w:spacing w:after="60"/>
        <w:keepNext/>
      </w:pPr>
      <w:r>
        <w:rPr>
          <w:rFonts w:ascii="Arial" w:hAnsi="Arial" w:eastAsia="Arial"/>
          <w:b/>
          <w:color w:val="1F7A8C"/>
          <w:sz w:val="20"/>
        </w:rPr>
        <w:t>Correct Answer: C</w:t>
      </w:r>
    </w:p>
    <w:p>
      <w:pPr>
        <w:spacing w:after="40"/>
        <w:ind w:left="173" w:hanging="173"/>
        <w:keepNext/>
      </w:pPr>
      <w:r>
        <w:rPr>
          <w:rFonts w:ascii="Arial" w:hAnsi="Arial" w:eastAsia="Arial"/>
          <w:b/>
          <w:color w:val="1F2937"/>
          <w:sz w:val="20"/>
        </w:rPr>
        <w:t xml:space="preserve">A. </w:t>
      </w:r>
      <w:r>
        <w:rPr>
          <w:rFonts w:ascii="Arial" w:hAnsi="Arial" w:eastAsia="Arial"/>
          <w:sz w:val="20"/>
        </w:rPr>
        <w:t>Incorrect. Reading a manual does not change the statutory exclusion or establish competence.</w:t>
      </w:r>
    </w:p>
    <w:p>
      <w:pPr>
        <w:spacing w:after="40"/>
        <w:ind w:left="173" w:hanging="173"/>
        <w:keepNext/>
      </w:pPr>
      <w:r>
        <w:rPr>
          <w:rFonts w:ascii="Arial" w:hAnsi="Arial" w:eastAsia="Arial"/>
          <w:b/>
          <w:color w:val="1F2937"/>
          <w:sz w:val="20"/>
        </w:rPr>
        <w:t xml:space="preserve">B. </w:t>
      </w:r>
      <w:r>
        <w:rPr>
          <w:rFonts w:ascii="Arial" w:hAnsi="Arial" w:eastAsia="Arial"/>
          <w:sz w:val="20"/>
        </w:rPr>
        <w:t>Incorrect. Substituting another tool to reach the same specialized conclusion may still exceed scope and validity.</w:t>
      </w:r>
    </w:p>
    <w:p>
      <w:pPr>
        <w:spacing w:after="40"/>
        <w:ind w:left="173" w:hanging="173"/>
        <w:keepNext/>
      </w:pPr>
      <w:r>
        <w:rPr>
          <w:rFonts w:ascii="Arial" w:hAnsi="Arial" w:eastAsia="Arial"/>
          <w:b/>
          <w:color w:val="17365D"/>
          <w:sz w:val="20"/>
        </w:rPr>
        <w:t xml:space="preserve">C. </w:t>
      </w:r>
      <w:r>
        <w:rPr>
          <w:rFonts w:ascii="Arial" w:hAnsi="Arial" w:eastAsia="Arial"/>
          <w:sz w:val="20"/>
        </w:rPr>
        <w:t>Correct. California LPCC assessment excludes individually administered intelligence testing, so referral is appropriate.</w:t>
      </w:r>
    </w:p>
    <w:p>
      <w:pPr>
        <w:spacing w:after="40"/>
        <w:ind w:left="173" w:hanging="173"/>
        <w:keepNext/>
      </w:pPr>
      <w:r>
        <w:rPr>
          <w:rFonts w:ascii="Arial" w:hAnsi="Arial" w:eastAsia="Arial"/>
          <w:b/>
          <w:color w:val="1F2937"/>
          <w:sz w:val="20"/>
        </w:rPr>
        <w:t xml:space="preserve">D. </w:t>
      </w:r>
      <w:r>
        <w:rPr>
          <w:rFonts w:ascii="Arial" w:hAnsi="Arial" w:eastAsia="Arial"/>
          <w:sz w:val="20"/>
        </w:rPr>
        <w:t>Incorrect. Client consent or waiver does not authorize an excluded professional act.</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Consent does not expand scope. When the requested task is explicitly excluded, refer to an appropriately qualified professional.</w:t>
            </w:r>
          </w:p>
        </w:tc>
      </w:tr>
    </w:tbl>
    <w:p>
      <w:pPr>
        <w:spacing w:after="0"/>
      </w:pPr>
    </w:p>
    <w:p>
      <w:pPr>
        <w:pStyle w:val="Heading2"/>
        <w:spacing w:before="140" w:after="60"/>
        <w:keepNext/>
      </w:pPr>
      <w:r>
        <w:rPr>
          <w:rFonts w:ascii="Arial" w:hAnsi="Arial" w:eastAsia="Arial"/>
          <w:b/>
          <w:color w:val="17365D"/>
          <w:sz w:val="23"/>
        </w:rPr>
        <w:t>Question 8 (LPCC-WB03-Q008)</w:t>
      </w:r>
    </w:p>
    <w:p>
      <w:pPr>
        <w:spacing w:after="60"/>
        <w:keepNext/>
      </w:pPr>
      <w:r>
        <w:rPr>
          <w:rFonts w:ascii="Arial" w:hAnsi="Arial" w:eastAsia="Arial"/>
          <w:b/>
          <w:color w:val="1F7A8C"/>
          <w:sz w:val="20"/>
        </w:rPr>
        <w:t>Correct Answer: B</w:t>
      </w:r>
    </w:p>
    <w:p>
      <w:pPr>
        <w:spacing w:after="40"/>
        <w:ind w:left="173" w:hanging="173"/>
        <w:keepNext/>
      </w:pPr>
      <w:r>
        <w:rPr>
          <w:rFonts w:ascii="Arial" w:hAnsi="Arial" w:eastAsia="Arial"/>
          <w:b/>
          <w:color w:val="1F2937"/>
          <w:sz w:val="20"/>
        </w:rPr>
        <w:t xml:space="preserve">A. </w:t>
      </w:r>
      <w:r>
        <w:rPr>
          <w:rFonts w:ascii="Arial" w:hAnsi="Arial" w:eastAsia="Arial"/>
          <w:sz w:val="20"/>
        </w:rPr>
        <w:t>Incorrect. A termination-only score cannot guide ongoing treatment decisions or establish change from baseline.</w:t>
      </w:r>
    </w:p>
    <w:p>
      <w:pPr>
        <w:spacing w:after="40"/>
        <w:ind w:left="173" w:hanging="173"/>
        <w:keepNext/>
      </w:pPr>
      <w:r>
        <w:rPr>
          <w:rFonts w:ascii="Arial" w:hAnsi="Arial" w:eastAsia="Arial"/>
          <w:b/>
          <w:color w:val="17365D"/>
          <w:sz w:val="20"/>
        </w:rPr>
        <w:t xml:space="preserve">B. </w:t>
      </w:r>
      <w:r>
        <w:rPr>
          <w:rFonts w:ascii="Arial" w:hAnsi="Arial" w:eastAsia="Arial"/>
          <w:sz w:val="20"/>
        </w:rPr>
        <w:t>Correct. Purpose, baseline, repeated measurement, and a planned response make the tool clinically actionable.</w:t>
      </w:r>
    </w:p>
    <w:p>
      <w:pPr>
        <w:spacing w:after="40"/>
        <w:ind w:left="173" w:hanging="173"/>
        <w:keepNext/>
      </w:pPr>
      <w:r>
        <w:rPr>
          <w:rFonts w:ascii="Arial" w:hAnsi="Arial" w:eastAsia="Arial"/>
          <w:b/>
          <w:color w:val="1F2937"/>
          <w:sz w:val="20"/>
        </w:rPr>
        <w:t xml:space="preserve">C. </w:t>
      </w:r>
      <w:r>
        <w:rPr>
          <w:rFonts w:ascii="Arial" w:hAnsi="Arial" w:eastAsia="Arial"/>
          <w:sz w:val="20"/>
        </w:rPr>
        <w:t>Incorrect. Excessive measurement can burden the client and collect data that do not influence care.</w:t>
      </w:r>
    </w:p>
    <w:p>
      <w:pPr>
        <w:spacing w:after="40"/>
        <w:ind w:left="173" w:hanging="173"/>
        <w:keepNext/>
      </w:pPr>
      <w:r>
        <w:rPr>
          <w:rFonts w:ascii="Arial" w:hAnsi="Arial" w:eastAsia="Arial"/>
          <w:b/>
          <w:color w:val="1F2937"/>
          <w:sz w:val="20"/>
        </w:rPr>
        <w:t xml:space="preserve">D. </w:t>
      </w:r>
      <w:r>
        <w:rPr>
          <w:rFonts w:ascii="Arial" w:hAnsi="Arial" w:eastAsia="Arial"/>
          <w:sz w:val="20"/>
        </w:rPr>
        <w:t>Incorrect. Brevity does not compensate for poor language, norm, accessibility, or purpose fit.</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The best measurement plan tells you what decision the result will change.</w:t>
            </w:r>
          </w:p>
        </w:tc>
      </w:tr>
    </w:tbl>
    <w:p>
      <w:pPr>
        <w:spacing w:after="0"/>
      </w:pPr>
    </w:p>
    <w:p>
      <w:pPr>
        <w:pStyle w:val="Heading2"/>
        <w:spacing w:before="140" w:after="60"/>
        <w:keepNext/>
      </w:pPr>
      <w:r>
        <w:rPr>
          <w:rFonts w:ascii="Arial" w:hAnsi="Arial" w:eastAsia="Arial"/>
          <w:b/>
          <w:color w:val="17365D"/>
          <w:sz w:val="23"/>
        </w:rPr>
        <w:t>Question 9 (LPCC-WB03-Q009)</w:t>
      </w:r>
    </w:p>
    <w:p>
      <w:pPr>
        <w:spacing w:after="60"/>
        <w:keepNext/>
      </w:pPr>
      <w:r>
        <w:rPr>
          <w:rFonts w:ascii="Arial" w:hAnsi="Arial" w:eastAsia="Arial"/>
          <w:b/>
          <w:color w:val="1F7A8C"/>
          <w:sz w:val="20"/>
        </w:rPr>
        <w:t>Correct Answer: B</w:t>
      </w:r>
    </w:p>
    <w:p>
      <w:pPr>
        <w:spacing w:after="40"/>
        <w:ind w:left="173" w:hanging="173"/>
        <w:keepNext/>
      </w:pPr>
      <w:r>
        <w:rPr>
          <w:rFonts w:ascii="Arial" w:hAnsi="Arial" w:eastAsia="Arial"/>
          <w:b/>
          <w:color w:val="1F2937"/>
          <w:sz w:val="20"/>
        </w:rPr>
        <w:t xml:space="preserve">A. </w:t>
      </w:r>
      <w:r>
        <w:rPr>
          <w:rFonts w:ascii="Arial" w:hAnsi="Arial" w:eastAsia="Arial"/>
          <w:sz w:val="20"/>
        </w:rPr>
        <w:t>Incorrect. Denial of danger does not resolve location, privacy, emergency access, or data-quality problems.</w:t>
      </w:r>
    </w:p>
    <w:p>
      <w:pPr>
        <w:spacing w:after="40"/>
        <w:ind w:left="173" w:hanging="173"/>
        <w:keepNext/>
      </w:pPr>
      <w:r>
        <w:rPr>
          <w:rFonts w:ascii="Arial" w:hAnsi="Arial" w:eastAsia="Arial"/>
          <w:b/>
          <w:color w:val="17365D"/>
          <w:sz w:val="20"/>
        </w:rPr>
        <w:t xml:space="preserve">B. </w:t>
      </w:r>
      <w:r>
        <w:rPr>
          <w:rFonts w:ascii="Arial" w:hAnsi="Arial" w:eastAsia="Arial"/>
          <w:sz w:val="20"/>
        </w:rPr>
        <w:t>Correct. The counselor explains the purpose, preserves access through options, and completes location and emergency requirements before sensitive assessment.</w:t>
      </w:r>
    </w:p>
    <w:p>
      <w:pPr>
        <w:spacing w:after="40"/>
        <w:ind w:left="173" w:hanging="173"/>
        <w:keepNext/>
      </w:pPr>
      <w:r>
        <w:rPr>
          <w:rFonts w:ascii="Arial" w:hAnsi="Arial" w:eastAsia="Arial"/>
          <w:b/>
          <w:color w:val="1F2937"/>
          <w:sz w:val="20"/>
        </w:rPr>
        <w:t xml:space="preserve">C. </w:t>
      </w:r>
      <w:r>
        <w:rPr>
          <w:rFonts w:ascii="Arial" w:hAnsi="Arial" w:eastAsia="Arial"/>
          <w:sz w:val="20"/>
        </w:rPr>
        <w:t>Incorrect. Immediate termination is disproportionate and frames an access or privacy problem as misconduct.</w:t>
      </w:r>
    </w:p>
    <w:p>
      <w:pPr>
        <w:spacing w:after="40"/>
        <w:ind w:left="173" w:hanging="173"/>
        <w:keepNext/>
      </w:pPr>
      <w:r>
        <w:rPr>
          <w:rFonts w:ascii="Arial" w:hAnsi="Arial" w:eastAsia="Arial"/>
          <w:b/>
          <w:color w:val="1F2937"/>
          <w:sz w:val="20"/>
        </w:rPr>
        <w:t xml:space="preserve">D. </w:t>
      </w:r>
      <w:r>
        <w:rPr>
          <w:rFonts w:ascii="Arial" w:hAnsi="Arial" w:eastAsia="Arial"/>
          <w:sz w:val="20"/>
        </w:rPr>
        <w:t>Incorrect. Chat-based diagnostic measures do not resolve privacy, location, or emergency planning and may worsen risk.</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Telehealth barriers call for explanation and alternatives, not automatic continuation or automatic discharge.</w:t>
            </w:r>
          </w:p>
        </w:tc>
      </w:tr>
    </w:tbl>
    <w:p>
      <w:pPr>
        <w:spacing w:after="0"/>
      </w:pPr>
    </w:p>
    <w:p>
      <w:pPr>
        <w:pStyle w:val="Heading2"/>
        <w:spacing w:before="140" w:after="60"/>
        <w:keepNext/>
      </w:pPr>
      <w:r>
        <w:rPr>
          <w:rFonts w:ascii="Arial" w:hAnsi="Arial" w:eastAsia="Arial"/>
          <w:b/>
          <w:color w:val="17365D"/>
          <w:sz w:val="23"/>
        </w:rPr>
        <w:t>Question 10 (LPCC-WB03-Q010)</w:t>
      </w:r>
    </w:p>
    <w:p>
      <w:pPr>
        <w:spacing w:after="60"/>
        <w:keepNext/>
      </w:pPr>
      <w:r>
        <w:rPr>
          <w:rFonts w:ascii="Arial" w:hAnsi="Arial" w:eastAsia="Arial"/>
          <w:b/>
          <w:color w:val="1F7A8C"/>
          <w:sz w:val="20"/>
        </w:rPr>
        <w:t>Correct Answer: C</w:t>
      </w:r>
    </w:p>
    <w:p>
      <w:pPr>
        <w:spacing w:after="40"/>
        <w:ind w:left="173" w:hanging="173"/>
        <w:keepNext/>
      </w:pPr>
      <w:r>
        <w:rPr>
          <w:rFonts w:ascii="Arial" w:hAnsi="Arial" w:eastAsia="Arial"/>
          <w:b/>
          <w:color w:val="1F2937"/>
          <w:sz w:val="20"/>
        </w:rPr>
        <w:t xml:space="preserve">A. </w:t>
      </w:r>
      <w:r>
        <w:rPr>
          <w:rFonts w:ascii="Arial" w:hAnsi="Arial" w:eastAsia="Arial"/>
          <w:sz w:val="20"/>
        </w:rPr>
        <w:t>Incorrect. Panic-like symptoms and an elevated screen are insufficient without medical, substance, trauma, and differential assessment.</w:t>
      </w:r>
    </w:p>
    <w:p>
      <w:pPr>
        <w:spacing w:after="40"/>
        <w:ind w:left="173" w:hanging="173"/>
        <w:keepNext/>
      </w:pPr>
      <w:r>
        <w:rPr>
          <w:rFonts w:ascii="Arial" w:hAnsi="Arial" w:eastAsia="Arial"/>
          <w:b/>
          <w:color w:val="1F2937"/>
          <w:sz w:val="20"/>
        </w:rPr>
        <w:t xml:space="preserve">B. </w:t>
      </w:r>
      <w:r>
        <w:rPr>
          <w:rFonts w:ascii="Arial" w:hAnsi="Arial" w:eastAsia="Arial"/>
          <w:sz w:val="20"/>
        </w:rPr>
        <w:t>Incorrect. Temporal association with trauma does not independently establish PTSD criteria.</w:t>
      </w:r>
    </w:p>
    <w:p>
      <w:pPr>
        <w:spacing w:after="40"/>
        <w:ind w:left="173" w:hanging="173"/>
        <w:keepNext/>
      </w:pPr>
      <w:r>
        <w:rPr>
          <w:rFonts w:ascii="Arial" w:hAnsi="Arial" w:eastAsia="Arial"/>
          <w:b/>
          <w:color w:val="17365D"/>
          <w:sz w:val="20"/>
        </w:rPr>
        <w:t xml:space="preserve">C. </w:t>
      </w:r>
      <w:r>
        <w:rPr>
          <w:rFonts w:ascii="Arial" w:hAnsi="Arial" w:eastAsia="Arial"/>
          <w:sz w:val="20"/>
        </w:rPr>
        <w:t>Correct. The option completes the missing assessment, integrates competing explanations, and addresses medical evaluation before finalizing the formulation.</w:t>
      </w:r>
    </w:p>
    <w:p>
      <w:pPr>
        <w:spacing w:after="40"/>
        <w:ind w:left="173" w:hanging="173"/>
        <w:keepNext/>
      </w:pPr>
      <w:r>
        <w:rPr>
          <w:rFonts w:ascii="Arial" w:hAnsi="Arial" w:eastAsia="Arial"/>
          <w:b/>
          <w:color w:val="1F2937"/>
          <w:sz w:val="20"/>
        </w:rPr>
        <w:t xml:space="preserve">D. </w:t>
      </w:r>
      <w:r>
        <w:rPr>
          <w:rFonts w:ascii="Arial" w:hAnsi="Arial" w:eastAsia="Arial"/>
          <w:sz w:val="20"/>
        </w:rPr>
        <w:t>Incorrect. Repetition of one tool does not substitute for a comprehensive assessment.</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When several plausible explanations remain, choose the answer that gathers discriminating evidence and addresses medical risk before committing to a diagnosis or intervention.</w:t>
            </w:r>
          </w:p>
        </w:tc>
      </w:tr>
    </w:tbl>
    <w:p>
      <w:pPr>
        <w:spacing w:after="0"/>
      </w:pPr>
    </w:p>
    <w:p>
      <w:pPr>
        <w:pStyle w:val="Heading1"/>
        <w:spacing w:before="100" w:after="80"/>
        <w:keepNext/>
      </w:pPr>
      <w:r>
        <w:rPr>
          <w:rFonts w:ascii="Arial" w:hAnsi="Arial" w:eastAsia="Arial"/>
          <w:b/>
          <w:color w:val="17365D"/>
          <w:sz w:val="23"/>
        </w:rPr>
        <w:t>Study Planning and Next Step</w:t>
      </w:r>
    </w:p>
    <w:p>
      <w:pPr>
        <w:pStyle w:val="Heading2"/>
        <w:spacing w:before="140" w:after="80"/>
        <w:keepNext/>
      </w:pPr>
      <w:r>
        <w:rPr>
          <w:rFonts w:ascii="Arial" w:hAnsi="Arial" w:eastAsia="Arial"/>
          <w:b/>
          <w:color w:val="159C9C"/>
          <w:sz w:val="26"/>
        </w:rPr>
        <w:t>My Workbook 3 Results</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453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Metric</w:t>
            </w:r>
          </w:p>
        </w:tc>
        <w:tc>
          <w:tcPr>
            <w:tcW w:type="dxa" w:w="597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Result</w:t>
            </w:r>
          </w:p>
        </w:tc>
      </w:tr>
      <w:tr>
        <w:trPr>
          <w:cantSplit/>
        </w:trPr>
        <w:tc>
          <w:tcPr>
            <w:tcW w:type="dxa" w:w="45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Knowledge Check Score</w:t>
            </w:r>
          </w:p>
        </w:tc>
        <w:tc>
          <w:tcPr>
            <w:tcW w:type="dxa" w:w="59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 10</w:t>
            </w:r>
          </w:p>
        </w:tc>
      </w:tr>
      <w:tr>
        <w:trPr>
          <w:cantSplit/>
        </w:trPr>
        <w:tc>
          <w:tcPr>
            <w:tcW w:type="dxa" w:w="45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Low-Confidence Correct Answers</w:t>
            </w:r>
          </w:p>
        </w:tc>
        <w:tc>
          <w:tcPr>
            <w:tcW w:type="dxa" w:w="59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w:t>
            </w:r>
          </w:p>
        </w:tc>
      </w:tr>
      <w:tr>
        <w:trPr>
          <w:cantSplit/>
        </w:trPr>
        <w:tc>
          <w:tcPr>
            <w:tcW w:type="dxa" w:w="45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High-Confidence Incorrect Answers</w:t>
            </w:r>
          </w:p>
        </w:tc>
        <w:tc>
          <w:tcPr>
            <w:tcW w:type="dxa" w:w="59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w:t>
            </w:r>
          </w:p>
        </w:tc>
      </w:tr>
      <w:tr>
        <w:trPr>
          <w:cantSplit/>
        </w:trPr>
        <w:tc>
          <w:tcPr>
            <w:tcW w:type="dxa" w:w="45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Primary Error Pattern</w:t>
            </w:r>
          </w:p>
        </w:tc>
        <w:tc>
          <w:tcPr>
            <w:tcW w:type="dxa" w:w="59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________________________________________</w:t>
            </w:r>
          </w:p>
        </w:tc>
      </w:tr>
      <w:tr>
        <w:trPr>
          <w:cantSplit/>
        </w:trPr>
        <w:tc>
          <w:tcPr>
            <w:tcW w:type="dxa" w:w="45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Priority Chapter to Review</w:t>
            </w:r>
          </w:p>
        </w:tc>
        <w:tc>
          <w:tcPr>
            <w:tcW w:type="dxa" w:w="59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________________________________________</w:t>
            </w:r>
          </w:p>
        </w:tc>
      </w:tr>
    </w:tbl>
    <w:p>
      <w:pPr>
        <w:spacing w:after="0"/>
      </w:pPr>
    </w:p>
    <w:p>
      <w:pPr>
        <w:pStyle w:val="Heading2"/>
        <w:spacing w:before="140" w:after="80"/>
        <w:keepNext/>
      </w:pPr>
      <w:r>
        <w:rPr>
          <w:rFonts w:ascii="Arial" w:hAnsi="Arial" w:eastAsia="Arial"/>
          <w:b/>
          <w:color w:val="159C9C"/>
          <w:sz w:val="26"/>
        </w:rPr>
        <w:t>My Corrected Rules</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316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Error or Uncertainty</w:t>
            </w:r>
          </w:p>
        </w:tc>
        <w:tc>
          <w:tcPr>
            <w:tcW w:type="dxa" w:w="410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Corrected Decision Rule</w:t>
            </w:r>
          </w:p>
        </w:tc>
        <w:tc>
          <w:tcPr>
            <w:tcW w:type="dxa" w:w="324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How I Will Practice It</w:t>
            </w:r>
          </w:p>
        </w:tc>
      </w:tr>
      <w:tr>
        <w:trPr>
          <w:cantSplit/>
        </w:trPr>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41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32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41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32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41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32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41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32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bl>
    <w:p>
      <w:pPr>
        <w:spacing w:after="0"/>
      </w:pPr>
    </w:p>
    <w:p>
      <w:pPr>
        <w:pStyle w:val="Heading2"/>
        <w:spacing w:before="140" w:after="80"/>
        <w:keepNext/>
      </w:pPr>
      <w:r>
        <w:rPr>
          <w:rFonts w:ascii="Arial" w:hAnsi="Arial" w:eastAsia="Arial"/>
          <w:b/>
          <w:color w:val="159C9C"/>
          <w:sz w:val="26"/>
        </w:rPr>
        <w:t>Workbook 3 Completion Check</w:t>
      </w:r>
    </w:p>
    <w:p>
      <w:pPr>
        <w:spacing w:after="40"/>
      </w:pPr>
      <w:r>
        <w:rPr>
          <w:rFonts w:ascii="Arial" w:hAnsi="Arial" w:eastAsia="Arial"/>
          <w:sz w:val="20"/>
        </w:rPr>
        <w:t>☐ I can sequence intake, informed consent, access, and target assessment without turning the session into a checklist.</w:t>
      </w:r>
    </w:p>
    <w:p>
      <w:pPr>
        <w:spacing w:after="40"/>
      </w:pPr>
      <w:r>
        <w:rPr>
          <w:rFonts w:ascii="Arial" w:hAnsi="Arial" w:eastAsia="Arial"/>
          <w:sz w:val="20"/>
        </w:rPr>
        <w:t>☐ I can separate client report, direct observation, instrument result, collateral report, inference, and diagnosis.</w:t>
      </w:r>
    </w:p>
    <w:p>
      <w:pPr>
        <w:spacing w:after="40"/>
      </w:pPr>
      <w:r>
        <w:rPr>
          <w:rFonts w:ascii="Arial" w:hAnsi="Arial" w:eastAsia="Arial"/>
          <w:sz w:val="20"/>
        </w:rPr>
        <w:t>☐ I can document the MSE using objective and culturally contextualized language.</w:t>
      </w:r>
    </w:p>
    <w:p>
      <w:pPr>
        <w:spacing w:after="40"/>
      </w:pPr>
      <w:r>
        <w:rPr>
          <w:rFonts w:ascii="Arial" w:hAnsi="Arial" w:eastAsia="Arial"/>
          <w:sz w:val="20"/>
        </w:rPr>
        <w:t>☐ I can explain the difference between screening, assessment, diagnosis, and outcome measurement.</w:t>
      </w:r>
    </w:p>
    <w:p>
      <w:pPr>
        <w:spacing w:after="40"/>
      </w:pPr>
      <w:r>
        <w:rPr>
          <w:rFonts w:ascii="Arial" w:hAnsi="Arial" w:eastAsia="Arial"/>
          <w:sz w:val="20"/>
        </w:rPr>
        <w:t>☐ I can apply California LPCC assessment limits and refer for excluded or specialized testing.</w:t>
      </w:r>
    </w:p>
    <w:p>
      <w:pPr>
        <w:spacing w:after="40"/>
      </w:pPr>
      <w:r>
        <w:rPr>
          <w:rFonts w:ascii="Arial" w:hAnsi="Arial" w:eastAsia="Arial"/>
          <w:sz w:val="20"/>
        </w:rPr>
        <w:t>☐ I can verify telehealth location, consent, privacy, emergency planning, modality fit, and access.</w:t>
      </w:r>
    </w:p>
    <w:p>
      <w:pPr>
        <w:spacing w:after="40"/>
      </w:pPr>
      <w:r>
        <w:rPr>
          <w:rFonts w:ascii="Arial" w:hAnsi="Arial" w:eastAsia="Arial"/>
          <w:sz w:val="20"/>
        </w:rPr>
        <w:t>☐ I completed the worksheets and Rafael cumulative case lab.</w:t>
      </w:r>
    </w:p>
    <w:p>
      <w:pPr>
        <w:spacing w:after="40"/>
      </w:pPr>
      <w:r>
        <w:rPr>
          <w:rFonts w:ascii="Arial" w:hAnsi="Arial" w:eastAsia="Arial"/>
          <w:sz w:val="20"/>
        </w:rPr>
        <w:t>☐ I am ready to complete the separate Workbook 3 practice bank under closed-book conditions.</w:t>
      </w:r>
    </w:p>
    <w:p>
      <w:pPr>
        <w:pStyle w:val="Heading2"/>
        <w:spacing w:before="140" w:after="80"/>
        <w:keepNext/>
      </w:pPr>
      <w:r>
        <w:rPr>
          <w:rFonts w:ascii="Arial" w:hAnsi="Arial" w:eastAsia="Arial"/>
          <w:b/>
          <w:color w:val="159C9C"/>
          <w:sz w:val="26"/>
        </w:rPr>
        <w:t>Next Controlled Action</w:t>
      </w:r>
    </w:p>
    <w:p>
      <w:pPr>
        <w:spacing w:before="0" w:after="100" w:line="254" w:lineRule="auto"/>
      </w:pPr>
      <w:r>
        <w:rPr>
          <w:rFonts w:ascii="Arial" w:hAnsi="Arial" w:eastAsia="Arial"/>
          <w:b w:val="0"/>
          <w:i w:val="0"/>
          <w:color w:val="1F2937"/>
          <w:sz w:val="20"/>
        </w:rPr>
        <w:t>Complete the matching CTA LPCC Workbook 3 17-question practice bank. Review the separate rationale form only after submitting your answers and confidence ratings. Use the error pattern to decide whether to remediate this workbook before moving to crisis and level-of-care decisions.</w:t>
      </w:r>
    </w:p>
    <w:p>
      <w:pPr>
        <w:spacing w:after="40"/>
      </w:pPr>
      <w:r>
        <w:rPr>
          <w:rFonts w:ascii="Arial" w:hAnsi="Arial" w:eastAsia="Arial"/>
          <w:sz w:val="20"/>
        </w:rPr>
        <w:t>☐ Move to Workbook 4 only after I can explain the intake, MSE, instrument, collateral, and telehealth decision rules in my own words.</w:t>
      </w:r>
    </w:p>
    <w:p>
      <w:pPr>
        <w:pStyle w:val="Heading2"/>
        <w:spacing w:before="140" w:after="80"/>
        <w:keepNext/>
      </w:pPr>
      <w:r>
        <w:rPr>
          <w:rFonts w:ascii="Arial" w:hAnsi="Arial" w:eastAsia="Arial"/>
          <w:b/>
          <w:color w:val="159C9C"/>
          <w:sz w:val="26"/>
        </w:rPr>
        <w:t>Official Sources and Currency Note</w:t>
      </w:r>
    </w:p>
    <w:p>
      <w:pPr>
        <w:spacing w:before="0" w:after="100" w:line="254" w:lineRule="auto"/>
      </w:pPr>
      <w:r>
        <w:rPr>
          <w:rFonts w:ascii="Arial" w:hAnsi="Arial" w:eastAsia="Arial"/>
          <w:b w:val="0"/>
          <w:i w:val="0"/>
          <w:color w:val="1F2937"/>
          <w:sz w:val="20"/>
        </w:rPr>
        <w:t>Content was verified against official and authoritative sources available in July 2026. Laws, Board guidance, examination specifications, ethical standards, and instrument guidance may change. Candidates should confirm requirements that apply to their test date and practice setting. Named measures are examples only; use current manuals, permissions, scoring rules, population guidance, and training requirements.</w:t>
      </w:r>
    </w:p>
    <w:p>
      <w:pPr>
        <w:spacing w:after="40"/>
      </w:pPr>
      <w:r>
        <w:rPr>
          <w:rFonts w:ascii="Arial" w:hAnsi="Arial" w:eastAsia="Arial"/>
          <w:b/>
          <w:color w:val="17365D"/>
          <w:sz w:val="19"/>
        </w:rPr>
        <w:t xml:space="preserve">California Business and Professions Code § 4999.20: </w:t>
      </w:r>
      <w:hyperlink r:id="rId12">
        <w:r>
          <w:rPr>
            <w:rFonts w:ascii="Arial" w:hAnsi="Arial"/>
            <w:color w:val="159C9C"/>
            <w:u w:val="single"/>
          </w:rPr>
          <w:t>Open official source</w:t>
        </w:r>
      </w:hyperlink>
      <w:r>
        <w:rPr>
          <w:rFonts w:ascii="Arial" w:hAnsi="Arial" w:eastAsia="Arial"/>
          <w:color w:val="1F2937"/>
          <w:sz w:val="19"/>
        </w:rPr>
        <w:t xml:space="preserve"> - LPCC scope, counseling assessment, explicit exclusions, and competence-based referral.</w:t>
      </w:r>
    </w:p>
    <w:p>
      <w:pPr>
        <w:spacing w:after="40"/>
      </w:pPr>
      <w:r>
        <w:rPr>
          <w:rFonts w:ascii="Arial" w:hAnsi="Arial" w:eastAsia="Arial"/>
          <w:b/>
          <w:color w:val="17365D"/>
          <w:sz w:val="19"/>
        </w:rPr>
        <w:t xml:space="preserve">California Business and Professions Code § 2290.5: </w:t>
      </w:r>
      <w:hyperlink r:id="rId13">
        <w:r>
          <w:rPr>
            <w:rFonts w:ascii="Arial" w:hAnsi="Arial"/>
            <w:color w:val="159C9C"/>
            <w:u w:val="single"/>
          </w:rPr>
          <w:t>Open official source</w:t>
        </w:r>
      </w:hyperlink>
      <w:r>
        <w:rPr>
          <w:rFonts w:ascii="Arial" w:hAnsi="Arial" w:eastAsia="Arial"/>
          <w:color w:val="1F2937"/>
          <w:sz w:val="19"/>
        </w:rPr>
        <w:t xml:space="preserve"> - Telehealth definition, consent, documentation, confidentiality, and scope limits; amended effective January 1, 2026.</w:t>
      </w:r>
    </w:p>
    <w:p>
      <w:pPr>
        <w:spacing w:after="40"/>
      </w:pPr>
      <w:r>
        <w:rPr>
          <w:rFonts w:ascii="Arial" w:hAnsi="Arial" w:eastAsia="Arial"/>
          <w:b/>
          <w:color w:val="17365D"/>
          <w:sz w:val="19"/>
        </w:rPr>
        <w:t xml:space="preserve">NBCC NCMHCE Content Outline: </w:t>
      </w:r>
      <w:hyperlink r:id="rId14">
        <w:r>
          <w:rPr>
            <w:rFonts w:ascii="Arial" w:hAnsi="Arial"/>
            <w:color w:val="159C9C"/>
            <w:u w:val="single"/>
          </w:rPr>
          <w:t>Open official source</w:t>
        </w:r>
      </w:hyperlink>
      <w:r>
        <w:rPr>
          <w:rFonts w:ascii="Arial" w:hAnsi="Arial" w:eastAsia="Arial"/>
          <w:color w:val="1F2937"/>
          <w:sz w:val="19"/>
        </w:rPr>
        <w:t xml:space="preserve"> - Current Intake, Assessment, and Diagnosis domain and related tasks.</w:t>
      </w:r>
    </w:p>
    <w:p>
      <w:pPr>
        <w:spacing w:after="40"/>
      </w:pPr>
      <w:r>
        <w:rPr>
          <w:rFonts w:ascii="Arial" w:hAnsi="Arial" w:eastAsia="Arial"/>
          <w:b/>
          <w:color w:val="17365D"/>
          <w:sz w:val="19"/>
        </w:rPr>
        <w:t xml:space="preserve">NBCC NCMHCE 2027 Examination Specifications: </w:t>
      </w:r>
      <w:hyperlink r:id="rId15">
        <w:r>
          <w:rPr>
            <w:rFonts w:ascii="Arial" w:hAnsi="Arial"/>
            <w:color w:val="159C9C"/>
            <w:u w:val="single"/>
          </w:rPr>
          <w:t>Open official source</w:t>
        </w:r>
      </w:hyperlink>
      <w:r>
        <w:rPr>
          <w:rFonts w:ascii="Arial" w:hAnsi="Arial" w:eastAsia="Arial"/>
          <w:color w:val="1F2937"/>
          <w:sz w:val="19"/>
        </w:rPr>
        <w:t xml:space="preserve"> - Effective July 1, 2027; Intake &amp; Assessment domain and revised task structure.</w:t>
      </w:r>
    </w:p>
    <w:p>
      <w:pPr>
        <w:spacing w:after="40"/>
      </w:pPr>
      <w:r>
        <w:rPr>
          <w:rFonts w:ascii="Arial" w:hAnsi="Arial" w:eastAsia="Arial"/>
          <w:b/>
          <w:color w:val="17365D"/>
          <w:sz w:val="19"/>
        </w:rPr>
        <w:t xml:space="preserve">NBCC NCMHCE Page: </w:t>
      </w:r>
      <w:hyperlink r:id="rId16">
        <w:r>
          <w:rPr>
            <w:rFonts w:ascii="Arial" w:hAnsi="Arial"/>
            <w:color w:val="159C9C"/>
            <w:u w:val="single"/>
          </w:rPr>
          <w:t>Open official source</w:t>
        </w:r>
      </w:hyperlink>
      <w:r>
        <w:rPr>
          <w:rFonts w:ascii="Arial" w:hAnsi="Arial" w:eastAsia="Arial"/>
          <w:color w:val="1F2937"/>
          <w:sz w:val="19"/>
        </w:rPr>
        <w:t xml:space="preserve"> - Official current and future examination resources.</w:t>
      </w:r>
    </w:p>
    <w:p>
      <w:pPr>
        <w:spacing w:after="40"/>
      </w:pPr>
      <w:r>
        <w:rPr>
          <w:rFonts w:ascii="Arial" w:hAnsi="Arial" w:eastAsia="Arial"/>
          <w:b/>
          <w:color w:val="17365D"/>
          <w:sz w:val="19"/>
        </w:rPr>
        <w:t xml:space="preserve">American Psychiatric Association DSM-5-TR Assessment Measures: </w:t>
      </w:r>
      <w:hyperlink r:id="rId17">
        <w:r>
          <w:rPr>
            <w:rFonts w:ascii="Arial" w:hAnsi="Arial"/>
            <w:color w:val="159C9C"/>
            <w:u w:val="single"/>
          </w:rPr>
          <w:t>Open official source</w:t>
        </w:r>
      </w:hyperlink>
      <w:r>
        <w:rPr>
          <w:rFonts w:ascii="Arial" w:hAnsi="Arial" w:eastAsia="Arial"/>
          <w:color w:val="1F2937"/>
          <w:sz w:val="19"/>
        </w:rPr>
        <w:t xml:space="preserve"> - Assessment measures and Cultural Formulation Interview resources; measures supplement rather than independently establish diagnosis.</w:t>
      </w:r>
    </w:p>
    <w:p>
      <w:pPr>
        <w:spacing w:after="40"/>
      </w:pPr>
      <w:r>
        <w:rPr>
          <w:rFonts w:ascii="Arial" w:hAnsi="Arial" w:eastAsia="Arial"/>
          <w:b/>
          <w:color w:val="17365D"/>
          <w:sz w:val="19"/>
        </w:rPr>
        <w:t xml:space="preserve">NCBI Bookshelf: Mental Status Examination: </w:t>
      </w:r>
      <w:hyperlink r:id="rId18">
        <w:r>
          <w:rPr>
            <w:rFonts w:ascii="Arial" w:hAnsi="Arial"/>
            <w:color w:val="159C9C"/>
            <w:u w:val="single"/>
          </w:rPr>
          <w:t>Open official source</w:t>
        </w:r>
      </w:hyperlink>
      <w:r>
        <w:rPr>
          <w:rFonts w:ascii="Arial" w:hAnsi="Arial" w:eastAsia="Arial"/>
          <w:color w:val="1F2937"/>
          <w:sz w:val="19"/>
        </w:rPr>
        <w:t xml:space="preserve"> - Authoritative review of MSE domains, limitations, and clinical integration; updated April 2024.</w:t>
      </w:r>
    </w:p>
    <w:p>
      <w:pPr>
        <w:spacing w:after="40"/>
      </w:pPr>
      <w:r>
        <w:rPr>
          <w:rFonts w:ascii="Arial" w:hAnsi="Arial" w:eastAsia="Arial"/>
          <w:b/>
          <w:color w:val="17365D"/>
          <w:sz w:val="19"/>
        </w:rPr>
        <w:t xml:space="preserve">HHS Telehealth: Informed Consent for Telebehavioral Health: </w:t>
      </w:r>
      <w:hyperlink r:id="rId19">
        <w:r>
          <w:rPr>
            <w:rFonts w:ascii="Arial" w:hAnsi="Arial"/>
            <w:color w:val="159C9C"/>
            <w:u w:val="single"/>
          </w:rPr>
          <w:t>Open official source</w:t>
        </w:r>
      </w:hyperlink>
      <w:r>
        <w:rPr>
          <w:rFonts w:ascii="Arial" w:hAnsi="Arial" w:eastAsia="Arial"/>
          <w:color w:val="1F2937"/>
          <w:sz w:val="19"/>
        </w:rPr>
        <w:t xml:space="preserve"> - Consent and privacy preparation guidance.</w:t>
      </w:r>
    </w:p>
    <w:p>
      <w:pPr>
        <w:spacing w:after="40"/>
      </w:pPr>
      <w:r>
        <w:rPr>
          <w:rFonts w:ascii="Arial" w:hAnsi="Arial" w:eastAsia="Arial"/>
          <w:b/>
          <w:color w:val="17365D"/>
          <w:sz w:val="19"/>
        </w:rPr>
        <w:t xml:space="preserve">HHS Telehealth: Creating a Telebehavioral Health Emergency Plan: </w:t>
      </w:r>
      <w:hyperlink r:id="rId20">
        <w:r>
          <w:rPr>
            <w:rFonts w:ascii="Arial" w:hAnsi="Arial"/>
            <w:color w:val="159C9C"/>
            <w:u w:val="single"/>
          </w:rPr>
          <w:t>Open official source</w:t>
        </w:r>
      </w:hyperlink>
      <w:r>
        <w:rPr>
          <w:rFonts w:ascii="Arial" w:hAnsi="Arial" w:eastAsia="Arial"/>
          <w:color w:val="1F2937"/>
          <w:sz w:val="19"/>
        </w:rPr>
        <w:t xml:space="preserve"> - Location, local resources, emergency contacts, and disconnection planning.</w:t>
      </w: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7365D"/>
              <w:left w:val="single" w:sz="10" w:color="17365D"/>
              <w:bottom w:val="single" w:sz="10" w:color="17365D"/>
              <w:right w:val="single" w:sz="10" w:color="17365D"/>
            </w:tcBorders>
            <w:tcMar>
              <w:top w:w="110" w:type="dxa"/>
              <w:start w:w="140" w:type="dxa"/>
              <w:bottom w:w="110" w:type="dxa"/>
              <w:end w:w="140" w:type="dxa"/>
            </w:tcMar>
          </w:tcPr>
          <w:p>
            <w:pPr>
              <w:spacing w:after="60"/>
            </w:pPr>
            <w:r>
              <w:rPr>
                <w:rFonts w:ascii="Arial" w:hAnsi="Arial" w:eastAsia="Arial"/>
                <w:b/>
                <w:color w:val="17365D"/>
                <w:sz w:val="21"/>
              </w:rPr>
              <w:t>NEXT WORKBOOK</w:t>
            </w:r>
          </w:p>
          <w:p>
            <w:pPr>
              <w:spacing w:after="20" w:line="250" w:lineRule="auto"/>
            </w:pPr>
            <w:r>
              <w:rPr>
                <w:rFonts w:ascii="Arial" w:hAnsi="Arial" w:eastAsia="Arial"/>
                <w:color w:val="1F2937"/>
                <w:sz w:val="20"/>
              </w:rPr>
              <w:t>Workbook 4 - Crisis, Trauma, Abuse, Violence, and Level-of-Care Decisions</w:t>
            </w:r>
          </w:p>
        </w:tc>
      </w:tr>
    </w:tbl>
    <w:p>
      <w:pPr>
        <w:spacing w:after="0"/>
      </w:pPr>
    </w:p>
    <w:sectPr w:rsidR="00FC693F" w:rsidRPr="0006063C" w:rsidSect="00034616">
      <w:headerReference w:type="default" r:id="rId9"/>
      <w:footerReference w:type="default" r:id="rId10"/>
      <w:pgSz w:w="12240" w:h="15840"/>
      <w:pgMar w:top="922" w:right="965" w:bottom="893"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4E5B6B"/>
        <w:sz w:val="17"/>
      </w:rPr>
      <w:t xml:space="preserve">Clinical Training Academy - LPCC Student Workbook v1.0  |  Page </w:t>
    </w:r>
    <w:r>
      <w:rPr>
        <w:rFonts w:ascii="Arial" w:hAnsi="Arial" w:eastAsia="Arial"/>
        <w:color w:val="4E5B6B"/>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spacing w:after="0"/>
            <w:jc w:val="right"/>
          </w:pPr>
          <w:r>
            <w:rPr>
              <w:rFonts w:ascii="Arial" w:hAnsi="Arial" w:eastAsia="Arial"/>
              <w:b/>
              <w:color w:val="17365D"/>
              <w:sz w:val="16"/>
            </w:rPr>
            <w:t>CTA LPCC Workbook 3 - Intake, Interviewing, MSE, and Assessment</w:t>
          </w:r>
        </w:p>
      </w:tc>
    </w:tr>
  </w:tbl>
  <w:p>
    <w:pPr>
      <w:spacing w:after="0"/>
      <w:pBdr>
        <w:bottom w:val="single" w:sz="5" w:space="1" w:color="159C9C"/>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yperlink" Target="https://leginfo.legislature.ca.gov/faces/codes_displaySection.xhtml?lawCode=BPC&amp;sectionNum=4999.20." TargetMode="External"/><Relationship Id="rId13" Type="http://schemas.openxmlformats.org/officeDocument/2006/relationships/hyperlink" Target="https://leginfo.legislature.ca.gov/faces/codes_displaySection.xhtml?lawCode=BPC&amp;sectionNum=2290.5" TargetMode="External"/><Relationship Id="rId14" Type="http://schemas.openxmlformats.org/officeDocument/2006/relationships/hyperlink" Target="https://www.nbcc.org/assets/exam/ncmhce_content_outline.pdf" TargetMode="External"/><Relationship Id="rId15" Type="http://schemas.openxmlformats.org/officeDocument/2006/relationships/hyperlink" Target="https://www.nbcc.org/assets/exam/NCMHCE_exam_spec_2027.pdf" TargetMode="External"/><Relationship Id="rId16" Type="http://schemas.openxmlformats.org/officeDocument/2006/relationships/hyperlink" Target="https://www.nbcc.org/exams/ncmhce/" TargetMode="External"/><Relationship Id="rId17" Type="http://schemas.openxmlformats.org/officeDocument/2006/relationships/hyperlink" Target="https://www.psychiatry.org/psychiatrists/practice/dsm/educational-resources/assessment-measures" TargetMode="External"/><Relationship Id="rId18" Type="http://schemas.openxmlformats.org/officeDocument/2006/relationships/hyperlink" Target="https://www.ncbi.nlm.nih.gov/books/NBK546682/" TargetMode="External"/><Relationship Id="rId19" Type="http://schemas.openxmlformats.org/officeDocument/2006/relationships/hyperlink" Target="https://telehealth.hhs.gov/providers/best-practice-guides/telehealth-for-behavioral-health/preparing-patients-for-telebehavioral-health/informed-consent-for-telebehavioral-health" TargetMode="External"/><Relationship Id="rId20" Type="http://schemas.openxmlformats.org/officeDocument/2006/relationships/hyperlink" Target="https://telehealth.hhs.gov/providers/best-practice-guides/telehealth-for-behavioral-health/preparing-patients-for-telebehavioral-health/creating-a-telehealth-emergency-pla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3: Intake, Informed Consent, Clinical Interviewing, MSE, and Biopsychosocial-Cultural Assessment</dc:title>
  <dc:subject>California LPCC NCMHCE examination preparation</dc:subject>
  <dc:creator>Clinical Training Academy</dc:creator>
  <cp:keywords>LPCC, NCMHCE, intake, informed consent, clinical interview, MSE, biopsychosocial, cultural assessment, telehealth</cp:keywords>
  <dc:description>generated by python-docx</dc:description>
  <cp:lastModifiedBy/>
  <cp:revision>1</cp:revision>
  <dcterms:created xsi:type="dcterms:W3CDTF">2013-12-23T23:15:00Z</dcterms:created>
  <dcterms:modified xsi:type="dcterms:W3CDTF">2013-12-23T23:15:00Z</dcterms:modified>
  <cp:category/>
</cp:coreProperties>
</file>