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jc w:val="center"/>
      </w:pPr>
      <w:r>
        <w:rPr>
          <w:rFonts w:ascii="Arial" w:hAnsi="Arial" w:eastAsia="Arial"/>
        </w:rPr>
        <w:drawing>
          <wp:inline xmlns:a="http://schemas.openxmlformats.org/drawingml/2006/main" xmlns:pic="http://schemas.openxmlformats.org/drawingml/2006/picture">
            <wp:extent cx="1325880" cy="958408"/>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25880" cy="958408"/>
                    </a:xfrm>
                    <a:prstGeom prst="rect"/>
                  </pic:spPr>
                </pic:pic>
              </a:graphicData>
            </a:graphic>
          </wp:inline>
        </w:drawing>
      </w:r>
    </w:p>
    <w:p>
      <w:pPr>
        <w:widowControl/>
        <w:spacing w:before="0" w:after="80"/>
        <w:jc w:val="center"/>
      </w:pPr>
      <w:r>
        <w:rPr>
          <w:rFonts w:ascii="Arial" w:hAnsi="Arial" w:eastAsia="Arial"/>
          <w:b/>
          <w:color w:val="159C9C"/>
          <w:sz w:val="17"/>
        </w:rPr>
        <w:t>LPCC NCMHCE EXAM PREPARATION PROGRAM</w:t>
      </w:r>
    </w:p>
    <w:p>
      <w:pPr>
        <w:widowControl/>
        <w:spacing w:before="0" w:after="80"/>
        <w:jc w:val="center"/>
      </w:pPr>
      <w:r>
        <w:rPr>
          <w:rFonts w:ascii="Arial" w:hAnsi="Arial" w:eastAsia="Arial"/>
          <w:b/>
          <w:color w:val="17365D"/>
          <w:sz w:val="22"/>
        </w:rPr>
        <w:t>Student Workbook</w:t>
      </w:r>
    </w:p>
    <w:p>
      <w:pPr>
        <w:widowControl/>
        <w:spacing w:before="0" w:after="40"/>
        <w:jc w:val="center"/>
      </w:pPr>
      <w:r>
        <w:rPr>
          <w:rFonts w:ascii="Arial" w:hAnsi="Arial" w:eastAsia="Arial"/>
          <w:b/>
          <w:color w:val="17365D"/>
          <w:sz w:val="34"/>
        </w:rPr>
        <w:t>CTA LPCC Workbook 6: Diagnosis and Differential Diagnosis II</w:t>
      </w:r>
    </w:p>
    <w:p>
      <w:pPr>
        <w:widowControl/>
        <w:spacing w:before="0" w:after="100"/>
        <w:jc w:val="center"/>
      </w:pPr>
      <w:r>
        <w:rPr>
          <w:rFonts w:ascii="Arial" w:hAnsi="Arial" w:eastAsia="Arial"/>
          <w:b/>
          <w:color w:val="159C9C"/>
          <w:sz w:val="23"/>
        </w:rPr>
        <w:t>Substance Use, Personality, Neurodevelopmental, Eating, Sleep, Somatic, Medical, and Co-Occurring Conditions</w:t>
      </w:r>
    </w:p>
    <w:p>
      <w:pPr>
        <w:widowControl/>
        <w:spacing w:before="0" w:after="100"/>
        <w:jc w:val="center"/>
      </w:pPr>
      <w:r>
        <w:rPr>
          <w:rFonts w:ascii="Arial" w:hAnsi="Arial" w:eastAsia="Arial"/>
          <w:i/>
          <w:color w:val="4B5563"/>
          <w:sz w:val="19"/>
        </w:rPr>
        <w:t>How to separate primary mental disorders from substance, medication, developmental, sleep, medical, and co-occurring explanations</w:t>
      </w:r>
    </w:p>
    <w:p>
      <w:pPr>
        <w:widowControl/>
        <w:spacing w:before="0" w:after="140"/>
        <w:jc w:val="center"/>
      </w:pPr>
      <w:r>
        <w:rPr>
          <w:rFonts w:ascii="Arial" w:hAnsi="Arial" w:eastAsia="Arial"/>
          <w:color w:val="4B5563"/>
          <w:sz w:val="17"/>
        </w:rPr>
        <w:t>Version 1.0 - July 2026</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STUDENT-FACING EXAM PREPARATION MATERIAL</w:t>
            </w:r>
          </w:p>
          <w:p>
            <w:pPr>
              <w:widowControl/>
              <w:spacing w:after="0"/>
            </w:pPr>
            <w:r>
              <w:rPr>
                <w:rFonts w:ascii="Arial" w:hAnsi="Arial" w:eastAsia="Arial"/>
                <w:color w:val="1F2937"/>
                <w:sz w:val="16"/>
              </w:rPr>
              <w:t>All teaching cases, worksheets, and practice questions are original CTA materials created for examination preparation. They do not reproduce secure NCMHCE items.</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DIAGNOSTIC AND SCOPE NOTICE</w:t>
            </w:r>
          </w:p>
          <w:p>
            <w:pPr>
              <w:widowControl/>
              <w:spacing w:after="0"/>
            </w:pPr>
            <w:r>
              <w:rPr>
                <w:rFonts w:ascii="Arial" w:hAnsi="Arial" w:eastAsia="Arial"/>
                <w:color w:val="1F2937"/>
                <w:sz w:val="16"/>
              </w:rPr>
              <w:t>This workbook summarizes diagnostic reasoning for examination preparation. It does not replace the current DSM-5-TR, approved updates, clinical supervision, medical evaluation, or consultation. Use diagnoses, assessment instruments, and referral decisions only within applicable law and professional competence.</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FF8DF"/>
            <w:tcBorders>
              <w:top w:sz="9" w:val="single" w:color="E7C66A"/>
              <w:left w:sz="9" w:val="single" w:color="E7C66A"/>
              <w:bottom w:sz="9" w:val="single" w:color="E7C66A"/>
              <w:right w:sz="9" w:val="single" w:color="E7C66A"/>
            </w:tcBorders>
            <w:tcMar>
              <w:top w:w="80" w:type="dxa"/>
              <w:start w:w="120" w:type="dxa"/>
              <w:bottom w:w="80" w:type="dxa"/>
              <w:end w:w="120" w:type="dxa"/>
            </w:tcMar>
          </w:tcPr>
          <w:p>
            <w:pPr>
              <w:widowControl/>
              <w:spacing w:after="40"/>
            </w:pPr>
            <w:r>
              <w:rPr>
                <w:rFonts w:ascii="Arial" w:hAnsi="Arial" w:eastAsia="Arial"/>
                <w:b/>
                <w:color w:val="17365D"/>
                <w:sz w:val="17"/>
              </w:rPr>
              <w:t>NO CONTINUING-EDUCATION CREDIT</w:t>
            </w:r>
          </w:p>
          <w:p>
            <w:pPr>
              <w:widowControl/>
              <w:spacing w:after="0"/>
            </w:pPr>
            <w:r>
              <w:rPr>
                <w:rFonts w:ascii="Arial" w:hAnsi="Arial" w:eastAsia="Arial"/>
                <w:color w:val="1F2937"/>
                <w:sz w:val="16"/>
              </w:rPr>
              <w:t>This is an examination-preparation workbook. It does not award continuing-education credit and does not guarantee passage of any licensing examination.</w:t>
            </w:r>
          </w:p>
        </w:tc>
      </w:tr>
    </w:tbl>
    <w:p>
      <w:pPr>
        <w:widowControl/>
        <w:spacing w:after="0"/>
      </w:pPr>
    </w:p>
    <w:p>
      <w:pPr>
        <w:widowControl/>
      </w:pPr>
      <w:r>
        <w:rPr>
          <w:rFonts w:ascii="Arial" w:hAnsi="Arial" w:eastAsia="Arial"/>
        </w:rPr>
        <w:br w:type="page"/>
      </w:r>
    </w:p>
    <w:p>
      <w:pPr>
        <w:pStyle w:val="Heading1"/>
        <w:keepNext/>
        <w:widowControl/>
        <w:spacing w:before="0" w:after="80"/>
      </w:pPr>
      <w:r>
        <w:rPr>
          <w:rFonts w:ascii="Arial" w:hAnsi="Arial" w:eastAsia="Arial"/>
        </w:rPr>
        <w:t>How to Use This Workbook</w:t>
      </w:r>
    </w:p>
    <w:p>
      <w:pPr>
        <w:widowControl/>
        <w:spacing w:before="0" w:after="80"/>
      </w:pPr>
      <w:r>
        <w:rPr>
          <w:rFonts w:ascii="Arial" w:hAnsi="Arial" w:eastAsia="Arial"/>
          <w:sz w:val="18"/>
        </w:rPr>
        <w:t>Workbook 6 continues the diagnostic method introduced in Workbook 5. The central task is not memorizing isolated labels. It is deciding whether the client’s presentation is best explained by a primary mental disorder, a substance or medication effect, a developmental pattern, a medical or sleep condition, a personality pattern, or more than one condition at the same time.</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105" w:type="dxa"/>
              <w:start w:w="120" w:type="dxa"/>
              <w:bottom w:w="105" w:type="dxa"/>
              <w:end w:w="120" w:type="dxa"/>
            </w:tcMar>
          </w:tcPr>
          <w:p>
            <w:pPr>
              <w:widowControl/>
              <w:spacing w:after="40"/>
            </w:pPr>
            <w:r>
              <w:rPr>
                <w:rFonts w:ascii="Arial" w:hAnsi="Arial" w:eastAsia="Arial"/>
                <w:b/>
                <w:color w:val="17365D"/>
                <w:sz w:val="18"/>
              </w:rPr>
              <w:t>BIG IDEA</w:t>
            </w:r>
          </w:p>
          <w:p>
            <w:pPr>
              <w:widowControl/>
              <w:spacing w:after="0"/>
            </w:pPr>
            <w:r>
              <w:rPr>
                <w:rFonts w:ascii="Arial" w:hAnsi="Arial" w:eastAsia="Arial"/>
                <w:color w:val="1F2937"/>
                <w:sz w:val="18"/>
              </w:rPr>
              <w:t>When symptoms have multiple possible causes, build one timeline, identify the most urgent explanation, and keep co-occurring conditions visible instead of forcing the case into a single label.</w:t>
            </w:r>
          </w:p>
        </w:tc>
      </w:tr>
    </w:tbl>
    <w:p>
      <w:pPr>
        <w:widowControl/>
        <w:spacing w:after="0"/>
      </w:pPr>
    </w:p>
    <w:p>
      <w:pPr>
        <w:pStyle w:val="Heading2"/>
        <w:keepNext/>
        <w:widowControl/>
        <w:spacing w:before="0" w:after="80"/>
      </w:pPr>
      <w:r>
        <w:rPr>
          <w:rFonts w:ascii="Arial" w:hAnsi="Arial" w:eastAsia="Arial"/>
        </w:rPr>
        <w:t>Learning Objectives</w:t>
      </w:r>
    </w:p>
    <w:p>
      <w:pPr>
        <w:pStyle w:val="ListBullet"/>
        <w:keepLines/>
        <w:widowControl/>
        <w:spacing w:after="30"/>
      </w:pPr>
      <w:r>
        <w:rPr>
          <w:rFonts w:ascii="Arial" w:hAnsi="Arial" w:eastAsia="Arial"/>
          <w:color w:val="1F2937"/>
          <w:sz w:val="18"/>
        </w:rPr>
        <w:t>Differentiate substance use disorders, intoxication, withdrawal, substance/medication-induced conditions, and primary mental disorders by using pattern, timing, impairment, and symptom course during abstinence.</w:t>
      </w:r>
    </w:p>
    <w:p>
      <w:pPr>
        <w:pStyle w:val="ListBullet"/>
        <w:keepLines/>
        <w:widowControl/>
        <w:spacing w:after="30"/>
      </w:pPr>
      <w:r>
        <w:rPr>
          <w:rFonts w:ascii="Arial" w:hAnsi="Arial" w:eastAsia="Arial"/>
          <w:color w:val="1F2937"/>
          <w:sz w:val="18"/>
        </w:rPr>
        <w:t>Differentiate enduring personality patterns from trauma responses, mood episodes, developmental differences, situational reactions, substance effects, and culturally contextualized behavior.</w:t>
      </w:r>
    </w:p>
    <w:p>
      <w:pPr>
        <w:pStyle w:val="ListBullet"/>
        <w:keepLines/>
        <w:widowControl/>
        <w:spacing w:after="30"/>
      </w:pPr>
      <w:r>
        <w:rPr>
          <w:rFonts w:ascii="Arial" w:hAnsi="Arial" w:eastAsia="Arial"/>
          <w:color w:val="1F2937"/>
          <w:sz w:val="18"/>
        </w:rPr>
        <w:t>Assess neurodevelopmental, intellectual, and neurocognitive concerns using developmental history, cross-setting evidence, collateral information, functional impact, and competence-based referral.</w:t>
      </w:r>
    </w:p>
    <w:p>
      <w:pPr>
        <w:pStyle w:val="ListBullet"/>
        <w:keepLines/>
        <w:widowControl/>
        <w:spacing w:after="30"/>
      </w:pPr>
      <w:r>
        <w:rPr>
          <w:rFonts w:ascii="Arial" w:hAnsi="Arial" w:eastAsia="Arial"/>
          <w:color w:val="1F2937"/>
          <w:sz w:val="18"/>
        </w:rPr>
        <w:t>Recognize diagnostic and medical-referral issues in eating, sleep, somatic, dissociative, and sexual-functioning presentations.</w:t>
      </w:r>
    </w:p>
    <w:p>
      <w:pPr>
        <w:pStyle w:val="ListBullet"/>
        <w:keepLines/>
        <w:widowControl/>
        <w:spacing w:after="30"/>
      </w:pPr>
      <w:r>
        <w:rPr>
          <w:rFonts w:ascii="Arial" w:hAnsi="Arial" w:eastAsia="Arial"/>
          <w:color w:val="1F2937"/>
          <w:sz w:val="18"/>
        </w:rPr>
        <w:t>Formulate co-occurring conditions, prioritize safety and medical needs, coordinate care, document medication effects, and select specialized referrals within California LPCC scope.</w:t>
      </w:r>
    </w:p>
    <w:p>
      <w:pPr>
        <w:pStyle w:val="Heading2"/>
        <w:keepNext/>
        <w:widowControl/>
        <w:spacing w:before="0" w:after="80"/>
      </w:pPr>
      <w:r>
        <w:rPr>
          <w:rFonts w:ascii="Arial" w:hAnsi="Arial" w:eastAsia="Arial"/>
        </w:rPr>
        <w:t>Why This Topic Matters</w:t>
      </w:r>
    </w:p>
    <w:p>
      <w:pPr>
        <w:widowControl/>
        <w:spacing w:before="0" w:after="60"/>
      </w:pPr>
      <w:r>
        <w:rPr>
          <w:rFonts w:ascii="Arial" w:hAnsi="Arial" w:eastAsia="Arial"/>
          <w:sz w:val="18"/>
        </w:rPr>
        <w:t>Complex cases often contain overlapping symptoms: poor concentration may reflect ADHD, depression, anxiety, sleep deprivation, intoxication, withdrawal, medication effects, or a medical condition. Emotional instability may reflect a personality pattern, trauma, current relationship violence, a mood episode, substance use, or developmental stress. The NCMHCE rewards disciplined sequencing: assess broadly, rule out urgent causes, compare timelines, and revise as the case develops.</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BLUEPRINT ALIGNMENT</w:t>
            </w:r>
          </w:p>
          <w:p>
            <w:pPr>
              <w:widowControl/>
              <w:spacing w:after="0"/>
            </w:pPr>
            <w:r>
              <w:rPr>
                <w:rFonts w:ascii="Arial" w:hAnsi="Arial" w:eastAsia="Arial"/>
                <w:color w:val="1F2937"/>
                <w:sz w:val="16"/>
              </w:rPr>
              <w:t>This workbook primarily supports the current NCMHCE Intake, Assessment, and Diagnosis domain and the embedded Areas of Clinical Focus. It also prepares for the July 1, 2027 Intake &amp; Assessment and Indirect Client Care tasks involving co-occurrence, medical factors, documentation, coordination, and referral.</w:t>
            </w:r>
          </w:p>
        </w:tc>
      </w:tr>
    </w:tbl>
    <w:p>
      <w:pPr>
        <w:widowControl/>
        <w:spacing w:after="0"/>
      </w:pPr>
    </w:p>
    <w:p>
      <w:pPr>
        <w:pStyle w:val="Heading2"/>
        <w:keepNext/>
        <w:widowControl/>
        <w:spacing w:before="0" w:after="80"/>
      </w:pPr>
      <w:r>
        <w:rPr>
          <w:rFonts w:ascii="Arial" w:hAnsi="Arial" w:eastAsia="Arial"/>
        </w:rPr>
        <w:t>Workbook Roadmap</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93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Chapter</w:t>
            </w:r>
          </w:p>
        </w:tc>
        <w:tc>
          <w:tcPr>
            <w:tcW w:type="dxa" w:w="640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Focus</w:t>
            </w:r>
          </w:p>
        </w:tc>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Primary Tool</w:t>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1</w:t>
            </w:r>
          </w:p>
        </w:tc>
        <w:tc>
          <w:tcPr>
            <w:tcW w:type="dxa" w:w="640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Substance-related and addictive disorders</w:t>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CLEAR Substance Timeline</w:t>
            </w:r>
          </w:p>
        </w:tc>
      </w:tr>
      <w:tr>
        <w:trPr/>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2</w:t>
            </w:r>
          </w:p>
        </w:tc>
        <w:tc>
          <w:tcPr>
            <w:tcW w:type="dxa" w:w="640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Personality patterns and disorders</w:t>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PATTERN Longitudinal Check</w:t>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3</w:t>
            </w:r>
          </w:p>
        </w:tc>
        <w:tc>
          <w:tcPr>
            <w:tcW w:type="dxa" w:w="640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Neurodevelopmental, intellectual, and neurocognitive concerns</w:t>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DEVELOP Evidence Matrix</w:t>
            </w:r>
          </w:p>
        </w:tc>
      </w:tr>
      <w:tr>
        <w:trPr/>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4</w:t>
            </w:r>
          </w:p>
        </w:tc>
        <w:tc>
          <w:tcPr>
            <w:tcW w:type="dxa" w:w="640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Eating, sleep, somatic, dissociative, and sexual-functioning concerns</w:t>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BODY-SYSTEMS Triage</w:t>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5</w:t>
            </w:r>
          </w:p>
        </w:tc>
        <w:tc>
          <w:tcPr>
            <w:tcW w:type="dxa" w:w="640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Medical factors, medication effects, co-occurrence, and specialized referral</w:t>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INTEGRATE Formulation Plan</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FF8DF"/>
            <w:tcBorders>
              <w:top w:sz="9" w:val="single" w:color="E7C66A"/>
              <w:left w:sz="9" w:val="single" w:color="E7C66A"/>
              <w:bottom w:sz="9" w:val="single" w:color="E7C66A"/>
              <w:right w:sz="9" w:val="single" w:color="E7C66A"/>
            </w:tcBorders>
            <w:tcMar>
              <w:top w:w="80" w:type="dxa"/>
              <w:start w:w="120" w:type="dxa"/>
              <w:bottom w:w="80" w:type="dxa"/>
              <w:end w:w="120" w:type="dxa"/>
            </w:tcMar>
          </w:tcPr>
          <w:p>
            <w:pPr>
              <w:widowControl/>
              <w:spacing w:after="40"/>
            </w:pPr>
            <w:r>
              <w:rPr>
                <w:rFonts w:ascii="Arial" w:hAnsi="Arial" w:eastAsia="Arial"/>
                <w:b/>
                <w:color w:val="17365D"/>
                <w:sz w:val="17"/>
              </w:rPr>
              <w:t>CURRENT MANUAL REMINDER</w:t>
            </w:r>
          </w:p>
          <w:p>
            <w:pPr>
              <w:widowControl/>
              <w:spacing w:after="0"/>
            </w:pPr>
            <w:r>
              <w:rPr>
                <w:rFonts w:ascii="Arial" w:hAnsi="Arial" w:eastAsia="Arial"/>
                <w:color w:val="1F2937"/>
                <w:sz w:val="16"/>
              </w:rPr>
              <w:t>Use the current DSM-5-TR, the American Psychiatric Association’s approved criteria/text updates, and current ICD-10-CM coding guidance. APA posted a September 2025 DSM-5-TR supplement. CTA workbooks teach reasoning and currency checks rather than reproducing protected diagnostic criteria.</w:t>
            </w:r>
          </w:p>
        </w:tc>
      </w:tr>
    </w:tbl>
    <w:p>
      <w:pPr>
        <w:widowControl/>
        <w:spacing w:after="0"/>
      </w:pP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1</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Substance-Related and Addictive Disorders</w:t>
            </w:r>
          </w:p>
        </w:tc>
      </w:tr>
    </w:tbl>
    <w:p>
      <w:pPr>
        <w:widowControl/>
        <w:spacing w:after="0"/>
      </w:pPr>
    </w:p>
    <w:p>
      <w:pPr>
        <w:widowControl/>
        <w:spacing w:before="0" w:after="80"/>
      </w:pPr>
      <w:r>
        <w:rPr>
          <w:rFonts w:ascii="Arial" w:hAnsi="Arial" w:eastAsia="Arial"/>
          <w:i/>
          <w:color w:val="4B5563"/>
          <w:sz w:val="18"/>
        </w:rPr>
        <w:t>Establish what was used, when it was used, what happened during use or withdrawal, and whether symptoms persist during meaningful abstinence.</w:t>
      </w:r>
    </w:p>
    <w:p>
      <w:pPr>
        <w:pStyle w:val="Heading2"/>
        <w:keepNext/>
        <w:widowControl/>
        <w:spacing w:before="0" w:after="80"/>
      </w:pPr>
      <w:r>
        <w:rPr>
          <w:rFonts w:ascii="Arial" w:hAnsi="Arial" w:eastAsia="Arial"/>
        </w:rPr>
        <w:t>Screening Is the Beginning, Not the Diagnosis</w:t>
      </w:r>
    </w:p>
    <w:p>
      <w:pPr>
        <w:widowControl/>
        <w:spacing w:before="0" w:after="80"/>
      </w:pPr>
      <w:r>
        <w:rPr>
          <w:rFonts w:ascii="Arial" w:hAnsi="Arial" w:eastAsia="Arial"/>
          <w:sz w:val="18"/>
        </w:rPr>
        <w:t>A positive alcohol or drug screen identifies the need for further assessment. It does not, by itself, establish a substance use disorder, severity level, intoxication, withdrawal, or a substance-induced mental disorder. Follow the screen with a detailed pattern assessment: quantity, frequency, route, context, loss of control, craving, role impairment, hazardous use, tolerance, withdrawal, unsuccessful change efforts, and consequences.</w:t>
      </w:r>
    </w:p>
    <w:p>
      <w:pPr>
        <w:pStyle w:val="Heading2"/>
        <w:keepNext/>
        <w:widowControl/>
        <w:spacing w:before="0" w:after="80"/>
      </w:pPr>
      <w:r>
        <w:rPr>
          <w:rFonts w:ascii="Arial" w:hAnsi="Arial" w:eastAsia="Arial"/>
        </w:rPr>
        <w:t>The CLEAR Substance Timeline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29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Step</w:t>
            </w:r>
          </w:p>
        </w:tc>
        <w:tc>
          <w:tcPr>
            <w:tcW w:type="dxa" w:w="468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Counselor Task</w:t>
            </w:r>
          </w:p>
        </w:tc>
        <w:tc>
          <w:tcPr>
            <w:tcW w:type="dxa" w:w="36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High-Yield Question</w:t>
            </w:r>
          </w:p>
        </w:tc>
      </w:tr>
      <w:tr>
        <w:trPr/>
        <w:tc>
          <w:tcPr>
            <w:tcW w:type="dxa" w:w="12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 - Current agents</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List alcohol, prescribed medications, nonmedical use, cannabis, nicotine, caffeine, supplements, and other substances.</w:t>
            </w:r>
          </w:p>
        </w:tc>
        <w:tc>
          <w:tcPr>
            <w:tcW w:type="dxa" w:w="36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has the client taken, in what amount, by what route, and with what combinations?</w:t>
            </w:r>
          </w:p>
        </w:tc>
      </w:tr>
      <w:tr>
        <w:trPr/>
        <w:tc>
          <w:tcPr>
            <w:tcW w:type="dxa" w:w="12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L - Last use and pattern</w:t>
            </w:r>
          </w:p>
        </w:tc>
        <w:tc>
          <w:tcPr>
            <w:tcW w:type="dxa" w:w="46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Record last use, frequency, escalation, binge pattern, periods of nonuse, and access.</w:t>
            </w:r>
          </w:p>
        </w:tc>
        <w:tc>
          <w:tcPr>
            <w:tcW w:type="dxa" w:w="36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When did the pattern change, and what preceded the change?</w:t>
            </w:r>
          </w:p>
        </w:tc>
      </w:tr>
      <w:tr>
        <w:trPr/>
        <w:tc>
          <w:tcPr>
            <w:tcW w:type="dxa" w:w="12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 - Effects and consequences</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Map desired effects, adverse effects, blackouts, accidents, role failures, mood changes, anxiety, psychosis, and sleep disruption.</w:t>
            </w:r>
          </w:p>
        </w:tc>
        <w:tc>
          <w:tcPr>
            <w:tcW w:type="dxa" w:w="36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Which symptoms appear during use, intoxication, or the hours/days after use?</w:t>
            </w:r>
          </w:p>
        </w:tc>
      </w:tr>
      <w:tr>
        <w:trPr/>
        <w:tc>
          <w:tcPr>
            <w:tcW w:type="dxa" w:w="12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 - Abstinence evidence</w:t>
            </w:r>
          </w:p>
        </w:tc>
        <w:tc>
          <w:tcPr>
            <w:tcW w:type="dxa" w:w="46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Identify the longest meaningful abstinence periods and symptom course during them.</w:t>
            </w:r>
          </w:p>
        </w:tc>
        <w:tc>
          <w:tcPr>
            <w:tcW w:type="dxa" w:w="36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improved, persisted, or emerged when the substance was absent?</w:t>
            </w:r>
          </w:p>
        </w:tc>
      </w:tr>
      <w:tr>
        <w:trPr/>
        <w:tc>
          <w:tcPr>
            <w:tcW w:type="dxa" w:w="12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R - Risk and referral</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Assess overdose, withdrawal risk, polysubstance use, pregnancy, medical complications, suicidality, and need for specialty care.</w:t>
            </w:r>
          </w:p>
        </w:tc>
        <w:tc>
          <w:tcPr>
            <w:tcW w:type="dxa" w:w="36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Can this client safely remain in outpatient counseling while the substance issue is evaluated?</w:t>
            </w:r>
          </w:p>
        </w:tc>
      </w:tr>
    </w:tbl>
    <w:p>
      <w:pPr>
        <w:widowControl/>
        <w:spacing w:after="0"/>
      </w:pPr>
    </w:p>
    <w:p>
      <w:pPr>
        <w:pStyle w:val="Heading2"/>
        <w:keepNext/>
        <w:widowControl/>
        <w:spacing w:before="0" w:after="80"/>
      </w:pPr>
      <w:r>
        <w:rPr>
          <w:rFonts w:ascii="Arial" w:hAnsi="Arial" w:eastAsia="Arial"/>
        </w:rPr>
        <w:t>Four Diagnostic Questions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67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Question</w:t>
            </w:r>
          </w:p>
        </w:tc>
        <w:tc>
          <w:tcPr>
            <w:tcW w:type="dxa" w:w="590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What It Helps Distinguish</w:t>
            </w:r>
          </w:p>
        </w:tc>
      </w:tr>
      <w:tr>
        <w:trPr/>
        <w:tc>
          <w:tcPr>
            <w:tcW w:type="dxa" w:w="367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Is there a maladaptive pattern with clinically significant impairment or distress?</w:t>
            </w:r>
          </w:p>
        </w:tc>
        <w:tc>
          <w:tcPr>
            <w:tcW w:type="dxa" w:w="590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A substance use disorder from use without sufficient disorder-level evidence.</w:t>
            </w:r>
          </w:p>
        </w:tc>
      </w:tr>
      <w:tr>
        <w:trPr/>
        <w:tc>
          <w:tcPr>
            <w:tcW w:type="dxa" w:w="367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Are symptoms temporally linked to intoxication, withdrawal, or medication exposure?</w:t>
            </w:r>
          </w:p>
        </w:tc>
        <w:tc>
          <w:tcPr>
            <w:tcW w:type="dxa" w:w="590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A substance/medication-induced condition from a primary mental disorder.</w:t>
            </w:r>
          </w:p>
        </w:tc>
      </w:tr>
      <w:tr>
        <w:trPr/>
        <w:tc>
          <w:tcPr>
            <w:tcW w:type="dxa" w:w="367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Do symptoms persist outside expected intoxication or withdrawal windows?</w:t>
            </w:r>
          </w:p>
        </w:tc>
        <w:tc>
          <w:tcPr>
            <w:tcW w:type="dxa" w:w="590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A primary or co-occurring mental disorder from a time-limited substance effect.</w:t>
            </w:r>
          </w:p>
        </w:tc>
      </w:tr>
      <w:tr>
        <w:trPr/>
        <w:tc>
          <w:tcPr>
            <w:tcW w:type="dxa" w:w="367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Is there dangerous withdrawal, overdose risk, or medical instability?</w:t>
            </w:r>
          </w:p>
        </w:tc>
        <w:tc>
          <w:tcPr>
            <w:tcW w:type="dxa" w:w="590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Routine outpatient assessment from urgent medical or higher-level care.</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DECEC"/>
            <w:tcBorders>
              <w:top w:sz="9" w:val="single" w:color="A61B1B"/>
              <w:left w:sz="9" w:val="single" w:color="A61B1B"/>
              <w:bottom w:sz="9" w:val="single" w:color="A61B1B"/>
              <w:right w:sz="9" w:val="single" w:color="A61B1B"/>
            </w:tcBorders>
            <w:tcMar>
              <w:top w:w="80" w:type="dxa"/>
              <w:start w:w="120" w:type="dxa"/>
              <w:bottom w:w="80" w:type="dxa"/>
              <w:end w:w="120" w:type="dxa"/>
            </w:tcMar>
          </w:tcPr>
          <w:p>
            <w:pPr>
              <w:widowControl/>
              <w:spacing w:after="40"/>
            </w:pPr>
            <w:r>
              <w:rPr>
                <w:rFonts w:ascii="Arial" w:hAnsi="Arial" w:eastAsia="Arial"/>
                <w:b/>
                <w:color w:val="17365D"/>
                <w:sz w:val="17"/>
              </w:rPr>
              <w:t>COMMON EXAM TRAP</w:t>
            </w:r>
          </w:p>
          <w:p>
            <w:pPr>
              <w:widowControl/>
              <w:spacing w:after="0"/>
            </w:pPr>
            <w:r>
              <w:rPr>
                <w:rFonts w:ascii="Arial" w:hAnsi="Arial" w:eastAsia="Arial"/>
                <w:color w:val="1F2937"/>
                <w:sz w:val="16"/>
              </w:rPr>
              <w:t>Do not tell a physiologically dependent client to stop alcohol or sedative use abruptly without medical assessment. Tremor, autonomic symptoms, perceptual disturbance, confusion, or a history of withdrawal seizure can make the correct answer medical evaluation rather than routine counseling.</w:t>
            </w:r>
          </w:p>
        </w:tc>
      </w:tr>
    </w:tbl>
    <w:p>
      <w:pPr>
        <w:widowControl/>
        <w:spacing w:after="0"/>
      </w:pPr>
    </w:p>
    <w:p>
      <w:pPr>
        <w:pStyle w:val="Heading2"/>
        <w:keepNext/>
        <w:widowControl/>
        <w:spacing w:before="0" w:after="80"/>
      </w:pPr>
      <w:r>
        <w:rPr>
          <w:rFonts w:ascii="Arial" w:hAnsi="Arial" w:eastAsia="Arial"/>
        </w:rPr>
        <w:t>Behavioral and Process Concerns</w:t>
      </w:r>
    </w:p>
    <w:p>
      <w:pPr>
        <w:widowControl/>
        <w:spacing w:before="0" w:after="80"/>
      </w:pPr>
      <w:r>
        <w:rPr>
          <w:rFonts w:ascii="Arial" w:hAnsi="Arial" w:eastAsia="Arial"/>
          <w:sz w:val="18"/>
        </w:rPr>
        <w:t>The exam may present gambling, gaming, sexual behavior, shopping, exercise, or internet use described as “addictive.” Assess loss of control, preoccupation, consequences, function, and attempts to reduce the behavior. Avoid labeling every frequent or culturally disapproved behavior as an addiction. Use the diagnostic system accurately and describe clinically significant patterns when a formal diagnosis is not supported.</w:t>
      </w:r>
    </w:p>
    <w:p>
      <w:pPr>
        <w:pStyle w:val="Heading2"/>
        <w:keepNext/>
        <w:widowControl/>
        <w:spacing w:before="0" w:after="80"/>
      </w:pPr>
      <w:r>
        <w:rPr>
          <w:rFonts w:ascii="Arial" w:hAnsi="Arial" w:eastAsia="Arial"/>
        </w:rPr>
        <w:t>Clinical Resource Toolkit: Substance Timeline and Withdrawal Risk Grid</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5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Agent/Behavior</w:t>
            </w:r>
          </w:p>
        </w:tc>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Pattern and Last Use</w:t>
            </w:r>
          </w:p>
        </w:tc>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Symptoms During/After</w:t>
            </w:r>
          </w:p>
        </w:tc>
        <w:tc>
          <w:tcPr>
            <w:tcW w:type="dxa" w:w="20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Abstinence Evidence</w:t>
            </w:r>
          </w:p>
        </w:tc>
        <w:tc>
          <w:tcPr>
            <w:tcW w:type="dxa" w:w="20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Risk/Next Step</w:t>
            </w:r>
          </w:p>
        </w:tc>
      </w:tr>
      <w:tr>
        <w:trPr/>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bl>
    <w:p>
      <w:pPr>
        <w:widowControl/>
        <w:spacing w:after="0"/>
      </w:pPr>
    </w:p>
    <w:p>
      <w:pPr>
        <w:pStyle w:val="Heading2"/>
        <w:keepNext/>
        <w:widowControl/>
        <w:spacing w:before="0" w:after="80"/>
      </w:pPr>
      <w:r>
        <w:rPr>
          <w:rFonts w:ascii="Arial" w:hAnsi="Arial" w:eastAsia="Arial"/>
        </w:rPr>
        <w:t>Chapter 1 Summary</w:t>
      </w:r>
    </w:p>
    <w:p>
      <w:pPr>
        <w:pStyle w:val="ListBullet"/>
        <w:keepLines/>
        <w:widowControl/>
        <w:spacing w:after="30"/>
      </w:pPr>
      <w:r>
        <w:rPr>
          <w:rFonts w:ascii="Arial" w:hAnsi="Arial" w:eastAsia="Arial"/>
          <w:color w:val="1F2937"/>
          <w:sz w:val="17"/>
        </w:rPr>
        <w:t>A screen identifies risk; diagnosis requires a full pattern assessment.</w:t>
      </w:r>
    </w:p>
    <w:p>
      <w:pPr>
        <w:pStyle w:val="ListBullet"/>
        <w:keepLines/>
        <w:widowControl/>
        <w:spacing w:after="30"/>
      </w:pPr>
      <w:r>
        <w:rPr>
          <w:rFonts w:ascii="Arial" w:hAnsi="Arial" w:eastAsia="Arial"/>
          <w:color w:val="1F2937"/>
          <w:sz w:val="17"/>
        </w:rPr>
        <w:t>One timeline should include use, intoxication, withdrawal, abstinence, psychiatric symptoms, sleep, medications, and functioning.</w:t>
      </w:r>
    </w:p>
    <w:p>
      <w:pPr>
        <w:pStyle w:val="ListBullet"/>
        <w:keepLines/>
        <w:widowControl/>
        <w:spacing w:after="30"/>
      </w:pPr>
      <w:r>
        <w:rPr>
          <w:rFonts w:ascii="Arial" w:hAnsi="Arial" w:eastAsia="Arial"/>
          <w:color w:val="1F2937"/>
          <w:sz w:val="17"/>
        </w:rPr>
        <w:t>Substance-induced and primary disorders are differentiated partly by temporal relationship and persistence during abstinence.</w:t>
      </w:r>
    </w:p>
    <w:p>
      <w:pPr>
        <w:pStyle w:val="ListBullet"/>
        <w:keepLines/>
        <w:widowControl/>
        <w:spacing w:after="30"/>
      </w:pPr>
      <w:r>
        <w:rPr>
          <w:rFonts w:ascii="Arial" w:hAnsi="Arial" w:eastAsia="Arial"/>
          <w:color w:val="1F2937"/>
          <w:sz w:val="17"/>
        </w:rPr>
        <w:t>Withdrawal and overdose risks can override routine outpatient diagnostic work.</w:t>
      </w:r>
    </w:p>
    <w:p>
      <w:pPr>
        <w:pStyle w:val="ListBullet"/>
        <w:keepLines/>
        <w:widowControl/>
        <w:spacing w:after="30"/>
      </w:pPr>
      <w:r>
        <w:rPr>
          <w:rFonts w:ascii="Arial" w:hAnsi="Arial" w:eastAsia="Arial"/>
          <w:color w:val="1F2937"/>
          <w:sz w:val="17"/>
        </w:rPr>
        <w:t>Co-occurring disorders are common; do not assume that substance use explains every symptom.</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2</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Personality Patterns and Disorders</w:t>
            </w:r>
          </w:p>
        </w:tc>
      </w:tr>
    </w:tbl>
    <w:p>
      <w:pPr>
        <w:widowControl/>
        <w:spacing w:after="0"/>
      </w:pPr>
    </w:p>
    <w:p>
      <w:pPr>
        <w:widowControl/>
        <w:spacing w:before="0" w:after="80"/>
      </w:pPr>
      <w:r>
        <w:rPr>
          <w:rFonts w:ascii="Arial" w:hAnsi="Arial" w:eastAsia="Arial"/>
          <w:i/>
          <w:color w:val="4B5563"/>
          <w:sz w:val="18"/>
        </w:rPr>
        <w:t>Diagnose the enduring pattern, not the counselor’s frustration with one session, one crisis, or one difficult relationship.</w:t>
      </w:r>
    </w:p>
    <w:p>
      <w:pPr>
        <w:pStyle w:val="Heading2"/>
        <w:keepNext/>
        <w:widowControl/>
        <w:spacing w:before="0" w:after="80"/>
      </w:pPr>
      <w:r>
        <w:rPr>
          <w:rFonts w:ascii="Arial" w:hAnsi="Arial" w:eastAsia="Arial"/>
        </w:rPr>
        <w:t>Personality Diagnosis Requires Longitudinal Evidence</w:t>
      </w:r>
    </w:p>
    <w:p>
      <w:pPr>
        <w:widowControl/>
        <w:spacing w:before="0" w:after="80"/>
      </w:pPr>
      <w:r>
        <w:rPr>
          <w:rFonts w:ascii="Arial" w:hAnsi="Arial" w:eastAsia="Arial"/>
          <w:sz w:val="18"/>
        </w:rPr>
        <w:t>A personality disorder is not simply a strong trait, interpersonal conflict, self-harm, anger, dependency, avoidance, or a reaction the counselor finds challenging. The pattern must be enduring, inflexible, culturally contextualized, associated with distress or impairment, and not better explained by an episode, developmental condition, substance effect, medication, medical condition, or current environment.</w:t>
      </w:r>
    </w:p>
    <w:p>
      <w:pPr>
        <w:pStyle w:val="Heading2"/>
        <w:keepNext/>
        <w:widowControl/>
        <w:spacing w:before="0" w:after="80"/>
      </w:pPr>
      <w:r>
        <w:rPr>
          <w:rFonts w:ascii="Arial" w:hAnsi="Arial" w:eastAsia="Arial"/>
        </w:rPr>
        <w:t>The PATTERN Longitudinal Check</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79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Letter</w:t>
            </w:r>
          </w:p>
        </w:tc>
        <w:tc>
          <w:tcPr>
            <w:tcW w:type="dxa" w:w="237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Diagnostic Check</w:t>
            </w:r>
          </w:p>
        </w:tc>
        <w:tc>
          <w:tcPr>
            <w:tcW w:type="dxa" w:w="662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Evidence to Seek</w:t>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P</w:t>
            </w:r>
          </w:p>
        </w:tc>
        <w:tc>
          <w:tcPr>
            <w:tcW w:type="dxa" w:w="23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Pervasive</w:t>
            </w:r>
          </w:p>
        </w:tc>
        <w:tc>
          <w:tcPr>
            <w:tcW w:type="dxa" w:w="66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Does the pattern appear across relationships, work/school, self-concept, and emotional regulation?</w:t>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w:t>
            </w:r>
          </w:p>
        </w:tc>
        <w:tc>
          <w:tcPr>
            <w:tcW w:type="dxa" w:w="23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Across contexts</w:t>
            </w:r>
          </w:p>
        </w:tc>
        <w:tc>
          <w:tcPr>
            <w:tcW w:type="dxa" w:w="66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it present in multiple settings rather than only with one person or during one role?</w:t>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w:t>
            </w:r>
          </w:p>
        </w:tc>
        <w:tc>
          <w:tcPr>
            <w:tcW w:type="dxa" w:w="23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Time-stable</w:t>
            </w:r>
          </w:p>
        </w:tc>
        <w:tc>
          <w:tcPr>
            <w:tcW w:type="dxa" w:w="66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Has it persisted over years rather than emerging only during a recent episode or crisis?</w:t>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w:t>
            </w:r>
          </w:p>
        </w:tc>
        <w:tc>
          <w:tcPr>
            <w:tcW w:type="dxa" w:w="23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Traceable onset</w:t>
            </w:r>
          </w:p>
        </w:tc>
        <w:tc>
          <w:tcPr>
            <w:tcW w:type="dxa" w:w="66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there evidence by adolescence or early adulthood, while accounting for development and context?</w:t>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w:t>
            </w:r>
          </w:p>
        </w:tc>
        <w:tc>
          <w:tcPr>
            <w:tcW w:type="dxa" w:w="23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Exclusions tested</w:t>
            </w:r>
          </w:p>
        </w:tc>
        <w:tc>
          <w:tcPr>
            <w:tcW w:type="dxa" w:w="66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Could trauma, mood, psychosis, neurodevelopment, substances, medications, sleep, or medical factors explain it better?</w:t>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R</w:t>
            </w:r>
          </w:p>
        </w:tc>
        <w:tc>
          <w:tcPr>
            <w:tcW w:type="dxa" w:w="23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Relational/functional impact</w:t>
            </w:r>
          </w:p>
        </w:tc>
        <w:tc>
          <w:tcPr>
            <w:tcW w:type="dxa" w:w="66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How does the pattern affect intimacy, work, safety, decision-making, and treatment engagement?</w:t>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N</w:t>
            </w:r>
          </w:p>
        </w:tc>
        <w:tc>
          <w:tcPr>
            <w:tcW w:type="dxa" w:w="23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Norms and culture</w:t>
            </w:r>
          </w:p>
        </w:tc>
        <w:tc>
          <w:tcPr>
            <w:tcW w:type="dxa" w:w="66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the behavior outside the client’s cultural, community, identity, and situational context?</w:t>
            </w:r>
          </w:p>
        </w:tc>
      </w:tr>
    </w:tbl>
    <w:p>
      <w:pPr>
        <w:widowControl/>
        <w:spacing w:after="0"/>
      </w:pPr>
    </w:p>
    <w:p>
      <w:pPr>
        <w:pStyle w:val="Heading2"/>
        <w:keepNext/>
        <w:widowControl/>
        <w:spacing w:before="0" w:after="80"/>
      </w:pPr>
      <w:r>
        <w:rPr>
          <w:rFonts w:ascii="Arial" w:hAnsi="Arial" w:eastAsia="Arial"/>
        </w:rPr>
        <w:t>Trait Versus State</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475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State-Like Presentation</w:t>
            </w:r>
          </w:p>
        </w:tc>
        <w:tc>
          <w:tcPr>
            <w:tcW w:type="dxa" w:w="475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Trait-Like Presentation</w:t>
            </w:r>
          </w:p>
        </w:tc>
      </w:tr>
      <w:tr>
        <w:trPr/>
        <w:tc>
          <w:tcPr>
            <w:tcW w:type="dxa" w:w="47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Begins with a mood episode, trauma, medical event, medication change, substance pattern, or acute relationship crisis.</w:t>
            </w:r>
          </w:p>
        </w:tc>
        <w:tc>
          <w:tcPr>
            <w:tcW w:type="dxa" w:w="47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Predates the current crisis and recurs across many contexts over a long period.</w:t>
            </w:r>
          </w:p>
        </w:tc>
      </w:tr>
      <w:tr>
        <w:trPr/>
        <w:tc>
          <w:tcPr>
            <w:tcW w:type="dxa" w:w="47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Improves substantially when the episode, environment, or substance effect resolves.</w:t>
            </w:r>
          </w:p>
        </w:tc>
        <w:tc>
          <w:tcPr>
            <w:tcW w:type="dxa" w:w="47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Remains relatively stable, although intensity can change with stress.</w:t>
            </w:r>
          </w:p>
        </w:tc>
      </w:tr>
      <w:tr>
        <w:trPr/>
        <w:tc>
          <w:tcPr>
            <w:tcW w:type="dxa" w:w="47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Behavior is uncharacteristic compared with the client’s baseline.</w:t>
            </w:r>
          </w:p>
        </w:tc>
        <w:tc>
          <w:tcPr>
            <w:tcW w:type="dxa" w:w="47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Behavior reflects a familiar pattern in self-concept, affect regulation, impulse control, and relationships.</w:t>
            </w:r>
          </w:p>
        </w:tc>
      </w:tr>
      <w:tr>
        <w:trPr/>
        <w:tc>
          <w:tcPr>
            <w:tcW w:type="dxa" w:w="47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Collateral sources describe a clear change from prior functioning.</w:t>
            </w:r>
          </w:p>
        </w:tc>
        <w:tc>
          <w:tcPr>
            <w:tcW w:type="dxa" w:w="47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Collateral sources describe a longstanding pattern with repeated consequences.</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TIP</w:t>
            </w:r>
          </w:p>
          <w:p>
            <w:pPr>
              <w:widowControl/>
              <w:spacing w:after="0"/>
            </w:pPr>
            <w:r>
              <w:rPr>
                <w:rFonts w:ascii="Arial" w:hAnsi="Arial" w:eastAsia="Arial"/>
                <w:color w:val="1F2937"/>
                <w:sz w:val="16"/>
              </w:rPr>
              <w:t>When a question asks for the FIRST diagnostic action, seek a longitudinal baseline before assigning a personality diagnosis. “Since when, in which settings, and outside which episodes?” often separates the best answer from a premature label.</w:t>
            </w:r>
          </w:p>
        </w:tc>
      </w:tr>
    </w:tbl>
    <w:p>
      <w:pPr>
        <w:widowControl/>
        <w:spacing w:after="0"/>
      </w:pPr>
    </w:p>
    <w:p>
      <w:pPr>
        <w:pStyle w:val="Heading2"/>
        <w:keepNext/>
        <w:widowControl/>
        <w:spacing w:before="0" w:after="80"/>
      </w:pPr>
      <w:r>
        <w:rPr>
          <w:rFonts w:ascii="Arial" w:hAnsi="Arial" w:eastAsia="Arial"/>
        </w:rPr>
        <w:t>High-Yield Differentials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Presentation</w:t>
            </w:r>
          </w:p>
        </w:tc>
        <w:tc>
          <w:tcPr>
            <w:tcW w:type="dxa" w:w="309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Compare With</w:t>
            </w:r>
          </w:p>
        </w:tc>
        <w:tc>
          <w:tcPr>
            <w:tcW w:type="dxa" w:w="424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Key Distinction</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Emotional instability and self-harm</w:t>
            </w:r>
          </w:p>
        </w:tc>
        <w:tc>
          <w:tcPr>
            <w:tcW w:type="dxa" w:w="30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Trauma, bipolar spectrum, substance use, current abuse, borderline personality pattern</w:t>
            </w:r>
          </w:p>
        </w:tc>
        <w:tc>
          <w:tcPr>
            <w:tcW w:type="dxa" w:w="42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Duration, triggers, episode structure, intoxication/withdrawal, trauma state, and longitudinal relationship pattern.</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Social withdrawal and restricted affect</w:t>
            </w:r>
          </w:p>
        </w:tc>
        <w:tc>
          <w:tcPr>
            <w:tcW w:type="dxa" w:w="30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Depression, psychosis, autism, social anxiety, schizoid/avoidant patterns</w:t>
            </w:r>
          </w:p>
        </w:tc>
        <w:tc>
          <w:tcPr>
            <w:tcW w:type="dxa" w:w="42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Desire for connection, developmental history, fear of evaluation, negative symptoms, sensory/social differences, and baseline.</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Suspiciousness</w:t>
            </w:r>
          </w:p>
        </w:tc>
        <w:tc>
          <w:tcPr>
            <w:tcW w:type="dxa" w:w="30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Trauma hypervigilance, psychosis, substance effects, culturally grounded mistrust, paranoid pattern</w:t>
            </w:r>
          </w:p>
        </w:tc>
        <w:tc>
          <w:tcPr>
            <w:tcW w:type="dxa" w:w="42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Reality testing, trauma cues, intoxication, systemic context, pervasiveness, and fixedness.</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Perfectionism and control</w:t>
            </w:r>
          </w:p>
        </w:tc>
        <w:tc>
          <w:tcPr>
            <w:tcW w:type="dxa" w:w="30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OCD, generalized anxiety, autism, obsessive-compulsive personality pattern</w:t>
            </w:r>
          </w:p>
        </w:tc>
        <w:tc>
          <w:tcPr>
            <w:tcW w:type="dxa" w:w="42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Intrusive obsessions/rituals versus ego-syntonic standards, developmental rigidity, and function.</w:t>
            </w:r>
          </w:p>
        </w:tc>
      </w:tr>
    </w:tbl>
    <w:p>
      <w:pPr>
        <w:widowControl/>
        <w:spacing w:after="0"/>
      </w:pPr>
    </w:p>
    <w:p>
      <w:pPr>
        <w:pStyle w:val="Heading2"/>
        <w:keepNext/>
        <w:widowControl/>
        <w:spacing w:before="0" w:after="80"/>
      </w:pPr>
      <w:r>
        <w:rPr>
          <w:rFonts w:ascii="Arial" w:hAnsi="Arial" w:eastAsia="Arial"/>
        </w:rPr>
        <w:t>Clinical Resource Toolkit: Personality Pattern Versus State Worksheet</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158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Behavior/Pattern</w:t>
            </w:r>
          </w:p>
        </w:tc>
        <w:tc>
          <w:tcPr>
            <w:tcW w:type="dxa" w:w="158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Earliest Evidence</w:t>
            </w:r>
          </w:p>
        </w:tc>
        <w:tc>
          <w:tcPr>
            <w:tcW w:type="dxa" w:w="144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Contexts</w:t>
            </w:r>
          </w:p>
        </w:tc>
        <w:tc>
          <w:tcPr>
            <w:tcW w:type="dxa" w:w="18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Episode/Substance Link</w:t>
            </w:r>
          </w:p>
        </w:tc>
        <w:tc>
          <w:tcPr>
            <w:tcW w:type="dxa" w:w="18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Culture/Trauma Context</w:t>
            </w:r>
          </w:p>
        </w:tc>
        <w:tc>
          <w:tcPr>
            <w:tcW w:type="dxa" w:w="144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Working Conclusion</w:t>
            </w:r>
          </w:p>
        </w:tc>
      </w:tr>
      <w:tr>
        <w:trPr/>
        <w:tc>
          <w:tcPr>
            <w:tcW w:type="dxa" w:w="15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5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15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5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4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4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15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5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bl>
    <w:p>
      <w:pPr>
        <w:widowControl/>
        <w:spacing w:after="0"/>
      </w:pPr>
    </w:p>
    <w:p>
      <w:pPr>
        <w:pStyle w:val="Heading2"/>
        <w:keepNext/>
        <w:widowControl/>
        <w:spacing w:before="0" w:after="80"/>
      </w:pPr>
      <w:r>
        <w:rPr>
          <w:rFonts w:ascii="Arial" w:hAnsi="Arial" w:eastAsia="Arial"/>
        </w:rPr>
        <w:t>Chapter 2 Summary</w:t>
      </w:r>
    </w:p>
    <w:p>
      <w:pPr>
        <w:pStyle w:val="ListBullet"/>
        <w:keepLines/>
        <w:widowControl/>
        <w:spacing w:after="30"/>
      </w:pPr>
      <w:r>
        <w:rPr>
          <w:rFonts w:ascii="Arial" w:hAnsi="Arial" w:eastAsia="Arial"/>
          <w:color w:val="1F2937"/>
          <w:sz w:val="17"/>
        </w:rPr>
        <w:t>Personality diagnosis requires enduring, pervasive, inflexible patterns and meaningful impairment.</w:t>
      </w:r>
    </w:p>
    <w:p>
      <w:pPr>
        <w:pStyle w:val="ListBullet"/>
        <w:keepLines/>
        <w:widowControl/>
        <w:spacing w:after="30"/>
      </w:pPr>
      <w:r>
        <w:rPr>
          <w:rFonts w:ascii="Arial" w:hAnsi="Arial" w:eastAsia="Arial"/>
          <w:color w:val="1F2937"/>
          <w:sz w:val="17"/>
        </w:rPr>
        <w:t>One crisis, one relationship, or one emotionally intense session is insufficient.</w:t>
      </w:r>
    </w:p>
    <w:p>
      <w:pPr>
        <w:pStyle w:val="ListBullet"/>
        <w:keepLines/>
        <w:widowControl/>
        <w:spacing w:after="30"/>
      </w:pPr>
      <w:r>
        <w:rPr>
          <w:rFonts w:ascii="Arial" w:hAnsi="Arial" w:eastAsia="Arial"/>
          <w:color w:val="1F2937"/>
          <w:sz w:val="17"/>
        </w:rPr>
        <w:t>Compare traits with trauma states, mood episodes, substances, developmental differences, culture, and current environment.</w:t>
      </w:r>
    </w:p>
    <w:p>
      <w:pPr>
        <w:pStyle w:val="ListBullet"/>
        <w:keepLines/>
        <w:widowControl/>
        <w:spacing w:after="30"/>
      </w:pPr>
      <w:r>
        <w:rPr>
          <w:rFonts w:ascii="Arial" w:hAnsi="Arial" w:eastAsia="Arial"/>
          <w:color w:val="1F2937"/>
          <w:sz w:val="17"/>
        </w:rPr>
        <w:t>Use neutral behavioral descriptions; avoid stigmatizing labels in reasoning and documentation.</w:t>
      </w:r>
    </w:p>
    <w:p>
      <w:pPr>
        <w:pStyle w:val="ListBullet"/>
        <w:keepLines/>
        <w:widowControl/>
        <w:spacing w:after="30"/>
      </w:pPr>
      <w:r>
        <w:rPr>
          <w:rFonts w:ascii="Arial" w:hAnsi="Arial" w:eastAsia="Arial"/>
          <w:color w:val="1F2937"/>
          <w:sz w:val="17"/>
        </w:rPr>
        <w:t>Longitudinal and collateral evidence often changes the initial impression.</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3</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Neurodevelopmental, Intellectual, and Neurocognitive Concerns</w:t>
            </w:r>
          </w:p>
        </w:tc>
      </w:tr>
    </w:tbl>
    <w:p>
      <w:pPr>
        <w:widowControl/>
        <w:spacing w:after="0"/>
      </w:pPr>
    </w:p>
    <w:p>
      <w:pPr>
        <w:widowControl/>
        <w:spacing w:before="0" w:after="80"/>
      </w:pPr>
      <w:r>
        <w:rPr>
          <w:rFonts w:ascii="Arial" w:hAnsi="Arial" w:eastAsia="Arial"/>
          <w:i/>
          <w:color w:val="4B5563"/>
          <w:sz w:val="18"/>
        </w:rPr>
        <w:t>Developmental conditions begin early; neurocognitive conditions represent decline. Both require careful history, function, collateral information, and scope-aware referral.</w:t>
      </w:r>
    </w:p>
    <w:p>
      <w:pPr>
        <w:pStyle w:val="Heading2"/>
        <w:keepNext/>
        <w:widowControl/>
        <w:spacing w:before="0" w:after="80"/>
      </w:pPr>
      <w:r>
        <w:rPr>
          <w:rFonts w:ascii="Arial" w:hAnsi="Arial" w:eastAsia="Arial"/>
        </w:rPr>
        <w:t>The DEVELOP Evidence Matrix</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79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Letter</w:t>
            </w:r>
          </w:p>
        </w:tc>
        <w:tc>
          <w:tcPr>
            <w:tcW w:type="dxa" w:w="302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Assessment Task</w:t>
            </w:r>
          </w:p>
        </w:tc>
        <w:tc>
          <w:tcPr>
            <w:tcW w:type="dxa" w:w="597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What the Counselor Is Testing</w:t>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D</w:t>
            </w:r>
          </w:p>
        </w:tc>
        <w:tc>
          <w:tcPr>
            <w:tcW w:type="dxa" w:w="30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Developmental onset</w:t>
            </w:r>
          </w:p>
        </w:tc>
        <w:tc>
          <w:tcPr>
            <w:tcW w:type="dxa" w:w="59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Were relevant features present in childhood, even if they were masked or not recognized?</w:t>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w:t>
            </w:r>
          </w:p>
        </w:tc>
        <w:tc>
          <w:tcPr>
            <w:tcW w:type="dxa" w:w="30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Evidence across settings</w:t>
            </w:r>
          </w:p>
        </w:tc>
        <w:tc>
          <w:tcPr>
            <w:tcW w:type="dxa" w:w="59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Do symptoms appear in more than one setting and create functional impairment?</w:t>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V</w:t>
            </w:r>
          </w:p>
        </w:tc>
        <w:tc>
          <w:tcPr>
            <w:tcW w:type="dxa" w:w="30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Variability and masking</w:t>
            </w:r>
          </w:p>
        </w:tc>
        <w:tc>
          <w:tcPr>
            <w:tcW w:type="dxa" w:w="59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How do structure, interest, sensory demand, gendered expectations, culture, and coping strategies change visibility?</w:t>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w:t>
            </w:r>
          </w:p>
        </w:tc>
        <w:tc>
          <w:tcPr>
            <w:tcW w:type="dxa" w:w="30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Exclusions and overlap</w:t>
            </w:r>
          </w:p>
        </w:tc>
        <w:tc>
          <w:tcPr>
            <w:tcW w:type="dxa" w:w="59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Could sleep, anxiety, depression, trauma, substance use, medication, learning, or medical factors better explain the symptoms?</w:t>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L</w:t>
            </w:r>
          </w:p>
        </w:tc>
        <w:tc>
          <w:tcPr>
            <w:tcW w:type="dxa" w:w="30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Learning and adaptive function</w:t>
            </w:r>
          </w:p>
        </w:tc>
        <w:tc>
          <w:tcPr>
            <w:tcW w:type="dxa" w:w="59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are the client’s academic, occupational, communication, daily-living, and independent-functioning strengths and needs?</w:t>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O</w:t>
            </w:r>
          </w:p>
        </w:tc>
        <w:tc>
          <w:tcPr>
            <w:tcW w:type="dxa" w:w="30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Observation and collateral</w:t>
            </w:r>
          </w:p>
        </w:tc>
        <w:tc>
          <w:tcPr>
            <w:tcW w:type="dxa" w:w="59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do records, family, partners, teachers, or prior evaluators show, with appropriate consent?</w:t>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P</w:t>
            </w:r>
          </w:p>
        </w:tc>
        <w:tc>
          <w:tcPr>
            <w:tcW w:type="dxa" w:w="30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Professional scope and referral</w:t>
            </w:r>
          </w:p>
        </w:tc>
        <w:tc>
          <w:tcPr>
            <w:tcW w:type="dxa" w:w="59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Which questions can be addressed through counseling assessment, and which require specialized psychological, neuropsychological, medical, or educational evaluation?</w:t>
            </w:r>
          </w:p>
        </w:tc>
      </w:tr>
    </w:tbl>
    <w:p>
      <w:pPr>
        <w:widowControl/>
        <w:spacing w:after="0"/>
      </w:pPr>
    </w:p>
    <w:p>
      <w:pPr>
        <w:pStyle w:val="Heading2"/>
        <w:keepNext/>
        <w:widowControl/>
        <w:spacing w:before="0" w:after="80"/>
      </w:pPr>
      <w:r>
        <w:rPr>
          <w:rFonts w:ascii="Arial" w:hAnsi="Arial" w:eastAsia="Arial"/>
        </w:rPr>
        <w:t>Adult ADHD: High-Yield Diagnostic Logic</w:t>
      </w:r>
    </w:p>
    <w:p>
      <w:pPr>
        <w:widowControl/>
        <w:spacing w:before="0" w:after="80"/>
      </w:pPr>
      <w:r>
        <w:rPr>
          <w:rFonts w:ascii="Arial" w:hAnsi="Arial" w:eastAsia="Arial"/>
          <w:sz w:val="18"/>
        </w:rPr>
        <w:t>Current concentration problems do not prove ADHD. Look for childhood onset, persistence, impairment in at least two settings, and corroborating history. Compare ADHD with anxiety, depression, trauma, sleep deprivation, substance use, medication effects, thyroid or other medical conditions, and environmental overload. Rating scales support assessment but do not substitute for the clinical evaluation.</w:t>
      </w:r>
    </w:p>
    <w:p>
      <w:pPr>
        <w:pStyle w:val="Heading2"/>
        <w:keepNext/>
        <w:widowControl/>
        <w:spacing w:before="0" w:after="80"/>
      </w:pPr>
      <w:r>
        <w:rPr>
          <w:rFonts w:ascii="Arial" w:hAnsi="Arial" w:eastAsia="Arial"/>
        </w:rPr>
        <w:t>Autism Across the Lifespan</w:t>
      </w:r>
    </w:p>
    <w:p>
      <w:pPr>
        <w:widowControl/>
        <w:spacing w:before="0" w:after="80"/>
      </w:pPr>
      <w:r>
        <w:rPr>
          <w:rFonts w:ascii="Arial" w:hAnsi="Arial" w:eastAsia="Arial"/>
          <w:sz w:val="18"/>
        </w:rPr>
        <w:t>Adult autism evaluation focuses on developmental social-communication patterns, restricted or repetitive behavior/interests, sensory experiences, functional impact, and history from early development. Anxiety, ADHD, trauma, personality assumptions, and cultural communication differences can overlap. A client may have learned to mask or compensate; absence of an earlier diagnosis does not establish late onset.</w:t>
      </w:r>
    </w:p>
    <w:p>
      <w:pPr>
        <w:pStyle w:val="Heading2"/>
        <w:keepNext/>
        <w:widowControl/>
        <w:spacing w:before="0" w:after="80"/>
      </w:pPr>
      <w:r>
        <w:rPr>
          <w:rFonts w:ascii="Arial" w:hAnsi="Arial" w:eastAsia="Arial"/>
        </w:rPr>
        <w:t>Intellectual, Learning, and Neurocognitive Concerns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Concern</w:t>
            </w:r>
          </w:p>
        </w:tc>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Core Question</w:t>
            </w:r>
          </w:p>
        </w:tc>
        <w:tc>
          <w:tcPr>
            <w:tcW w:type="dxa" w:w="38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Referral Signal</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Intellectual functioning</w:t>
            </w:r>
          </w:p>
        </w:tc>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Are there longstanding limitations in intellectual and adaptive functioning beginning during development?</w:t>
            </w:r>
          </w:p>
        </w:tc>
        <w:tc>
          <w:tcPr>
            <w:tcW w:type="dxa" w:w="38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Individual intelligence testing and formal diagnostic clarification require appropriately qualified referral.</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Specific learning concern</w:t>
            </w:r>
          </w:p>
        </w:tc>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there a persistent, circumscribed academic skill difficulty despite opportunity and support?</w:t>
            </w:r>
          </w:p>
        </w:tc>
        <w:tc>
          <w:tcPr>
            <w:tcW w:type="dxa" w:w="38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Educational/psychological testing may be needed to distinguish skill disorder from attention, language, sensory, or instruction factors.</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Neurocognitive decline</w:t>
            </w:r>
          </w:p>
        </w:tc>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there a documented decline from prior ability in memory, executive function, language, attention, perception, or social cognition?</w:t>
            </w:r>
          </w:p>
        </w:tc>
        <w:tc>
          <w:tcPr>
            <w:tcW w:type="dxa" w:w="38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New, progressive, fluctuating, or functionally significant decline warrants medical and often neuropsychological evaluation.</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Delirium/acute confusion</w:t>
            </w:r>
          </w:p>
        </w:tc>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attention or awareness acutely disturbed or fluctuating?</w:t>
            </w:r>
          </w:p>
        </w:tc>
        <w:tc>
          <w:tcPr>
            <w:tcW w:type="dxa" w:w="38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Urgent medical evaluation; do not treat as routine dementia, psychosis, or anxiety.</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FF8DF"/>
            <w:tcBorders>
              <w:top w:sz="9" w:val="single" w:color="E7C66A"/>
              <w:left w:sz="9" w:val="single" w:color="E7C66A"/>
              <w:bottom w:sz="9" w:val="single" w:color="E7C66A"/>
              <w:right w:sz="9" w:val="single" w:color="E7C66A"/>
            </w:tcBorders>
            <w:tcMar>
              <w:top w:w="80" w:type="dxa"/>
              <w:start w:w="120" w:type="dxa"/>
              <w:bottom w:w="80" w:type="dxa"/>
              <w:end w:w="120" w:type="dxa"/>
            </w:tcMar>
          </w:tcPr>
          <w:p>
            <w:pPr>
              <w:widowControl/>
              <w:spacing w:after="40"/>
            </w:pPr>
            <w:r>
              <w:rPr>
                <w:rFonts w:ascii="Arial" w:hAnsi="Arial" w:eastAsia="Arial"/>
                <w:b/>
                <w:color w:val="17365D"/>
                <w:sz w:val="17"/>
              </w:rPr>
              <w:t>CALIFORNIA SCOPE SAFEGUARD</w:t>
            </w:r>
          </w:p>
          <w:p>
            <w:pPr>
              <w:widowControl/>
              <w:spacing w:after="0"/>
            </w:pPr>
            <w:r>
              <w:rPr>
                <w:rFonts w:ascii="Arial" w:hAnsi="Arial" w:eastAsia="Arial"/>
                <w:color w:val="1F2937"/>
                <w:sz w:val="16"/>
              </w:rPr>
              <w:t>California LPCC assessment does not include projective personality techniques, individually administered intelligence tests, neuropsychological testing, or a battery of three or more tests to determine psychosis, dementia, amnesia, cognitive impairment, or criminal behavior. Counselors assess within competence and refer when the question requires excluded or specialized testing.</w:t>
            </w:r>
          </w:p>
        </w:tc>
      </w:tr>
    </w:tbl>
    <w:p>
      <w:pPr>
        <w:widowControl/>
        <w:spacing w:after="0"/>
      </w:pPr>
    </w:p>
    <w:p>
      <w:pPr>
        <w:pStyle w:val="Heading2"/>
        <w:keepNext/>
        <w:widowControl/>
        <w:spacing w:before="0" w:after="80"/>
      </w:pPr>
      <w:r>
        <w:rPr>
          <w:rFonts w:ascii="Arial" w:hAnsi="Arial" w:eastAsia="Arial"/>
        </w:rPr>
        <w:t>Clinical Resource Toolkit: Developmental and Cognitive Evidence Matrix</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15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Domain</w:t>
            </w:r>
          </w:p>
        </w:tc>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Childhood/Developmental Evidence</w:t>
            </w:r>
          </w:p>
        </w:tc>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Current Settings and Function</w:t>
            </w:r>
          </w:p>
        </w:tc>
        <w:tc>
          <w:tcPr>
            <w:tcW w:type="dxa" w:w="18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Alternative Explanations</w:t>
            </w:r>
          </w:p>
        </w:tc>
        <w:tc>
          <w:tcPr>
            <w:tcW w:type="dxa" w:w="16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Collateral/Records</w:t>
            </w:r>
          </w:p>
        </w:tc>
        <w:tc>
          <w:tcPr>
            <w:tcW w:type="dxa" w:w="122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Referral Need</w:t>
            </w:r>
          </w:p>
        </w:tc>
      </w:tr>
      <w:tr>
        <w:trPr/>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Attention/executive function</w:t>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Social communication/sensory pattern</w:t>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Learning/adaptive functioning</w:t>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Cognitive change from baseline</w:t>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bl>
    <w:p>
      <w:pPr>
        <w:widowControl/>
        <w:spacing w:after="0"/>
      </w:pPr>
    </w:p>
    <w:p>
      <w:pPr>
        <w:pStyle w:val="Heading2"/>
        <w:keepNext/>
        <w:widowControl/>
        <w:spacing w:before="0" w:after="80"/>
      </w:pPr>
      <w:r>
        <w:rPr>
          <w:rFonts w:ascii="Arial" w:hAnsi="Arial" w:eastAsia="Arial"/>
        </w:rPr>
        <w:t>Chapter 3 Summary</w:t>
      </w:r>
    </w:p>
    <w:p>
      <w:pPr>
        <w:pStyle w:val="ListBullet"/>
        <w:keepLines/>
        <w:widowControl/>
        <w:spacing w:after="30"/>
      </w:pPr>
      <w:r>
        <w:rPr>
          <w:rFonts w:ascii="Arial" w:hAnsi="Arial" w:eastAsia="Arial"/>
          <w:color w:val="1F2937"/>
          <w:sz w:val="17"/>
        </w:rPr>
        <w:t>Developmental onset and cross-setting impairment are central to ADHD and autism reasoning.</w:t>
      </w:r>
    </w:p>
    <w:p>
      <w:pPr>
        <w:pStyle w:val="ListBullet"/>
        <w:keepLines/>
        <w:widowControl/>
        <w:spacing w:after="30"/>
      </w:pPr>
      <w:r>
        <w:rPr>
          <w:rFonts w:ascii="Arial" w:hAnsi="Arial" w:eastAsia="Arial"/>
          <w:color w:val="1F2937"/>
          <w:sz w:val="17"/>
        </w:rPr>
        <w:t>Late recognition is not the same as late onset; masking, structure, and cultural context affect visibility.</w:t>
      </w:r>
    </w:p>
    <w:p>
      <w:pPr>
        <w:pStyle w:val="ListBullet"/>
        <w:keepLines/>
        <w:widowControl/>
        <w:spacing w:after="30"/>
      </w:pPr>
      <w:r>
        <w:rPr>
          <w:rFonts w:ascii="Arial" w:hAnsi="Arial" w:eastAsia="Arial"/>
          <w:color w:val="1F2937"/>
          <w:sz w:val="17"/>
        </w:rPr>
        <w:t>Intellectual disability involves adaptive functioning as well as intellectual functioning.</w:t>
      </w:r>
    </w:p>
    <w:p>
      <w:pPr>
        <w:pStyle w:val="ListBullet"/>
        <w:keepLines/>
        <w:widowControl/>
        <w:spacing w:after="30"/>
      </w:pPr>
      <w:r>
        <w:rPr>
          <w:rFonts w:ascii="Arial" w:hAnsi="Arial" w:eastAsia="Arial"/>
          <w:color w:val="1F2937"/>
          <w:sz w:val="17"/>
        </w:rPr>
        <w:t>Neurocognitive disorders involve decline from prior ability; acute or fluctuating confusion may be a medical emergency.</w:t>
      </w:r>
    </w:p>
    <w:p>
      <w:pPr>
        <w:pStyle w:val="ListBullet"/>
        <w:keepLines/>
        <w:widowControl/>
        <w:spacing w:after="30"/>
      </w:pPr>
      <w:r>
        <w:rPr>
          <w:rFonts w:ascii="Arial" w:hAnsi="Arial" w:eastAsia="Arial"/>
          <w:color w:val="1F2937"/>
          <w:sz w:val="17"/>
        </w:rPr>
        <w:t>LPCCs must remain within California assessment limits and use specialized referrals when formal testing exceeds scope or competence.</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4</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Eating, Sleep, Somatic, Dissociative, and Sexual-Functioning Concerns</w:t>
            </w:r>
          </w:p>
        </w:tc>
      </w:tr>
    </w:tbl>
    <w:p>
      <w:pPr>
        <w:widowControl/>
        <w:spacing w:after="0"/>
      </w:pPr>
    </w:p>
    <w:p>
      <w:pPr>
        <w:widowControl/>
        <w:spacing w:before="0" w:after="80"/>
      </w:pPr>
      <w:r>
        <w:rPr>
          <w:rFonts w:ascii="Arial" w:hAnsi="Arial" w:eastAsia="Arial"/>
          <w:i/>
          <w:color w:val="4B5563"/>
          <w:sz w:val="18"/>
        </w:rPr>
        <w:t>Do not assume these concerns are “only psychological.” Assess the behavioral pattern, distress and impairment, medical risk, medications, culture, identity, trauma, and the need for coordinated care.</w:t>
      </w:r>
    </w:p>
    <w:p>
      <w:pPr>
        <w:pStyle w:val="Heading2"/>
        <w:keepNext/>
        <w:widowControl/>
        <w:spacing w:before="0" w:after="80"/>
      </w:pPr>
      <w:r>
        <w:rPr>
          <w:rFonts w:ascii="Arial" w:hAnsi="Arial" w:eastAsia="Arial"/>
        </w:rPr>
        <w:t>Eating Presentations: Behavior and Medical Risk</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Pattern</w:t>
            </w:r>
          </w:p>
        </w:tc>
        <w:tc>
          <w:tcPr>
            <w:tcW w:type="dxa" w:w="446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High-Yield Evidence</w:t>
            </w:r>
          </w:p>
        </w:tc>
        <w:tc>
          <w:tcPr>
            <w:tcW w:type="dxa" w:w="352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Immediate Concern</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Restriction</w:t>
            </w:r>
          </w:p>
        </w:tc>
        <w:tc>
          <w:tcPr>
            <w:tcW w:type="dxa" w:w="446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Intake restriction, fear/avoidance, weight/shape meaning or sensory/fear-based avoidance, exercise, weight trajectory, developmental context.</w:t>
            </w:r>
          </w:p>
        </w:tc>
        <w:tc>
          <w:tcPr>
            <w:tcW w:type="dxa" w:w="35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Syncope, chest pain, severe weakness, dehydration, abnormal vital signs, rapid change, or inability to maintain intake.</w:t>
            </w:r>
          </w:p>
        </w:tc>
      </w:tr>
      <w:tr>
        <w:trPr/>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Binge eating</w:t>
            </w:r>
          </w:p>
        </w:tc>
        <w:tc>
          <w:tcPr>
            <w:tcW w:type="dxa" w:w="446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Recurrent loss-of-control episodes, amount/context, distress, secrecy, triggers, and functional impact.</w:t>
            </w:r>
          </w:p>
        </w:tc>
        <w:tc>
          <w:tcPr>
            <w:tcW w:type="dxa" w:w="352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Metabolic and gastrointestinal concerns, suicidality, severe shame, or rapid deterioration.</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Compensatory behavior</w:t>
            </w:r>
          </w:p>
        </w:tc>
        <w:tc>
          <w:tcPr>
            <w:tcW w:type="dxa" w:w="446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Vomiting, laxatives/diuretics, fasting, excessive exercise, medication misuse, frequency, and medical consequences.</w:t>
            </w:r>
          </w:p>
        </w:tc>
        <w:tc>
          <w:tcPr>
            <w:tcW w:type="dxa" w:w="35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Electrolyte/cardiac risk, blood in vomit, fainting, confusion, or severe dehydration.</w:t>
            </w:r>
          </w:p>
        </w:tc>
      </w:tr>
      <w:tr>
        <w:trPr/>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ARFID-like avoidance</w:t>
            </w:r>
          </w:p>
        </w:tc>
        <w:tc>
          <w:tcPr>
            <w:tcW w:type="dxa" w:w="446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Restriction due to sensory features, low interest, or fear of consequences rather than weight/shape concerns.</w:t>
            </w:r>
          </w:p>
        </w:tc>
        <w:tc>
          <w:tcPr>
            <w:tcW w:type="dxa" w:w="352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Nutritional deficiency, growth/weight impact, dependence on supplements, or marked psychosocial interference.</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CLINICAL PEARL</w:t>
            </w:r>
          </w:p>
          <w:p>
            <w:pPr>
              <w:widowControl/>
              <w:spacing w:after="0"/>
            </w:pPr>
            <w:r>
              <w:rPr>
                <w:rFonts w:ascii="Arial" w:hAnsi="Arial" w:eastAsia="Arial"/>
                <w:color w:val="1F2937"/>
                <w:sz w:val="16"/>
              </w:rPr>
              <w:t>A person can be medically unstable at any body size. Appearance is not a reliable severity measure. Medical assessment and nutritional coordination may be necessary even when the client does not appear underweight.</w:t>
            </w:r>
          </w:p>
        </w:tc>
      </w:tr>
    </w:tbl>
    <w:p>
      <w:pPr>
        <w:widowControl/>
        <w:spacing w:after="0"/>
      </w:pPr>
    </w:p>
    <w:p>
      <w:pPr>
        <w:pStyle w:val="Heading2"/>
        <w:keepNext/>
        <w:widowControl/>
        <w:spacing w:before="0" w:after="80"/>
      </w:pPr>
      <w:r>
        <w:rPr>
          <w:rFonts w:ascii="Arial" w:hAnsi="Arial" w:eastAsia="Arial"/>
        </w:rPr>
        <w:t>Sleep: Symptom, Cause, or Disorder?</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8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Question</w:t>
            </w:r>
          </w:p>
        </w:tc>
        <w:tc>
          <w:tcPr>
            <w:tcW w:type="dxa" w:w="57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Diagnostic Value</w:t>
            </w:r>
          </w:p>
        </w:tc>
      </w:tr>
      <w:tr>
        <w:trPr/>
        <w:tc>
          <w:tcPr>
            <w:tcW w:type="dxa" w:w="38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What is the actual sleep opportunity and schedule?</w:t>
            </w:r>
          </w:p>
        </w:tc>
        <w:tc>
          <w:tcPr>
            <w:tcW w:type="dxa" w:w="57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Distinguishes insufficient sleep or circadian mismatch from inability to sleep despite adequate opportunity.</w:t>
            </w:r>
          </w:p>
        </w:tc>
      </w:tr>
      <w:tr>
        <w:trPr/>
        <w:tc>
          <w:tcPr>
            <w:tcW w:type="dxa" w:w="38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Is there loud snoring, gasping, witnessed apnea, restless legs, unusual movements, or extreme daytime sleepiness?</w:t>
            </w:r>
          </w:p>
        </w:tc>
        <w:tc>
          <w:tcPr>
            <w:tcW w:type="dxa" w:w="57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Signals possible sleep-related breathing, movement, or hypersomnolence disorders requiring medical/sleep evaluation.</w:t>
            </w:r>
          </w:p>
        </w:tc>
      </w:tr>
      <w:tr>
        <w:trPr/>
        <w:tc>
          <w:tcPr>
            <w:tcW w:type="dxa" w:w="38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Did sleep change with mood activation, trauma, substances, medications, pain, or medical illness?</w:t>
            </w:r>
          </w:p>
        </w:tc>
        <w:tc>
          <w:tcPr>
            <w:tcW w:type="dxa" w:w="57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Tests whether sleep is secondary to another condition or contributes to it.</w:t>
            </w:r>
          </w:p>
        </w:tc>
      </w:tr>
      <w:tr>
        <w:trPr/>
        <w:tc>
          <w:tcPr>
            <w:tcW w:type="dxa" w:w="38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Does the client feel rested after reduced sleep?</w:t>
            </w:r>
          </w:p>
        </w:tc>
        <w:tc>
          <w:tcPr>
            <w:tcW w:type="dxa" w:w="57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Reduced need for sleep without fatigue differs from insomnia with exhaustion.</w:t>
            </w:r>
          </w:p>
        </w:tc>
      </w:tr>
      <w:tr>
        <w:trPr/>
        <w:tc>
          <w:tcPr>
            <w:tcW w:type="dxa" w:w="38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What do sleep diary or collateral data show?</w:t>
            </w:r>
          </w:p>
        </w:tc>
        <w:tc>
          <w:tcPr>
            <w:tcW w:type="dxa" w:w="57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Improves accuracy and identifies schedule, variability, and environmental contributors.</w:t>
            </w:r>
          </w:p>
        </w:tc>
      </w:tr>
    </w:tbl>
    <w:p>
      <w:pPr>
        <w:widowControl/>
        <w:spacing w:after="0"/>
      </w:pPr>
    </w:p>
    <w:p>
      <w:pPr>
        <w:pStyle w:val="Heading2"/>
        <w:keepNext/>
        <w:widowControl/>
        <w:spacing w:before="0" w:after="80"/>
      </w:pPr>
      <w:r>
        <w:rPr>
          <w:rFonts w:ascii="Arial" w:hAnsi="Arial" w:eastAsia="Arial"/>
        </w:rPr>
        <w:t>Somatic Symptom and Illness-Anxiety Reasoning</w:t>
      </w:r>
    </w:p>
    <w:p>
      <w:pPr>
        <w:widowControl/>
        <w:spacing w:before="0" w:after="80"/>
      </w:pPr>
      <w:r>
        <w:rPr>
          <w:rFonts w:ascii="Arial" w:hAnsi="Arial" w:eastAsia="Arial"/>
          <w:sz w:val="18"/>
        </w:rPr>
        <w:t>The client’s physical symptoms are real experiences whether or not a medical explanation has been found. The diagnostic question concerns the pattern of thoughts, anxiety, behaviors, impairment, and health-care use—not whether the counselor believes the symptom is “all in the head.” Coordinate appropriate medical care, avoid repeated reassurance cycles, and do not use a somatic diagnosis to dismiss new red flags.</w:t>
      </w:r>
    </w:p>
    <w:p>
      <w:pPr>
        <w:pStyle w:val="Heading2"/>
        <w:keepNext/>
        <w:widowControl/>
        <w:spacing w:before="0" w:after="80"/>
      </w:pPr>
      <w:r>
        <w:rPr>
          <w:rFonts w:ascii="Arial" w:hAnsi="Arial" w:eastAsia="Arial"/>
        </w:rPr>
        <w:t>Dissociation Versus Psychosis, Neurological Events, and Substance Effects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Feature</w:t>
            </w:r>
          </w:p>
        </w:tc>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Dissociative Possibility</w:t>
            </w:r>
          </w:p>
        </w:tc>
        <w:tc>
          <w:tcPr>
            <w:tcW w:type="dxa" w:w="367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Alternative to Assess</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Depersonalization/derealization</w:t>
            </w:r>
          </w:p>
        </w:tc>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Altered sense of self or unreality with awareness that the experience is subjective.</w:t>
            </w:r>
          </w:p>
        </w:tc>
        <w:tc>
          <w:tcPr>
            <w:tcW w:type="dxa" w:w="367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Panic, trauma, substances, sleep deprivation, neurological condition, psychosis.</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Memory gaps</w:t>
            </w:r>
          </w:p>
        </w:tc>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Amnesia inconsistent with ordinary forgetting, often linked to trauma or identity-state shifts.</w:t>
            </w:r>
          </w:p>
        </w:tc>
        <w:tc>
          <w:tcPr>
            <w:tcW w:type="dxa" w:w="367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Substances, seizures, head injury, sleep, malingering/forensic context, neurocognitive condition.</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Identity disruption</w:t>
            </w:r>
          </w:p>
        </w:tc>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Discontinuity in sense of self, agency, behavior, memory, perception, or affect.</w:t>
            </w:r>
          </w:p>
        </w:tc>
        <w:tc>
          <w:tcPr>
            <w:tcW w:type="dxa" w:w="367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Cultural/spiritual experiences, trauma, psychosis, personality pattern, neurological condition.</w:t>
            </w:r>
          </w:p>
        </w:tc>
      </w:tr>
    </w:tbl>
    <w:p>
      <w:pPr>
        <w:widowControl/>
        <w:spacing w:after="0"/>
      </w:pPr>
    </w:p>
    <w:p>
      <w:pPr>
        <w:pStyle w:val="Heading2"/>
        <w:keepNext/>
        <w:widowControl/>
        <w:spacing w:before="0" w:after="80"/>
      </w:pPr>
      <w:r>
        <w:rPr>
          <w:rFonts w:ascii="Arial" w:hAnsi="Arial" w:eastAsia="Arial"/>
        </w:rPr>
        <w:t>Sexual-Functioning Concerns</w:t>
      </w:r>
    </w:p>
    <w:p>
      <w:pPr>
        <w:widowControl/>
        <w:spacing w:before="0" w:after="80"/>
      </w:pPr>
      <w:r>
        <w:rPr>
          <w:rFonts w:ascii="Arial" w:hAnsi="Arial" w:eastAsia="Arial"/>
          <w:sz w:val="17"/>
        </w:rPr>
        <w:t>Assess onset, context, distress, relationship factors, trauma, pain, medical conditions, hormonal factors, medications, substances, cultural and religious meaning, sexual orientation, gender identity, and consent. Do not pathologize consensual behavior, identity, low or variable desire without distress, or culturally different norms. Medical or specialty referral may be necessary when pain, sudden change, endocrine concerns, medication effects, or complex trauma are present.</w:t>
      </w:r>
    </w:p>
    <w:p>
      <w:pPr>
        <w:pStyle w:val="Heading2"/>
        <w:keepNext/>
        <w:widowControl/>
        <w:spacing w:before="0" w:after="80"/>
      </w:pPr>
      <w:r>
        <w:rPr>
          <w:rFonts w:ascii="Arial" w:hAnsi="Arial" w:eastAsia="Arial"/>
        </w:rPr>
        <w:t>Clinical Resource Toolkit: BODY-SYSTEMS Triage Worksheet</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122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Concern</w:t>
            </w:r>
          </w:p>
        </w:tc>
        <w:tc>
          <w:tcPr>
            <w:tcW w:type="dxa" w:w="18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Behavior/Timeline</w:t>
            </w:r>
          </w:p>
        </w:tc>
        <w:tc>
          <w:tcPr>
            <w:tcW w:type="dxa" w:w="16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Medical Red Flags</w:t>
            </w:r>
          </w:p>
        </w:tc>
        <w:tc>
          <w:tcPr>
            <w:tcW w:type="dxa" w:w="20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Psychiatric/Developmental Differential</w:t>
            </w:r>
          </w:p>
        </w:tc>
        <w:tc>
          <w:tcPr>
            <w:tcW w:type="dxa" w:w="18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Medication/Substance Factors</w:t>
            </w:r>
          </w:p>
        </w:tc>
        <w:tc>
          <w:tcPr>
            <w:tcW w:type="dxa" w:w="15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Coordination/Referral</w:t>
            </w:r>
          </w:p>
        </w:tc>
      </w:tr>
      <w:tr>
        <w:trPr/>
        <w:tc>
          <w:tcPr>
            <w:tcW w:type="dxa" w:w="12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Eating</w:t>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2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Sleep</w:t>
            </w:r>
          </w:p>
        </w:tc>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2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Somatic/health anxiety</w:t>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2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Dissociation/sexual functioning</w:t>
            </w:r>
          </w:p>
        </w:tc>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bl>
    <w:p>
      <w:pPr>
        <w:widowControl/>
        <w:spacing w:after="0"/>
      </w:pPr>
    </w:p>
    <w:p>
      <w:pPr>
        <w:pStyle w:val="Heading2"/>
        <w:keepNext/>
        <w:widowControl/>
        <w:spacing w:before="0" w:after="80"/>
      </w:pPr>
      <w:r>
        <w:rPr>
          <w:rFonts w:ascii="Arial" w:hAnsi="Arial" w:eastAsia="Arial"/>
        </w:rPr>
        <w:t>Chapter 4 Summary</w:t>
      </w:r>
    </w:p>
    <w:p>
      <w:pPr>
        <w:pStyle w:val="ListBullet"/>
        <w:keepLines/>
        <w:widowControl/>
        <w:spacing w:after="30"/>
      </w:pPr>
      <w:r>
        <w:rPr>
          <w:rFonts w:ascii="Arial" w:hAnsi="Arial" w:eastAsia="Arial"/>
          <w:color w:val="1F2937"/>
          <w:sz w:val="17"/>
        </w:rPr>
        <w:t>Eating-disorder severity cannot be judged by appearance or body size.</w:t>
      </w:r>
    </w:p>
    <w:p>
      <w:pPr>
        <w:pStyle w:val="ListBullet"/>
        <w:keepLines/>
        <w:widowControl/>
        <w:spacing w:after="30"/>
      </w:pPr>
      <w:r>
        <w:rPr>
          <w:rFonts w:ascii="Arial" w:hAnsi="Arial" w:eastAsia="Arial"/>
          <w:color w:val="1F2937"/>
          <w:sz w:val="17"/>
        </w:rPr>
        <w:t>Sleep complaints require schedule, opportunity, medical, substance, medication, mood, trauma, and breathing/movement assessment.</w:t>
      </w:r>
    </w:p>
    <w:p>
      <w:pPr>
        <w:pStyle w:val="ListBullet"/>
        <w:keepLines/>
        <w:widowControl/>
        <w:spacing w:after="30"/>
      </w:pPr>
      <w:r>
        <w:rPr>
          <w:rFonts w:ascii="Arial" w:hAnsi="Arial" w:eastAsia="Arial"/>
          <w:color w:val="1F2937"/>
          <w:sz w:val="17"/>
        </w:rPr>
        <w:t>Somatic symptoms should be validated while thoughts, behaviors, impairment, and medical coordination are assessed.</w:t>
      </w:r>
    </w:p>
    <w:p>
      <w:pPr>
        <w:pStyle w:val="ListBullet"/>
        <w:keepLines/>
        <w:widowControl/>
        <w:spacing w:after="30"/>
      </w:pPr>
      <w:r>
        <w:rPr>
          <w:rFonts w:ascii="Arial" w:hAnsi="Arial" w:eastAsia="Arial"/>
          <w:color w:val="1F2937"/>
          <w:sz w:val="17"/>
        </w:rPr>
        <w:t>Dissociation can overlap with trauma, panic, psychosis, substances, seizures, and neurocognitive conditions.</w:t>
      </w:r>
    </w:p>
    <w:p>
      <w:pPr>
        <w:pStyle w:val="ListBullet"/>
        <w:keepLines/>
        <w:widowControl/>
        <w:spacing w:after="30"/>
      </w:pPr>
      <w:r>
        <w:rPr>
          <w:rFonts w:ascii="Arial" w:hAnsi="Arial" w:eastAsia="Arial"/>
          <w:color w:val="1F2937"/>
          <w:sz w:val="17"/>
        </w:rPr>
        <w:t>Sexual-functioning concerns require distress, context, consent, identity-affirming practice, and medical/medication review.</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5</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Medical Factors, Medication Effects, Co-Occurrence, and Specialized Referral</w:t>
            </w:r>
          </w:p>
        </w:tc>
      </w:tr>
    </w:tbl>
    <w:p>
      <w:pPr>
        <w:widowControl/>
        <w:spacing w:after="0"/>
      </w:pPr>
    </w:p>
    <w:p>
      <w:pPr>
        <w:widowControl/>
        <w:spacing w:before="0" w:after="80"/>
      </w:pPr>
      <w:r>
        <w:rPr>
          <w:rFonts w:ascii="Arial" w:hAnsi="Arial" w:eastAsia="Arial"/>
          <w:i/>
          <w:color w:val="4B5563"/>
          <w:sz w:val="18"/>
        </w:rPr>
        <w:t>The best formulation may contain more than one diagnosis, a medical condition, medication effects, environmental stressors, and a clear statement of what still requires evaluation.</w:t>
      </w:r>
    </w:p>
    <w:p>
      <w:pPr>
        <w:pStyle w:val="Heading2"/>
        <w:keepNext/>
        <w:widowControl/>
        <w:spacing w:before="0" w:after="80"/>
      </w:pPr>
      <w:r>
        <w:rPr>
          <w:rFonts w:ascii="Arial" w:hAnsi="Arial" w:eastAsia="Arial"/>
        </w:rPr>
        <w:t>The INTEGRATE Formulation Sequence</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0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Step</w:t>
            </w:r>
          </w:p>
        </w:tc>
        <w:tc>
          <w:tcPr>
            <w:tcW w:type="dxa" w:w="777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Counselor Action</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I - Immediate needs</w:t>
            </w:r>
          </w:p>
        </w:tc>
        <w:tc>
          <w:tcPr>
            <w:tcW w:type="dxa" w:w="77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Address safety, overdose, withdrawal, medical instability, delirium, severe malnutrition, acute neurological change, and urgent level of care first.</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N - Name plausible conditions</w:t>
            </w:r>
          </w:p>
        </w:tc>
        <w:tc>
          <w:tcPr>
            <w:tcW w:type="dxa" w:w="77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List primary, substance-induced, developmental, medical, sleep, personality, trauma, and contextual explanations supported by the case.</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 - Timeline relationships</w:t>
            </w:r>
          </w:p>
        </w:tc>
        <w:tc>
          <w:tcPr>
            <w:tcW w:type="dxa" w:w="77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Compare onset, escalation, remission, abstinence, medication changes, medical events, developmental history, and functional decline.</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 - Evidence for and against</w:t>
            </w:r>
          </w:p>
        </w:tc>
        <w:tc>
          <w:tcPr>
            <w:tcW w:type="dxa" w:w="77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Use symptoms, duration, impairment, observations, collateral, screening, records, and response to prior interventions.</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G - Generate integrated formulation</w:t>
            </w:r>
          </w:p>
        </w:tc>
        <w:tc>
          <w:tcPr>
            <w:tcW w:type="dxa" w:w="77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Explain how conditions interact rather than forcing one condition to explain everything.</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R - Referral and role clarity</w:t>
            </w:r>
          </w:p>
        </w:tc>
        <w:tc>
          <w:tcPr>
            <w:tcW w:type="dxa" w:w="77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Identify who will evaluate medical, psychiatric, addiction, nutrition, sleep, psychological, neuropsychological, or educational questions.</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 - Address medication information</w:t>
            </w:r>
          </w:p>
        </w:tc>
        <w:tc>
          <w:tcPr>
            <w:tcW w:type="dxa" w:w="77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Document the client’s report of benefits, side effects, adherence, access barriers, and concerns; coordinate with the prescriber rather than directing medication changes.</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 - Treatment sequence</w:t>
            </w:r>
          </w:p>
        </w:tc>
        <w:tc>
          <w:tcPr>
            <w:tcW w:type="dxa" w:w="77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Match urgency, readiness, level of care, and coordination plan to the client’s needs.</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 - Evaluate and revise</w:t>
            </w:r>
          </w:p>
        </w:tc>
        <w:tc>
          <w:tcPr>
            <w:tcW w:type="dxa" w:w="77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Monitor outcomes, symptoms, functioning, substance pattern, sleep, medical status, and new information; update the formulation.</w:t>
            </w:r>
          </w:p>
        </w:tc>
      </w:tr>
    </w:tbl>
    <w:p>
      <w:pPr>
        <w:widowControl/>
        <w:spacing w:after="0"/>
      </w:pPr>
    </w:p>
    <w:p>
      <w:pPr>
        <w:pStyle w:val="Heading2"/>
        <w:keepNext/>
        <w:widowControl/>
        <w:spacing w:before="0" w:after="80"/>
      </w:pPr>
      <w:r>
        <w:rPr>
          <w:rFonts w:ascii="Arial" w:hAnsi="Arial" w:eastAsia="Arial"/>
        </w:rPr>
        <w:t>Co-Occurring Does Not Mean One Condition Is Secondary</w:t>
      </w:r>
    </w:p>
    <w:p>
      <w:pPr>
        <w:widowControl/>
        <w:spacing w:before="0" w:after="80"/>
      </w:pPr>
      <w:r>
        <w:rPr>
          <w:rFonts w:ascii="Arial" w:hAnsi="Arial" w:eastAsia="Arial"/>
          <w:sz w:val="18"/>
        </w:rPr>
        <w:t>A client may simultaneously meet criteria for a substance use disorder and a mental disorder. The clinical task is to screen for both, identify immediate risk, determine what can be addressed in the current setting, and coordinate integrated or closely linked care. SAMHSA’s “no wrong door” principle means that a client should be identified, assessed, and connected to appropriate care regardless of which service system they enter first.</w:t>
      </w:r>
    </w:p>
    <w:p>
      <w:pPr>
        <w:pStyle w:val="Heading2"/>
        <w:keepNext/>
        <w:widowControl/>
        <w:spacing w:before="0" w:after="80"/>
      </w:pPr>
      <w:r>
        <w:rPr>
          <w:rFonts w:ascii="Arial" w:hAnsi="Arial" w:eastAsia="Arial"/>
        </w:rPr>
        <w:t>Medical and Medication Differential Signals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67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Signal</w:t>
            </w:r>
          </w:p>
        </w:tc>
        <w:tc>
          <w:tcPr>
            <w:tcW w:type="dxa" w:w="597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Examples of Counselor Response</w:t>
            </w:r>
          </w:p>
        </w:tc>
      </w:tr>
      <w:tr>
        <w:trPr/>
        <w:tc>
          <w:tcPr>
            <w:tcW w:type="dxa" w:w="367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Abrupt onset, fluctuating attention, disorientation, fever, severe headache, new neurological signs</w:t>
            </w:r>
          </w:p>
        </w:tc>
        <w:tc>
          <w:tcPr>
            <w:tcW w:type="dxa" w:w="59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Treat as possible medical emergency; arrange urgent evaluation rather than routine psychotherapy.</w:t>
            </w:r>
          </w:p>
        </w:tc>
      </w:tr>
      <w:tr>
        <w:trPr/>
        <w:tc>
          <w:tcPr>
            <w:tcW w:type="dxa" w:w="367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New symptoms after medication start, dose change, discontinuation, interaction, or nonadherence</w:t>
            </w:r>
          </w:p>
        </w:tc>
        <w:tc>
          <w:tcPr>
            <w:tcW w:type="dxa" w:w="59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Document timing and client-reported effects; coordinate promptly with prescriber or medical provider.</w:t>
            </w:r>
          </w:p>
        </w:tc>
      </w:tr>
      <w:tr>
        <w:trPr/>
        <w:tc>
          <w:tcPr>
            <w:tcW w:type="dxa" w:w="367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Progressive cognitive or functional decline</w:t>
            </w:r>
          </w:p>
        </w:tc>
        <w:tc>
          <w:tcPr>
            <w:tcW w:type="dxa" w:w="59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Gather baseline/collateral information and refer for medical and specialized cognitive evaluation.</w:t>
            </w:r>
          </w:p>
        </w:tc>
      </w:tr>
      <w:tr>
        <w:trPr/>
        <w:tc>
          <w:tcPr>
            <w:tcW w:type="dxa" w:w="367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Endocrine, cardiac, respiratory, pain, infectious, nutritional, reproductive, or neurological clues</w:t>
            </w:r>
          </w:p>
        </w:tc>
        <w:tc>
          <w:tcPr>
            <w:tcW w:type="dxa" w:w="59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Avoid psychiatric closure; coordinate medical assessment while addressing emotional and behavioral impact.</w:t>
            </w:r>
          </w:p>
        </w:tc>
      </w:tr>
      <w:tr>
        <w:trPr/>
        <w:tc>
          <w:tcPr>
            <w:tcW w:type="dxa" w:w="367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Multiple conditions and providers with conflicting plans</w:t>
            </w:r>
          </w:p>
        </w:tc>
        <w:tc>
          <w:tcPr>
            <w:tcW w:type="dxa" w:w="59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Clarify releases, roles, goals, medication list, risk plan, and communication method.</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FF8DF"/>
            <w:tcBorders>
              <w:top w:sz="9" w:val="single" w:color="E7C66A"/>
              <w:left w:sz="9" w:val="single" w:color="E7C66A"/>
              <w:bottom w:sz="9" w:val="single" w:color="E7C66A"/>
              <w:right w:sz="9" w:val="single" w:color="E7C66A"/>
            </w:tcBorders>
            <w:tcMar>
              <w:top w:w="80" w:type="dxa"/>
              <w:start w:w="120" w:type="dxa"/>
              <w:bottom w:w="80" w:type="dxa"/>
              <w:end w:w="120" w:type="dxa"/>
            </w:tcMar>
          </w:tcPr>
          <w:p>
            <w:pPr>
              <w:widowControl/>
              <w:spacing w:after="40"/>
            </w:pPr>
            <w:r>
              <w:rPr>
                <w:rFonts w:ascii="Arial" w:hAnsi="Arial" w:eastAsia="Arial"/>
                <w:b/>
                <w:color w:val="17365D"/>
                <w:sz w:val="17"/>
              </w:rPr>
              <w:t>SCOPE AND COMPETENCE RULE</w:t>
            </w:r>
          </w:p>
          <w:p>
            <w:pPr>
              <w:widowControl/>
              <w:spacing w:after="0"/>
            </w:pPr>
            <w:r>
              <w:rPr>
                <w:rFonts w:ascii="Arial" w:hAnsi="Arial" w:eastAsia="Arial"/>
                <w:color w:val="1F2937"/>
                <w:sz w:val="16"/>
              </w:rPr>
              <w:t>A California LPCC may conduct counseling assessments within competence, but must refer when the client’s needs or the required testing exceed education, training, experience, or statutory assessment scope. Diagnosis does not authorize medical treatment, medication management, neuropsychological testing, or individually administered intelligence testing.</w:t>
            </w:r>
          </w:p>
        </w:tc>
      </w:tr>
    </w:tbl>
    <w:p>
      <w:pPr>
        <w:widowControl/>
        <w:spacing w:after="0"/>
      </w:pPr>
    </w:p>
    <w:p>
      <w:pPr>
        <w:pStyle w:val="Heading2"/>
        <w:keepNext/>
        <w:widowControl/>
        <w:spacing w:before="0" w:after="80"/>
      </w:pPr>
      <w:r>
        <w:rPr>
          <w:rFonts w:ascii="Arial" w:hAnsi="Arial" w:eastAsia="Arial"/>
        </w:rPr>
        <w:t>Specialized Referral Matrix</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8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Question/Need</w:t>
            </w:r>
          </w:p>
        </w:tc>
        <w:tc>
          <w:tcPr>
            <w:tcW w:type="dxa" w:w="58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Likely Referral or Collaboration</w:t>
            </w:r>
          </w:p>
        </w:tc>
      </w:tr>
      <w:tr>
        <w:trPr/>
        <w:tc>
          <w:tcPr>
            <w:tcW w:type="dxa" w:w="38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Dangerous withdrawal, overdose, acute medical instability</w:t>
            </w:r>
          </w:p>
        </w:tc>
        <w:tc>
          <w:tcPr>
            <w:tcW w:type="dxa" w:w="58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Emergency department, physician, addiction medicine, medically managed withdrawal service.</w:t>
            </w:r>
          </w:p>
        </w:tc>
      </w:tr>
      <w:tr>
        <w:trPr/>
        <w:tc>
          <w:tcPr>
            <w:tcW w:type="dxa" w:w="38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Medication diagnosis, adverse effect, dose or interaction question</w:t>
            </w:r>
          </w:p>
        </w:tc>
        <w:tc>
          <w:tcPr>
            <w:tcW w:type="dxa" w:w="58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Prescriber, primary care, psychiatry, pharmacist as appropriate.</w:t>
            </w:r>
          </w:p>
        </w:tc>
      </w:tr>
      <w:tr>
        <w:trPr/>
        <w:tc>
          <w:tcPr>
            <w:tcW w:type="dxa" w:w="38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Eating-disorder medical/nutritional risk</w:t>
            </w:r>
          </w:p>
        </w:tc>
        <w:tc>
          <w:tcPr>
            <w:tcW w:type="dxa" w:w="58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Medical provider, eating-disorder specialist, registered dietitian, higher level of care.</w:t>
            </w:r>
          </w:p>
        </w:tc>
      </w:tr>
      <w:tr>
        <w:trPr/>
        <w:tc>
          <w:tcPr>
            <w:tcW w:type="dxa" w:w="38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Sleep apnea, narcolepsy, movement disorder, unexplained hypersomnolence</w:t>
            </w:r>
          </w:p>
        </w:tc>
        <w:tc>
          <w:tcPr>
            <w:tcW w:type="dxa" w:w="58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Primary care and/or sleep medicine.</w:t>
            </w:r>
          </w:p>
        </w:tc>
      </w:tr>
      <w:tr>
        <w:trPr/>
        <w:tc>
          <w:tcPr>
            <w:tcW w:type="dxa" w:w="38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Autism, ADHD, learning, intellectual, or complex diagnostic clarification</w:t>
            </w:r>
          </w:p>
        </w:tc>
        <w:tc>
          <w:tcPr>
            <w:tcW w:type="dxa" w:w="58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Qualified psychologist, psychiatrist, neuropsychologist, developmental or educational specialist depending on question.</w:t>
            </w:r>
          </w:p>
        </w:tc>
      </w:tr>
      <w:tr>
        <w:trPr/>
        <w:tc>
          <w:tcPr>
            <w:tcW w:type="dxa" w:w="38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Progressive or acute cognitive change</w:t>
            </w:r>
          </w:p>
        </w:tc>
        <w:tc>
          <w:tcPr>
            <w:tcW w:type="dxa" w:w="58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Medical/neurological evaluation; neuropsychological referral when appropriate.</w:t>
            </w:r>
          </w:p>
        </w:tc>
      </w:tr>
      <w:tr>
        <w:trPr/>
        <w:tc>
          <w:tcPr>
            <w:tcW w:type="dxa" w:w="38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Substance use beyond current setting competence</w:t>
            </w:r>
          </w:p>
        </w:tc>
        <w:tc>
          <w:tcPr>
            <w:tcW w:type="dxa" w:w="58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Addiction specialist, integrated program, recovery supports, medication treatment provider, appropriate level of care.</w:t>
            </w:r>
          </w:p>
        </w:tc>
      </w:tr>
    </w:tbl>
    <w:p>
      <w:pPr>
        <w:widowControl/>
        <w:spacing w:after="0"/>
      </w:pPr>
    </w:p>
    <w:p>
      <w:pPr>
        <w:pStyle w:val="Heading2"/>
        <w:keepNext/>
        <w:widowControl/>
        <w:spacing w:before="0" w:after="80"/>
      </w:pPr>
      <w:r>
        <w:rPr>
          <w:rFonts w:ascii="Arial" w:hAnsi="Arial" w:eastAsia="Arial"/>
        </w:rPr>
        <w:t>Clinical Resource Toolkit: Integrated Diagnostic and Referral Plan</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4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Condition/Concern</w:t>
            </w:r>
          </w:p>
        </w:tc>
        <w:tc>
          <w:tcPr>
            <w:tcW w:type="dxa" w:w="136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Evidence For</w:t>
            </w:r>
          </w:p>
        </w:tc>
        <w:tc>
          <w:tcPr>
            <w:tcW w:type="dxa" w:w="172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Evidence Against/Unknown</w:t>
            </w:r>
          </w:p>
        </w:tc>
        <w:tc>
          <w:tcPr>
            <w:tcW w:type="dxa" w:w="93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Urgency</w:t>
            </w:r>
          </w:p>
        </w:tc>
        <w:tc>
          <w:tcPr>
            <w:tcW w:type="dxa" w:w="122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Current Role</w:t>
            </w:r>
          </w:p>
        </w:tc>
        <w:tc>
          <w:tcPr>
            <w:tcW w:type="dxa" w:w="18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Referral/Coordination</w:t>
            </w:r>
          </w:p>
        </w:tc>
        <w:tc>
          <w:tcPr>
            <w:tcW w:type="dxa" w:w="115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Monitoring</w:t>
            </w:r>
          </w:p>
        </w:tc>
      </w:tr>
      <w:tr>
        <w:trPr/>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3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7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1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4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36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72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1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3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7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1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4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36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72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1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bl>
    <w:p>
      <w:pPr>
        <w:widowControl/>
        <w:spacing w:after="0"/>
      </w:pPr>
    </w:p>
    <w:p>
      <w:pPr>
        <w:pStyle w:val="Heading2"/>
        <w:keepNext/>
        <w:widowControl/>
        <w:spacing w:before="0" w:after="80"/>
      </w:pPr>
      <w:r>
        <w:rPr>
          <w:rFonts w:ascii="Arial" w:hAnsi="Arial" w:eastAsia="Arial"/>
        </w:rPr>
        <w:t>Chapter 5 Summary</w:t>
      </w:r>
    </w:p>
    <w:p>
      <w:pPr>
        <w:pStyle w:val="ListBullet"/>
        <w:keepLines/>
        <w:widowControl/>
        <w:spacing w:after="30"/>
      </w:pPr>
      <w:r>
        <w:rPr>
          <w:rFonts w:ascii="Arial" w:hAnsi="Arial" w:eastAsia="Arial"/>
          <w:color w:val="1F2937"/>
          <w:sz w:val="17"/>
        </w:rPr>
        <w:t>Co-occurring conditions require integrated formulation rather than forced either/or reasoning.</w:t>
      </w:r>
    </w:p>
    <w:p>
      <w:pPr>
        <w:pStyle w:val="ListBullet"/>
        <w:keepLines/>
        <w:widowControl/>
        <w:spacing w:after="30"/>
      </w:pPr>
      <w:r>
        <w:rPr>
          <w:rFonts w:ascii="Arial" w:hAnsi="Arial" w:eastAsia="Arial"/>
          <w:color w:val="1F2937"/>
          <w:sz w:val="17"/>
        </w:rPr>
        <w:t>Safety, withdrawal, medical instability, and acute cognitive change are prioritized before routine diagnostic refinement.</w:t>
      </w:r>
    </w:p>
    <w:p>
      <w:pPr>
        <w:pStyle w:val="ListBullet"/>
        <w:keepLines/>
        <w:widowControl/>
        <w:spacing w:after="30"/>
      </w:pPr>
      <w:r>
        <w:rPr>
          <w:rFonts w:ascii="Arial" w:hAnsi="Arial" w:eastAsia="Arial"/>
          <w:color w:val="1F2937"/>
          <w:sz w:val="17"/>
        </w:rPr>
        <w:t>Medication effects are assessed and documented; medication changes are coordinated with qualified prescribers.</w:t>
      </w:r>
    </w:p>
    <w:p>
      <w:pPr>
        <w:pStyle w:val="ListBullet"/>
        <w:keepLines/>
        <w:widowControl/>
        <w:spacing w:after="30"/>
      </w:pPr>
      <w:r>
        <w:rPr>
          <w:rFonts w:ascii="Arial" w:hAnsi="Arial" w:eastAsia="Arial"/>
          <w:color w:val="1F2937"/>
          <w:sz w:val="17"/>
        </w:rPr>
        <w:t>Referral should identify the exact clinical question and the professional needed to answer it.</w:t>
      </w:r>
    </w:p>
    <w:p>
      <w:pPr>
        <w:pStyle w:val="ListBullet"/>
        <w:keepLines/>
        <w:widowControl/>
        <w:spacing w:after="30"/>
      </w:pPr>
      <w:r>
        <w:rPr>
          <w:rFonts w:ascii="Arial" w:hAnsi="Arial" w:eastAsia="Arial"/>
          <w:color w:val="1F2937"/>
          <w:sz w:val="17"/>
        </w:rPr>
        <w:t>Formulations remain provisional and should be revised as abstinence, treatment response, medical data, collateral, and functioning change.</w:t>
      </w:r>
    </w:p>
    <w:p>
      <w:pPr>
        <w:widowControl/>
      </w:pPr>
      <w:r>
        <w:rPr>
          <w:rFonts w:ascii="Arial" w:hAnsi="Arial" w:eastAsia="Arial"/>
        </w:rPr>
        <w:br w:type="page"/>
      </w:r>
    </w:p>
    <w:p>
      <w:pPr>
        <w:pStyle w:val="Heading1"/>
        <w:keepNext/>
        <w:widowControl/>
        <w:spacing w:before="0" w:after="80"/>
      </w:pPr>
      <w:r>
        <w:rPr>
          <w:rFonts w:ascii="Arial" w:hAnsi="Arial" w:eastAsia="Arial"/>
        </w:rPr>
        <w:t>Cumulative Three-Part Case Lab</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HOW TO USE THE CASE</w:t>
            </w:r>
          </w:p>
          <w:p>
            <w:pPr>
              <w:widowControl/>
              <w:spacing w:after="0"/>
            </w:pPr>
            <w:r>
              <w:rPr>
                <w:rFonts w:ascii="Arial" w:hAnsi="Arial" w:eastAsia="Arial"/>
                <w:color w:val="1F2937"/>
                <w:sz w:val="16"/>
              </w:rPr>
              <w:t>Read only one part at a time. Record your working formulation, evidence, urgency, and next action before revealing the next section. Notice which early impressions must be revised.</w:t>
            </w:r>
          </w:p>
        </w:tc>
      </w:tr>
    </w:tbl>
    <w:p>
      <w:pPr>
        <w:widowControl/>
        <w:spacing w:after="0"/>
      </w:pPr>
    </w:p>
    <w:p>
      <w:pPr>
        <w:pStyle w:val="Heading2"/>
        <w:keepNext/>
        <w:widowControl/>
        <w:spacing w:before="0" w:after="80"/>
      </w:pPr>
      <w:r>
        <w:rPr>
          <w:rFonts w:ascii="Arial" w:hAnsi="Arial" w:eastAsia="Arial"/>
        </w:rPr>
        <w:t>Case: Riley - Part 1, Intake</w:t>
      </w:r>
    </w:p>
    <w:p>
      <w:pPr>
        <w:widowControl/>
        <w:spacing w:before="0" w:after="80"/>
      </w:pPr>
      <w:r>
        <w:rPr>
          <w:rFonts w:ascii="Arial" w:hAnsi="Arial" w:eastAsia="Arial"/>
          <w:sz w:val="18"/>
        </w:rPr>
        <w:t>Riley Chen is a 31-year-old nonbinary respiratory therapist who seeks counseling for “anxiety, insomnia, and losing focus.” Riley reports drinking five to seven alcoholic drinks most evenings, using cannabis nightly, consuming high-dose energy drinks during shifts, and taking a coworker’s stimulant tablets “a few times a month” to finish documentation. They wake with sweating and hand tremors that improve after drinking. Two years ago, Riley had a seizure after trying to stop alcohol for several days but did not receive follow-up care. Riley denies current suicidal intent but reports increasing shame, missed shifts, and a recent driving incident.</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Your Task</w:t>
            </w:r>
          </w:p>
        </w:tc>
        <w:tc>
          <w:tcPr>
            <w:tcW w:type="dxa" w:w="56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Notes</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information belongs on the CLEAR timeline?</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is the most urgent risk?</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answer would be premature: routine anxiety treatment, abrupt alcohol cessation advice, or urgent medical/addiction evaluation? Why?</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conditions remain plausible after the immediate risk is addressed?</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PART 1 DEBRIEF</w:t>
            </w:r>
          </w:p>
          <w:p>
            <w:pPr>
              <w:widowControl/>
              <w:spacing w:after="0"/>
            </w:pPr>
            <w:r>
              <w:rPr>
                <w:rFonts w:ascii="Arial" w:hAnsi="Arial" w:eastAsia="Arial"/>
                <w:color w:val="1F2937"/>
                <w:sz w:val="16"/>
              </w:rPr>
              <w:t>The immediate priority is medical/addiction evaluation for potentially dangerous alcohol withdrawal, especially given current withdrawal symptoms and a prior seizure. Anxiety, sleep, attention, cannabis/stimulant effects, and a possible substance use disorder remain important, but routine outpatient psychotherapy is not the first response to the withdrawal risk.</w:t>
            </w:r>
          </w:p>
        </w:tc>
      </w:tr>
    </w:tbl>
    <w:p>
      <w:pPr>
        <w:widowControl/>
        <w:spacing w:after="0"/>
      </w:pPr>
    </w:p>
    <w:p>
      <w:pPr>
        <w:pStyle w:val="Heading2"/>
        <w:keepNext/>
        <w:widowControl/>
        <w:spacing w:before="0" w:after="80"/>
      </w:pPr>
      <w:r>
        <w:rPr>
          <w:rFonts w:ascii="Arial" w:hAnsi="Arial" w:eastAsia="Arial"/>
        </w:rPr>
        <w:t>Case: Riley - Part 2, After Medical Stabilization</w:t>
      </w:r>
    </w:p>
    <w:p>
      <w:pPr>
        <w:widowControl/>
        <w:spacing w:before="0" w:after="80"/>
      </w:pPr>
      <w:r>
        <w:rPr>
          <w:rFonts w:ascii="Arial" w:hAnsi="Arial" w:eastAsia="Arial"/>
          <w:sz w:val="18"/>
        </w:rPr>
        <w:t>After medically supervised withdrawal and three weeks without alcohol or nonprescribed stimulants, Riley’s tremor resolves and sleep improves to six hours. Anxiety decreases, but they continue to miss details, lose items, underestimate time, and start many tasks without finishing. Riley’s parent reports similar patterns beginning in elementary school and occurring at home, school, and work. Riley also describes lifelong sensory sensitivity, rehearsing conversations, intense interests, and exhaustion after social interaction. Their school records show strong grades in preferred subjects and repeated comments about disorganization. Riley asks whether this is ADHD, autism, “a personality disorder,” or damage from substance use.</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Your Task</w:t>
            </w:r>
          </w:p>
        </w:tc>
        <w:tc>
          <w:tcPr>
            <w:tcW w:type="dxa" w:w="56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Notes</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DEVELOP elements are now supported?</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evidence supports ADHD, autism, both, or neither?</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symptoms may still reflect recovery, sleep debt, anxiety, or substance effects?</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assessment questions are within LPCC counseling practice, and what specialized evaluation may be needed?</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PART 2 DEBRIEF</w:t>
            </w:r>
          </w:p>
          <w:p>
            <w:pPr>
              <w:widowControl/>
              <w:spacing w:after="0"/>
            </w:pPr>
            <w:r>
              <w:rPr>
                <w:rFonts w:ascii="Arial" w:hAnsi="Arial" w:eastAsia="Arial"/>
                <w:color w:val="1F2937"/>
                <w:sz w:val="16"/>
              </w:rPr>
              <w:t>The developmental, cross-setting attention history supports further ADHD evaluation. Lifelong social-communication, sensory, and restricted-interest features support further autism evaluation. These can co-occur. Three weeks of abstinence does not answer every differential question, so continued monitoring and specialty assessment are appropriate. California scope limits must guide any formal cognitive, intelligence, or neuropsychological testing.</w:t>
            </w:r>
          </w:p>
        </w:tc>
      </w:tr>
    </w:tbl>
    <w:p>
      <w:pPr>
        <w:widowControl/>
        <w:spacing w:after="0"/>
      </w:pPr>
    </w:p>
    <w:p>
      <w:pPr>
        <w:pStyle w:val="Heading2"/>
        <w:keepNext/>
        <w:widowControl/>
        <w:spacing w:before="0" w:after="80"/>
      </w:pPr>
      <w:r>
        <w:rPr>
          <w:rFonts w:ascii="Arial" w:hAnsi="Arial" w:eastAsia="Arial"/>
        </w:rPr>
        <w:t>Case: Riley - Part 3, New Eating and Relationship Information</w:t>
      </w:r>
    </w:p>
    <w:p>
      <w:pPr>
        <w:widowControl/>
        <w:spacing w:before="0" w:after="80"/>
      </w:pPr>
      <w:r>
        <w:rPr>
          <w:rFonts w:ascii="Arial" w:hAnsi="Arial" w:eastAsia="Arial"/>
          <w:sz w:val="18"/>
        </w:rPr>
        <w:t>Riley later reports recurrent binge eating followed by self-induced vomiting, increasing dizziness, palpitations, and one fainting episode. They also describe intense fear of abandonment and impulsive messages during the past six months in a relationship marked by coercion and threats. Prior partners and family do not describe the same pattern. Riley takes prescribed sertraline and recently doubled the dose without consulting the prescriber because “more should work faster.”</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Your Task</w:t>
            </w:r>
          </w:p>
        </w:tc>
        <w:tc>
          <w:tcPr>
            <w:tcW w:type="dxa" w:w="56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Notes</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requires immediate medical or prescriber coordination?</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Why would a personality diagnosis be premature?</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conditions or contextual factors belong in the integrated formulation?</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Write the next-step sequence using INTEGRATE.</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PART 3 DEBRIEF</w:t>
            </w:r>
          </w:p>
          <w:p>
            <w:pPr>
              <w:widowControl/>
              <w:spacing w:after="0"/>
            </w:pPr>
            <w:r>
              <w:rPr>
                <w:rFonts w:ascii="Arial" w:hAnsi="Arial" w:eastAsia="Arial"/>
                <w:color w:val="1F2937"/>
                <w:sz w:val="16"/>
              </w:rPr>
              <w:t>Fainting, palpitations, vomiting, and possible electrolyte disturbance require prompt medical assessment. The unsupervised medication change requires prescriber coordination. The abandonment-related behavior is recent and context-bound to coercive relationship stress, so personality diagnosis is premature. The integrated plan addresses eating behavior, medical risk, relationship safety, substance recovery, developmental assessment, sleep, anxiety, medication use, and coordinated care.</w:t>
            </w:r>
          </w:p>
        </w:tc>
      </w:tr>
    </w:tbl>
    <w:p>
      <w:pPr>
        <w:widowControl/>
        <w:spacing w:after="0"/>
      </w:pPr>
    </w:p>
    <w:p>
      <w:pPr>
        <w:widowControl/>
      </w:pPr>
      <w:r>
        <w:rPr>
          <w:rFonts w:ascii="Arial" w:hAnsi="Arial" w:eastAsia="Arial"/>
        </w:rPr>
        <w:br w:type="page"/>
      </w:r>
    </w:p>
    <w:p>
      <w:pPr>
        <w:pStyle w:val="Heading1"/>
        <w:keepNext/>
        <w:widowControl/>
        <w:spacing w:before="0" w:after="80"/>
      </w:pPr>
      <w:r>
        <w:rPr>
          <w:rFonts w:ascii="Arial" w:hAnsi="Arial" w:eastAsia="Arial"/>
        </w:rPr>
        <w:t>Knowledge Check</w:t>
      </w:r>
    </w:p>
    <w:p>
      <w:pPr>
        <w:widowControl/>
        <w:spacing w:before="0" w:after="80"/>
      </w:pPr>
      <w:r>
        <w:rPr>
          <w:rFonts w:ascii="Arial" w:hAnsi="Arial" w:eastAsia="Arial"/>
          <w:sz w:val="18"/>
        </w:rPr>
        <w:t>Complete all 10 questions without using the rationale section. Record confidence before reviewing answers.</w:t>
      </w:r>
    </w:p>
    <w:p>
      <w:pPr>
        <w:keepNext/>
        <w:widowControl/>
        <w:spacing w:before="80" w:after="40"/>
      </w:pPr>
      <w:r>
        <w:rPr>
          <w:rFonts w:ascii="Arial" w:hAnsi="Arial" w:eastAsia="Arial"/>
          <w:b/>
          <w:color w:val="17365D"/>
          <w:sz w:val="16"/>
        </w:rPr>
        <w:t>LPCC-WB06-Q001 | Knowledge &amp; Recall | Easy | Primary concept: Screening limits</w:t>
      </w:r>
    </w:p>
    <w:p>
      <w:pPr>
        <w:keepNext/>
        <w:widowControl/>
        <w:spacing w:before="0" w:after="40"/>
      </w:pPr>
      <w:r>
        <w:rPr>
          <w:rFonts w:ascii="Arial" w:hAnsi="Arial" w:eastAsia="Arial"/>
          <w:b/>
          <w:color w:val="1F2937"/>
          <w:sz w:val="18"/>
        </w:rPr>
        <w:t>A client scores above the cutoff on an alcohol screening instrument. Which conclusion is most accurate?</w:t>
      </w:r>
    </w:p>
    <w:p>
      <w:pPr>
        <w:widowControl/>
        <w:spacing w:before="0" w:after="20"/>
        <w:ind w:left="72"/>
      </w:pPr>
      <w:r>
        <w:rPr>
          <w:rFonts w:ascii="Arial" w:hAnsi="Arial" w:eastAsia="Arial"/>
          <w:color w:val="1F2937"/>
          <w:sz w:val="17"/>
        </w:rPr>
        <w:t>A. A substance use disorder is confirmed at the severity indicated by the score.</w:t>
      </w:r>
    </w:p>
    <w:p>
      <w:pPr>
        <w:widowControl/>
        <w:spacing w:before="0" w:after="20"/>
        <w:ind w:left="72"/>
      </w:pPr>
      <w:r>
        <w:rPr>
          <w:rFonts w:ascii="Arial" w:hAnsi="Arial" w:eastAsia="Arial"/>
          <w:color w:val="1F2937"/>
          <w:sz w:val="17"/>
        </w:rPr>
        <w:t>B. The result indicates need for further assessment; it does not by itself establish diagnosis or severity.</w:t>
      </w:r>
    </w:p>
    <w:p>
      <w:pPr>
        <w:widowControl/>
        <w:spacing w:before="0" w:after="20"/>
        <w:ind w:left="72"/>
      </w:pPr>
      <w:r>
        <w:rPr>
          <w:rFonts w:ascii="Arial" w:hAnsi="Arial" w:eastAsia="Arial"/>
          <w:color w:val="1F2937"/>
          <w:sz w:val="17"/>
        </w:rPr>
        <w:t>C. The client should be instructed to stop drinking immediately.</w:t>
      </w:r>
    </w:p>
    <w:p>
      <w:pPr>
        <w:widowControl/>
        <w:spacing w:before="0" w:after="20"/>
        <w:ind w:left="72"/>
      </w:pPr>
      <w:r>
        <w:rPr>
          <w:rFonts w:ascii="Arial" w:hAnsi="Arial" w:eastAsia="Arial"/>
          <w:color w:val="1F2937"/>
          <w:sz w:val="17"/>
        </w:rPr>
        <w:t>D. The score is clinically useful only if a toxicology test is positive.</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LPCC-WB06-Q002 | Application | Easy | Primary concept: Withdrawal risk</w:t>
      </w:r>
    </w:p>
    <w:p>
      <w:pPr>
        <w:keepNext/>
        <w:widowControl/>
        <w:spacing w:before="0" w:after="40"/>
      </w:pPr>
      <w:r>
        <w:rPr>
          <w:rFonts w:ascii="Arial" w:hAnsi="Arial" w:eastAsia="Arial"/>
          <w:b/>
          <w:color w:val="1F2937"/>
          <w:sz w:val="18"/>
        </w:rPr>
        <w:t>A client who drinks heavily every day reports morning tremor, sweating, and a prior withdrawal seizure. What is the counselor’s BEST next action?</w:t>
      </w:r>
    </w:p>
    <w:p>
      <w:pPr>
        <w:widowControl/>
        <w:spacing w:before="0" w:after="20"/>
        <w:ind w:left="72"/>
      </w:pPr>
      <w:r>
        <w:rPr>
          <w:rFonts w:ascii="Arial" w:hAnsi="Arial" w:eastAsia="Arial"/>
          <w:color w:val="1F2937"/>
          <w:sz w:val="17"/>
        </w:rPr>
        <w:t>A. Begin motivational interviewing and ask the client to taper independently.</w:t>
      </w:r>
    </w:p>
    <w:p>
      <w:pPr>
        <w:widowControl/>
        <w:spacing w:before="0" w:after="20"/>
        <w:ind w:left="72"/>
      </w:pPr>
      <w:r>
        <w:rPr>
          <w:rFonts w:ascii="Arial" w:hAnsi="Arial" w:eastAsia="Arial"/>
          <w:color w:val="1F2937"/>
          <w:sz w:val="17"/>
        </w:rPr>
        <w:t>B. Teach relaxation skills for the tremor and schedule follow-up next week.</w:t>
      </w:r>
    </w:p>
    <w:p>
      <w:pPr>
        <w:widowControl/>
        <w:spacing w:before="0" w:after="20"/>
        <w:ind w:left="72"/>
      </w:pPr>
      <w:r>
        <w:rPr>
          <w:rFonts w:ascii="Arial" w:hAnsi="Arial" w:eastAsia="Arial"/>
          <w:color w:val="1F2937"/>
          <w:sz w:val="17"/>
        </w:rPr>
        <w:t>C. Arrange urgent medical/addiction evaluation for potentially dangerous withdrawal.</w:t>
      </w:r>
    </w:p>
    <w:p>
      <w:pPr>
        <w:widowControl/>
        <w:spacing w:before="0" w:after="20"/>
        <w:ind w:left="72"/>
      </w:pPr>
      <w:r>
        <w:rPr>
          <w:rFonts w:ascii="Arial" w:hAnsi="Arial" w:eastAsia="Arial"/>
          <w:color w:val="1F2937"/>
          <w:sz w:val="17"/>
        </w:rPr>
        <w:t>D. Ask the client to stop alcohol for 72 hours so symptoms can be observed.</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LPCC-WB06-Q003 | Application | Moderate | Primary concept: Substance-induced differential</w:t>
      </w:r>
    </w:p>
    <w:p>
      <w:pPr>
        <w:keepNext/>
        <w:widowControl/>
        <w:spacing w:before="0" w:after="40"/>
      </w:pPr>
      <w:r>
        <w:rPr>
          <w:rFonts w:ascii="Arial" w:hAnsi="Arial" w:eastAsia="Arial"/>
          <w:b/>
          <w:color w:val="1F2937"/>
          <w:sz w:val="18"/>
        </w:rPr>
        <w:t>Which finding most strongly supports a substance-induced paranoid presentation rather than a primary psychotic disorder?</w:t>
      </w:r>
    </w:p>
    <w:p>
      <w:pPr>
        <w:widowControl/>
        <w:spacing w:before="0" w:after="20"/>
        <w:ind w:left="72"/>
      </w:pPr>
      <w:r>
        <w:rPr>
          <w:rFonts w:ascii="Arial" w:hAnsi="Arial" w:eastAsia="Arial"/>
          <w:color w:val="1F2937"/>
          <w:sz w:val="17"/>
        </w:rPr>
        <w:t>A. Paranoia repeatedly begins during stimulant binges and resolves during sustained abstinence.</w:t>
      </w:r>
    </w:p>
    <w:p>
      <w:pPr>
        <w:widowControl/>
        <w:spacing w:before="0" w:after="20"/>
        <w:ind w:left="72"/>
      </w:pPr>
      <w:r>
        <w:rPr>
          <w:rFonts w:ascii="Arial" w:hAnsi="Arial" w:eastAsia="Arial"/>
          <w:color w:val="1F2937"/>
          <w:sz w:val="17"/>
        </w:rPr>
        <w:t>B. The client is embarrassed by the paranoid thoughts.</w:t>
      </w:r>
    </w:p>
    <w:p>
      <w:pPr>
        <w:widowControl/>
        <w:spacing w:before="0" w:after="20"/>
        <w:ind w:left="72"/>
      </w:pPr>
      <w:r>
        <w:rPr>
          <w:rFonts w:ascii="Arial" w:hAnsi="Arial" w:eastAsia="Arial"/>
          <w:color w:val="1F2937"/>
          <w:sz w:val="17"/>
        </w:rPr>
        <w:t>C. A relative has depression.</w:t>
      </w:r>
    </w:p>
    <w:p>
      <w:pPr>
        <w:widowControl/>
        <w:spacing w:before="0" w:after="20"/>
        <w:ind w:left="72"/>
      </w:pPr>
      <w:r>
        <w:rPr>
          <w:rFonts w:ascii="Arial" w:hAnsi="Arial" w:eastAsia="Arial"/>
          <w:color w:val="1F2937"/>
          <w:sz w:val="17"/>
        </w:rPr>
        <w:t>D. The client also reports insomnia.</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LPCC-WB06-Q004 | Scenario-Based | Moderate | Primary concept: Personality pattern</w:t>
      </w:r>
    </w:p>
    <w:p>
      <w:pPr>
        <w:keepNext/>
        <w:widowControl/>
        <w:spacing w:before="0" w:after="40"/>
      </w:pPr>
      <w:r>
        <w:rPr>
          <w:rFonts w:ascii="Arial" w:hAnsi="Arial" w:eastAsia="Arial"/>
          <w:b/>
          <w:color w:val="1F2937"/>
          <w:sz w:val="18"/>
        </w:rPr>
        <w:t>Which evidence best supports consideration of a personality disorder?</w:t>
      </w:r>
    </w:p>
    <w:p>
      <w:pPr>
        <w:widowControl/>
        <w:spacing w:before="0" w:after="20"/>
        <w:ind w:left="72"/>
      </w:pPr>
      <w:r>
        <w:rPr>
          <w:rFonts w:ascii="Arial" w:hAnsi="Arial" w:eastAsia="Arial"/>
          <w:color w:val="1F2937"/>
          <w:sz w:val="17"/>
        </w:rPr>
        <w:t>A. Intense anger during one recent breakup.</w:t>
      </w:r>
    </w:p>
    <w:p>
      <w:pPr>
        <w:widowControl/>
        <w:spacing w:before="0" w:after="20"/>
        <w:ind w:left="72"/>
      </w:pPr>
      <w:r>
        <w:rPr>
          <w:rFonts w:ascii="Arial" w:hAnsi="Arial" w:eastAsia="Arial"/>
          <w:color w:val="1F2937"/>
          <w:sz w:val="17"/>
        </w:rPr>
        <w:t>B. Self-harm that began during a major depressive episode.</w:t>
      </w:r>
    </w:p>
    <w:p>
      <w:pPr>
        <w:widowControl/>
        <w:spacing w:before="0" w:after="20"/>
        <w:ind w:left="72"/>
      </w:pPr>
      <w:r>
        <w:rPr>
          <w:rFonts w:ascii="Arial" w:hAnsi="Arial" w:eastAsia="Arial"/>
          <w:color w:val="1F2937"/>
          <w:sz w:val="17"/>
        </w:rPr>
        <w:t>C. Interpersonal conflict only while intoxicated.</w:t>
      </w:r>
    </w:p>
    <w:p>
      <w:pPr>
        <w:widowControl/>
        <w:spacing w:before="0" w:after="20"/>
        <w:ind w:left="72"/>
      </w:pPr>
      <w:r>
        <w:rPr>
          <w:rFonts w:ascii="Arial" w:hAnsi="Arial" w:eastAsia="Arial"/>
          <w:color w:val="1F2937"/>
          <w:sz w:val="17"/>
        </w:rPr>
        <w:t>D. A longstanding, inflexible pattern across settings since early adulthood that causes repeated impairment and is not better explained by other conditions.</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LPCC-WB06-Q005 | Scenario-Based | Moderate | Primary concept: Trait versus state</w:t>
      </w:r>
    </w:p>
    <w:p>
      <w:pPr>
        <w:keepNext/>
        <w:widowControl/>
        <w:spacing w:before="0" w:after="40"/>
      </w:pPr>
      <w:r>
        <w:rPr>
          <w:rFonts w:ascii="Arial" w:hAnsi="Arial" w:eastAsia="Arial"/>
          <w:b/>
          <w:color w:val="1F2937"/>
          <w:sz w:val="18"/>
        </w:rPr>
        <w:t>A client shows unstable relationships and impulsive behavior only during six months of heavy drinking and current partner violence. What is the best diagnostic action?</w:t>
      </w:r>
    </w:p>
    <w:p>
      <w:pPr>
        <w:widowControl/>
        <w:spacing w:before="0" w:after="20"/>
        <w:ind w:left="72"/>
      </w:pPr>
      <w:r>
        <w:rPr>
          <w:rFonts w:ascii="Arial" w:hAnsi="Arial" w:eastAsia="Arial"/>
          <w:color w:val="1F2937"/>
          <w:sz w:val="17"/>
        </w:rPr>
        <w:t>A. Diagnose a personality disorder because the behaviors are severe.</w:t>
      </w:r>
    </w:p>
    <w:p>
      <w:pPr>
        <w:widowControl/>
        <w:spacing w:before="0" w:after="20"/>
        <w:ind w:left="72"/>
      </w:pPr>
      <w:r>
        <w:rPr>
          <w:rFonts w:ascii="Arial" w:hAnsi="Arial" w:eastAsia="Arial"/>
          <w:color w:val="1F2937"/>
          <w:sz w:val="17"/>
        </w:rPr>
        <w:t>B. Assess the longitudinal baseline, trauma context, and symptom course with sobriety before assigning a personality diagnosis.</w:t>
      </w:r>
    </w:p>
    <w:p>
      <w:pPr>
        <w:widowControl/>
        <w:spacing w:before="0" w:after="20"/>
        <w:ind w:left="72"/>
      </w:pPr>
      <w:r>
        <w:rPr>
          <w:rFonts w:ascii="Arial" w:hAnsi="Arial" w:eastAsia="Arial"/>
          <w:color w:val="1F2937"/>
          <w:sz w:val="17"/>
        </w:rPr>
        <w:t>C. Conclude that alcohol explains all symptoms.</w:t>
      </w:r>
    </w:p>
    <w:p>
      <w:pPr>
        <w:widowControl/>
        <w:spacing w:before="0" w:after="20"/>
        <w:ind w:left="72"/>
      </w:pPr>
      <w:r>
        <w:rPr>
          <w:rFonts w:ascii="Arial" w:hAnsi="Arial" w:eastAsia="Arial"/>
          <w:color w:val="1F2937"/>
          <w:sz w:val="17"/>
        </w:rPr>
        <w:t>D. Avoid documenting the behavior because it may stigmatize the client.</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LPCC-WB06-Q006 | Scenario-Based | Moderate | Primary concept: Adult ADHD assessment</w:t>
      </w:r>
    </w:p>
    <w:p>
      <w:pPr>
        <w:keepNext/>
        <w:widowControl/>
        <w:spacing w:before="0" w:after="40"/>
      </w:pPr>
      <w:r>
        <w:rPr>
          <w:rFonts w:ascii="Arial" w:hAnsi="Arial" w:eastAsia="Arial"/>
          <w:b/>
          <w:color w:val="1F2937"/>
          <w:sz w:val="18"/>
        </w:rPr>
        <w:t>Which combination provides the strongest support for adult ADHD evaluation?</w:t>
      </w:r>
    </w:p>
    <w:p>
      <w:pPr>
        <w:widowControl/>
        <w:spacing w:before="0" w:after="20"/>
        <w:ind w:left="72"/>
      </w:pPr>
      <w:r>
        <w:rPr>
          <w:rFonts w:ascii="Arial" w:hAnsi="Arial" w:eastAsia="Arial"/>
          <w:color w:val="1F2937"/>
          <w:sz w:val="17"/>
        </w:rPr>
        <w:t>A. Current distractibility and a high self-report score.</w:t>
      </w:r>
    </w:p>
    <w:p>
      <w:pPr>
        <w:widowControl/>
        <w:spacing w:before="0" w:after="20"/>
        <w:ind w:left="72"/>
      </w:pPr>
      <w:r>
        <w:rPr>
          <w:rFonts w:ascii="Arial" w:hAnsi="Arial" w:eastAsia="Arial"/>
          <w:color w:val="1F2937"/>
          <w:sz w:val="17"/>
        </w:rPr>
        <w:t>B. Difficulty focusing only during a depressive episode.</w:t>
      </w:r>
    </w:p>
    <w:p>
      <w:pPr>
        <w:widowControl/>
        <w:spacing w:before="0" w:after="20"/>
        <w:ind w:left="72"/>
      </w:pPr>
      <w:r>
        <w:rPr>
          <w:rFonts w:ascii="Arial" w:hAnsi="Arial" w:eastAsia="Arial"/>
          <w:color w:val="1F2937"/>
          <w:sz w:val="17"/>
        </w:rPr>
        <w:t>C. Childhood-onset symptoms, impairment in multiple settings, corroborating history, and rule-out of sleep, substance, mood, and medical causes.</w:t>
      </w:r>
    </w:p>
    <w:p>
      <w:pPr>
        <w:widowControl/>
        <w:spacing w:before="0" w:after="20"/>
        <w:ind w:left="72"/>
      </w:pPr>
      <w:r>
        <w:rPr>
          <w:rFonts w:ascii="Arial" w:hAnsi="Arial" w:eastAsia="Arial"/>
          <w:color w:val="1F2937"/>
          <w:sz w:val="17"/>
        </w:rPr>
        <w:t>D. Improved concentration after caffeine.</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LPCC-WB06-Q007 | Integrated Clinical Reasoning | Difficult | Primary concept: Adult autism differential</w:t>
      </w:r>
    </w:p>
    <w:p>
      <w:pPr>
        <w:keepNext/>
        <w:widowControl/>
        <w:spacing w:before="0" w:after="40"/>
      </w:pPr>
      <w:r>
        <w:rPr>
          <w:rFonts w:ascii="Arial" w:hAnsi="Arial" w:eastAsia="Arial"/>
          <w:b/>
          <w:color w:val="1F2937"/>
          <w:sz w:val="18"/>
        </w:rPr>
        <w:t>An adult reports lifelong sensory sensitivity, restricted interests, social-communication differences, and exhaustion from masking. What is the best next step?</w:t>
      </w:r>
    </w:p>
    <w:p>
      <w:pPr>
        <w:widowControl/>
        <w:spacing w:before="0" w:after="20"/>
        <w:ind w:left="72"/>
      </w:pPr>
      <w:r>
        <w:rPr>
          <w:rFonts w:ascii="Arial" w:hAnsi="Arial" w:eastAsia="Arial"/>
          <w:color w:val="1F2937"/>
          <w:sz w:val="17"/>
        </w:rPr>
        <w:t>A. Gather developmental and collateral history and consider referral to a clinician experienced in adult autism assessment.</w:t>
      </w:r>
    </w:p>
    <w:p>
      <w:pPr>
        <w:widowControl/>
        <w:spacing w:before="0" w:after="20"/>
        <w:ind w:left="72"/>
      </w:pPr>
      <w:r>
        <w:rPr>
          <w:rFonts w:ascii="Arial" w:hAnsi="Arial" w:eastAsia="Arial"/>
          <w:color w:val="1F2937"/>
          <w:sz w:val="17"/>
        </w:rPr>
        <w:t>B. Diagnose avoidant personality disorder because the client is socially exhausted.</w:t>
      </w:r>
    </w:p>
    <w:p>
      <w:pPr>
        <w:widowControl/>
        <w:spacing w:before="0" w:after="20"/>
        <w:ind w:left="72"/>
      </w:pPr>
      <w:r>
        <w:rPr>
          <w:rFonts w:ascii="Arial" w:hAnsi="Arial" w:eastAsia="Arial"/>
          <w:color w:val="1F2937"/>
          <w:sz w:val="17"/>
        </w:rPr>
        <w:t>C. Rule out autism because the client maintained employment.</w:t>
      </w:r>
    </w:p>
    <w:p>
      <w:pPr>
        <w:widowControl/>
        <w:spacing w:before="0" w:after="20"/>
        <w:ind w:left="72"/>
      </w:pPr>
      <w:r>
        <w:rPr>
          <w:rFonts w:ascii="Arial" w:hAnsi="Arial" w:eastAsia="Arial"/>
          <w:color w:val="1F2937"/>
          <w:sz w:val="17"/>
        </w:rPr>
        <w:t>D. Use an individually administered intelligence test to confirm autism.</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LPCC-WB06-Q008 | Integrated Clinical Reasoning | Difficult | Primary concept: Eating-disorder medical urgency</w:t>
      </w:r>
    </w:p>
    <w:p>
      <w:pPr>
        <w:keepNext/>
        <w:widowControl/>
        <w:spacing w:before="0" w:after="40"/>
      </w:pPr>
      <w:r>
        <w:rPr>
          <w:rFonts w:ascii="Arial" w:hAnsi="Arial" w:eastAsia="Arial"/>
          <w:b/>
          <w:color w:val="1F2937"/>
          <w:sz w:val="18"/>
        </w:rPr>
        <w:t>A client reports recurrent vomiting, fainting, palpitations, and severe restriction. What is the counselor’s priority?</w:t>
      </w:r>
    </w:p>
    <w:p>
      <w:pPr>
        <w:widowControl/>
        <w:spacing w:before="0" w:after="20"/>
        <w:ind w:left="72"/>
      </w:pPr>
      <w:r>
        <w:rPr>
          <w:rFonts w:ascii="Arial" w:hAnsi="Arial" w:eastAsia="Arial"/>
          <w:color w:val="1F2937"/>
          <w:sz w:val="17"/>
        </w:rPr>
        <w:t>A. Explore childhood origins of body image.</w:t>
      </w:r>
    </w:p>
    <w:p>
      <w:pPr>
        <w:widowControl/>
        <w:spacing w:before="0" w:after="20"/>
        <w:ind w:left="72"/>
      </w:pPr>
      <w:r>
        <w:rPr>
          <w:rFonts w:ascii="Arial" w:hAnsi="Arial" w:eastAsia="Arial"/>
          <w:color w:val="1F2937"/>
          <w:sz w:val="17"/>
        </w:rPr>
        <w:t>B. Assign a precise eating-disorder subtype before referral.</w:t>
      </w:r>
    </w:p>
    <w:p>
      <w:pPr>
        <w:widowControl/>
        <w:spacing w:before="0" w:after="20"/>
        <w:ind w:left="72"/>
      </w:pPr>
      <w:r>
        <w:rPr>
          <w:rFonts w:ascii="Arial" w:hAnsi="Arial" w:eastAsia="Arial"/>
          <w:color w:val="1F2937"/>
          <w:sz w:val="17"/>
        </w:rPr>
        <w:t>C. Begin a weekly food diary and reassess in one month.</w:t>
      </w:r>
    </w:p>
    <w:p>
      <w:pPr>
        <w:widowControl/>
        <w:spacing w:before="0" w:after="20"/>
        <w:ind w:left="72"/>
      </w:pPr>
      <w:r>
        <w:rPr>
          <w:rFonts w:ascii="Arial" w:hAnsi="Arial" w:eastAsia="Arial"/>
          <w:color w:val="1F2937"/>
          <w:sz w:val="17"/>
        </w:rPr>
        <w:t>D. Arrange prompt medical evaluation for possible instability while coordinating specialized eating-disorder care.</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LPCC-WB06-Q009 | Integrated Clinical Reasoning | Difficult | Primary concept: Sleep differential</w:t>
      </w:r>
    </w:p>
    <w:p>
      <w:pPr>
        <w:keepNext/>
        <w:widowControl/>
        <w:spacing w:before="0" w:after="40"/>
      </w:pPr>
      <w:r>
        <w:rPr>
          <w:rFonts w:ascii="Arial" w:hAnsi="Arial" w:eastAsia="Arial"/>
          <w:b/>
          <w:color w:val="1F2937"/>
          <w:sz w:val="18"/>
        </w:rPr>
        <w:t>A client reports “insomnia,” loud snoring, witnessed gasping, morning headaches, and severe daytime sleepiness. What is the best response?</w:t>
      </w:r>
    </w:p>
    <w:p>
      <w:pPr>
        <w:widowControl/>
        <w:spacing w:before="0" w:after="20"/>
        <w:ind w:left="72"/>
      </w:pPr>
      <w:r>
        <w:rPr>
          <w:rFonts w:ascii="Arial" w:hAnsi="Arial" w:eastAsia="Arial"/>
          <w:color w:val="1F2937"/>
          <w:sz w:val="17"/>
        </w:rPr>
        <w:t>A. Treat the complaint as generalized anxiety because the client worries about sleep.</w:t>
      </w:r>
    </w:p>
    <w:p>
      <w:pPr>
        <w:widowControl/>
        <w:spacing w:before="0" w:after="20"/>
        <w:ind w:left="72"/>
      </w:pPr>
      <w:r>
        <w:rPr>
          <w:rFonts w:ascii="Arial" w:hAnsi="Arial" w:eastAsia="Arial"/>
          <w:color w:val="1F2937"/>
          <w:sz w:val="17"/>
        </w:rPr>
        <w:t>B. Coordinate medical or sleep evaluation for a possible sleep-related breathing disorder.</w:t>
      </w:r>
    </w:p>
    <w:p>
      <w:pPr>
        <w:widowControl/>
        <w:spacing w:before="0" w:after="20"/>
        <w:ind w:left="72"/>
      </w:pPr>
      <w:r>
        <w:rPr>
          <w:rFonts w:ascii="Arial" w:hAnsi="Arial" w:eastAsia="Arial"/>
          <w:color w:val="1F2937"/>
          <w:sz w:val="17"/>
        </w:rPr>
        <w:t>C. Recommend reducing time in bed without further assessment.</w:t>
      </w:r>
    </w:p>
    <w:p>
      <w:pPr>
        <w:widowControl/>
        <w:spacing w:before="0" w:after="20"/>
        <w:ind w:left="72"/>
      </w:pPr>
      <w:r>
        <w:rPr>
          <w:rFonts w:ascii="Arial" w:hAnsi="Arial" w:eastAsia="Arial"/>
          <w:color w:val="1F2937"/>
          <w:sz w:val="17"/>
        </w:rPr>
        <w:t>D. Diagnose hypersomnolence disorder from the daytime sleepiness.</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LPCC-WB06-Q010 | Examination Challenge | Difficult | Primary concept: Co-occurring formulation</w:t>
      </w:r>
    </w:p>
    <w:p>
      <w:pPr>
        <w:keepNext/>
        <w:widowControl/>
        <w:spacing w:before="0" w:after="40"/>
      </w:pPr>
      <w:r>
        <w:rPr>
          <w:rFonts w:ascii="Arial" w:hAnsi="Arial" w:eastAsia="Arial"/>
          <w:b/>
          <w:color w:val="1F2937"/>
          <w:sz w:val="18"/>
        </w:rPr>
        <w:t>A client has depressive symptoms, opioid use disorder, chronic pain, and medication concerns. Which plan best reflects sound co-occurring care?</w:t>
      </w:r>
    </w:p>
    <w:p>
      <w:pPr>
        <w:widowControl/>
        <w:spacing w:before="0" w:after="20"/>
        <w:ind w:left="72"/>
      </w:pPr>
      <w:r>
        <w:rPr>
          <w:rFonts w:ascii="Arial" w:hAnsi="Arial" w:eastAsia="Arial"/>
          <w:color w:val="1F2937"/>
          <w:sz w:val="17"/>
        </w:rPr>
        <w:t>A. Require complete abstinence before addressing depression.</w:t>
      </w:r>
    </w:p>
    <w:p>
      <w:pPr>
        <w:widowControl/>
        <w:spacing w:before="0" w:after="20"/>
        <w:ind w:left="72"/>
      </w:pPr>
      <w:r>
        <w:rPr>
          <w:rFonts w:ascii="Arial" w:hAnsi="Arial" w:eastAsia="Arial"/>
          <w:color w:val="1F2937"/>
          <w:sz w:val="17"/>
        </w:rPr>
        <w:t>B. Treat depression first because mental health symptoms are the counselor’s role.</w:t>
      </w:r>
    </w:p>
    <w:p>
      <w:pPr>
        <w:widowControl/>
        <w:spacing w:before="0" w:after="20"/>
        <w:ind w:left="72"/>
      </w:pPr>
      <w:r>
        <w:rPr>
          <w:rFonts w:ascii="Arial" w:hAnsi="Arial" w:eastAsia="Arial"/>
          <w:color w:val="1F2937"/>
          <w:sz w:val="17"/>
        </w:rPr>
        <w:t>C. Assess both conditions, prioritize safety and medical needs, coordinate medication/addiction care, and monitor an integrated plan.</w:t>
      </w:r>
    </w:p>
    <w:p>
      <w:pPr>
        <w:widowControl/>
        <w:spacing w:before="0" w:after="20"/>
        <w:ind w:left="72"/>
      </w:pPr>
      <w:r>
        <w:rPr>
          <w:rFonts w:ascii="Arial" w:hAnsi="Arial" w:eastAsia="Arial"/>
          <w:color w:val="1F2937"/>
          <w:sz w:val="17"/>
        </w:rPr>
        <w:t>D. Refer the client away because co-occurring conditions cannot be treated in counseling.</w:t>
      </w:r>
    </w:p>
    <w:p>
      <w:pPr>
        <w:widowControl/>
        <w:spacing w:before="0" w:after="60"/>
      </w:pPr>
      <w:r>
        <w:rPr>
          <w:rFonts w:ascii="Arial" w:hAnsi="Arial" w:eastAsia="Arial"/>
          <w:i/>
          <w:color w:val="4B5563"/>
          <w:sz w:val="17"/>
        </w:rPr>
        <w:t>My answer: ______    Confidence: 1  2  3</w:t>
      </w:r>
    </w:p>
    <w:p>
      <w:pPr>
        <w:pStyle w:val="Heading2"/>
        <w:keepNext/>
        <w:widowControl/>
        <w:spacing w:before="0" w:after="80"/>
      </w:pPr>
      <w:r>
        <w:rPr>
          <w:rFonts w:ascii="Arial" w:hAnsi="Arial" w:eastAsia="Arial"/>
        </w:rPr>
        <w:t>Knowledge Check Answer Record</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93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w:t>
            </w:r>
          </w:p>
        </w:tc>
        <w:tc>
          <w:tcPr>
            <w:tcW w:type="dxa" w:w="244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My Answer</w:t>
            </w:r>
          </w:p>
        </w:tc>
        <w:tc>
          <w:tcPr>
            <w:tcW w:type="dxa" w:w="316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Confidence 1-3</w:t>
            </w:r>
          </w:p>
        </w:tc>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Correct?</w:t>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w:t>
            </w:r>
          </w:p>
        </w:tc>
        <w:tc>
          <w:tcPr>
            <w:tcW w:type="dxa" w:w="24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31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2</w:t>
            </w:r>
          </w:p>
        </w:tc>
        <w:tc>
          <w:tcPr>
            <w:tcW w:type="dxa" w:w="24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316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3</w:t>
            </w:r>
          </w:p>
        </w:tc>
        <w:tc>
          <w:tcPr>
            <w:tcW w:type="dxa" w:w="24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31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4</w:t>
            </w:r>
          </w:p>
        </w:tc>
        <w:tc>
          <w:tcPr>
            <w:tcW w:type="dxa" w:w="24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316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5</w:t>
            </w:r>
          </w:p>
        </w:tc>
        <w:tc>
          <w:tcPr>
            <w:tcW w:type="dxa" w:w="24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31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6</w:t>
            </w:r>
          </w:p>
        </w:tc>
        <w:tc>
          <w:tcPr>
            <w:tcW w:type="dxa" w:w="24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316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7</w:t>
            </w:r>
          </w:p>
        </w:tc>
        <w:tc>
          <w:tcPr>
            <w:tcW w:type="dxa" w:w="24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31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8</w:t>
            </w:r>
          </w:p>
        </w:tc>
        <w:tc>
          <w:tcPr>
            <w:tcW w:type="dxa" w:w="24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316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9</w:t>
            </w:r>
          </w:p>
        </w:tc>
        <w:tc>
          <w:tcPr>
            <w:tcW w:type="dxa" w:w="24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31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10</w:t>
            </w:r>
          </w:p>
        </w:tc>
        <w:tc>
          <w:tcPr>
            <w:tcW w:type="dxa" w:w="24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316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p>
      <w:pPr>
        <w:widowControl/>
      </w:pPr>
      <w:r>
        <w:rPr>
          <w:rFonts w:ascii="Arial" w:hAnsi="Arial" w:eastAsia="Arial"/>
        </w:rPr>
        <w:br w:type="page"/>
      </w:r>
    </w:p>
    <w:p>
      <w:pPr>
        <w:pStyle w:val="Heading1"/>
        <w:keepNext/>
        <w:widowControl/>
        <w:spacing w:before="0" w:after="80"/>
      </w:pPr>
      <w:r>
        <w:rPr>
          <w:rFonts w:ascii="Arial" w:hAnsi="Arial" w:eastAsia="Arial"/>
        </w:rPr>
        <w:t>Knowledge Check Rationales</w:t>
      </w:r>
    </w:p>
    <w:p>
      <w:pPr>
        <w:pStyle w:val="Heading2"/>
        <w:keepNext/>
        <w:widowControl/>
        <w:spacing w:before="0" w:after="80"/>
      </w:pPr>
      <w:r>
        <w:rPr>
          <w:rFonts w:ascii="Arial" w:hAnsi="Arial" w:eastAsia="Arial"/>
        </w:rPr>
        <w:t>Question 1 (LPCC-WB06-Q001)</w:t>
      </w:r>
    </w:p>
    <w:p>
      <w:pPr>
        <w:keepNext/>
        <w:widowControl/>
        <w:spacing w:before="0" w:after="40"/>
      </w:pPr>
      <w:r>
        <w:rPr>
          <w:rFonts w:ascii="Arial" w:hAnsi="Arial" w:eastAsia="Arial"/>
          <w:b/>
          <w:color w:val="17365D"/>
          <w:sz w:val="18"/>
        </w:rPr>
        <w:t>Correct Answer: B</w:t>
      </w:r>
    </w:p>
    <w:p>
      <w:pPr>
        <w:widowControl/>
        <w:spacing w:before="0" w:after="24"/>
      </w:pPr>
      <w:r>
        <w:rPr>
          <w:rFonts w:ascii="Arial" w:hAnsi="Arial" w:eastAsia="Arial"/>
          <w:color w:val="1F2937"/>
          <w:sz w:val="17"/>
        </w:rPr>
        <w:t>A. Incorrect. Screening thresholds do not confirm the full diagnostic pattern or severity.</w:t>
      </w:r>
    </w:p>
    <w:p>
      <w:pPr>
        <w:widowControl/>
        <w:spacing w:before="0" w:after="24"/>
      </w:pPr>
      <w:r>
        <w:rPr>
          <w:rFonts w:ascii="Arial" w:hAnsi="Arial" w:eastAsia="Arial"/>
          <w:color w:val="1F2937"/>
          <w:sz w:val="17"/>
        </w:rPr>
        <w:t>B. Correct. A positive screen directs further assessment of pattern, impairment, consequences, tolerance, withdrawal, and alternatives.</w:t>
      </w:r>
    </w:p>
    <w:p>
      <w:pPr>
        <w:widowControl/>
        <w:spacing w:before="0" w:after="24"/>
      </w:pPr>
      <w:r>
        <w:rPr>
          <w:rFonts w:ascii="Arial" w:hAnsi="Arial" w:eastAsia="Arial"/>
          <w:color w:val="1F2937"/>
          <w:sz w:val="17"/>
        </w:rPr>
        <w:t>C. Incorrect. Abrupt cessation may be unsafe for a physiologically dependent client and is not justified by a screening score alone.</w:t>
      </w:r>
    </w:p>
    <w:p>
      <w:pPr>
        <w:widowControl/>
        <w:spacing w:before="0" w:after="24"/>
      </w:pPr>
      <w:r>
        <w:rPr>
          <w:rFonts w:ascii="Arial" w:hAnsi="Arial" w:eastAsia="Arial"/>
          <w:color w:val="1F2937"/>
          <w:sz w:val="17"/>
        </w:rPr>
        <w:t>D. Incorrect. Toxicology can provide information but is not required for a screen to be clinically useful.</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Separate screening from diagnosis. When an option treats a score as definitive, look for the answer that calls for fuller assessment.</w:t>
            </w:r>
          </w:p>
        </w:tc>
      </w:tr>
    </w:tbl>
    <w:p>
      <w:pPr>
        <w:widowControl/>
        <w:spacing w:after="0"/>
      </w:pPr>
    </w:p>
    <w:p>
      <w:pPr>
        <w:pStyle w:val="Heading2"/>
        <w:keepNext/>
        <w:widowControl/>
        <w:spacing w:before="0" w:after="80"/>
      </w:pPr>
      <w:r>
        <w:rPr>
          <w:rFonts w:ascii="Arial" w:hAnsi="Arial" w:eastAsia="Arial"/>
        </w:rPr>
        <w:t>Question 2 (LPCC-WB06-Q002)</w:t>
      </w:r>
    </w:p>
    <w:p>
      <w:pPr>
        <w:keepNext/>
        <w:widowControl/>
        <w:spacing w:before="0" w:after="40"/>
      </w:pPr>
      <w:r>
        <w:rPr>
          <w:rFonts w:ascii="Arial" w:hAnsi="Arial" w:eastAsia="Arial"/>
          <w:b/>
          <w:color w:val="17365D"/>
          <w:sz w:val="18"/>
        </w:rPr>
        <w:t>Correct Answer: C</w:t>
      </w:r>
    </w:p>
    <w:p>
      <w:pPr>
        <w:widowControl/>
        <w:spacing w:before="0" w:after="24"/>
      </w:pPr>
      <w:r>
        <w:rPr>
          <w:rFonts w:ascii="Arial" w:hAnsi="Arial" w:eastAsia="Arial"/>
          <w:color w:val="1F2937"/>
          <w:sz w:val="17"/>
        </w:rPr>
        <w:t>A. Incorrect. Independent taper advice is outside safe routine counseling when severe withdrawal risk is present.</w:t>
      </w:r>
    </w:p>
    <w:p>
      <w:pPr>
        <w:widowControl/>
        <w:spacing w:before="0" w:after="24"/>
      </w:pPr>
      <w:r>
        <w:rPr>
          <w:rFonts w:ascii="Arial" w:hAnsi="Arial" w:eastAsia="Arial"/>
          <w:color w:val="1F2937"/>
          <w:sz w:val="17"/>
        </w:rPr>
        <w:t>B. Incorrect. Relaxation skills do not address potentially life-threatening withdrawal.</w:t>
      </w:r>
    </w:p>
    <w:p>
      <w:pPr>
        <w:widowControl/>
        <w:spacing w:before="0" w:after="24"/>
      </w:pPr>
      <w:r>
        <w:rPr>
          <w:rFonts w:ascii="Arial" w:hAnsi="Arial" w:eastAsia="Arial"/>
          <w:color w:val="1F2937"/>
          <w:sz w:val="17"/>
        </w:rPr>
        <w:t>C. Correct. Current autonomic symptoms plus a prior withdrawal seizure require urgent medical/addiction evaluation.</w:t>
      </w:r>
    </w:p>
    <w:p>
      <w:pPr>
        <w:widowControl/>
        <w:spacing w:before="0" w:after="24"/>
      </w:pPr>
      <w:r>
        <w:rPr>
          <w:rFonts w:ascii="Arial" w:hAnsi="Arial" w:eastAsia="Arial"/>
          <w:color w:val="1F2937"/>
          <w:sz w:val="17"/>
        </w:rPr>
        <w:t>D. Incorrect. Unsupervised abstinence to “observe” symptoms could provoke dangerous withdrawal.</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Medical and withdrawal danger outrank routine counseling. Prior seizure is a decisive urgency clue.</w:t>
            </w:r>
          </w:p>
        </w:tc>
      </w:tr>
    </w:tbl>
    <w:p>
      <w:pPr>
        <w:widowControl/>
        <w:spacing w:after="0"/>
      </w:pPr>
    </w:p>
    <w:p>
      <w:pPr>
        <w:pStyle w:val="Heading2"/>
        <w:keepNext/>
        <w:widowControl/>
        <w:spacing w:before="0" w:after="80"/>
      </w:pPr>
      <w:r>
        <w:rPr>
          <w:rFonts w:ascii="Arial" w:hAnsi="Arial" w:eastAsia="Arial"/>
        </w:rPr>
        <w:t>Question 3 (LPCC-WB06-Q003)</w:t>
      </w:r>
    </w:p>
    <w:p>
      <w:pPr>
        <w:keepNext/>
        <w:widowControl/>
        <w:spacing w:before="0" w:after="40"/>
      </w:pPr>
      <w:r>
        <w:rPr>
          <w:rFonts w:ascii="Arial" w:hAnsi="Arial" w:eastAsia="Arial"/>
          <w:b/>
          <w:color w:val="17365D"/>
          <w:sz w:val="18"/>
        </w:rPr>
        <w:t>Correct Answer: A</w:t>
      </w:r>
    </w:p>
    <w:p>
      <w:pPr>
        <w:widowControl/>
        <w:spacing w:before="0" w:after="24"/>
      </w:pPr>
      <w:r>
        <w:rPr>
          <w:rFonts w:ascii="Arial" w:hAnsi="Arial" w:eastAsia="Arial"/>
          <w:color w:val="1F2937"/>
          <w:sz w:val="17"/>
        </w:rPr>
        <w:t>A. Correct. Repeated onset during stimulant binges and resolution during sustained abstinence strongly support a substance-induced explanation.</w:t>
      </w:r>
    </w:p>
    <w:p>
      <w:pPr>
        <w:widowControl/>
        <w:spacing w:before="0" w:after="24"/>
      </w:pPr>
      <w:r>
        <w:rPr>
          <w:rFonts w:ascii="Arial" w:hAnsi="Arial" w:eastAsia="Arial"/>
          <w:color w:val="1F2937"/>
          <w:sz w:val="17"/>
        </w:rPr>
        <w:t>B. Incorrect. Embarrassment does not distinguish primary from substance-induced psychosis.</w:t>
      </w:r>
    </w:p>
    <w:p>
      <w:pPr>
        <w:widowControl/>
        <w:spacing w:before="0" w:after="24"/>
      </w:pPr>
      <w:r>
        <w:rPr>
          <w:rFonts w:ascii="Arial" w:hAnsi="Arial" w:eastAsia="Arial"/>
          <w:color w:val="1F2937"/>
          <w:sz w:val="17"/>
        </w:rPr>
        <w:t>C. Incorrect. Family depression history is not the key temporal evidence.</w:t>
      </w:r>
    </w:p>
    <w:p>
      <w:pPr>
        <w:widowControl/>
        <w:spacing w:before="0" w:after="24"/>
      </w:pPr>
      <w:r>
        <w:rPr>
          <w:rFonts w:ascii="Arial" w:hAnsi="Arial" w:eastAsia="Arial"/>
          <w:color w:val="1F2937"/>
          <w:sz w:val="17"/>
        </w:rPr>
        <w:t>D. Incorrect. Insomnia occurs in both substance-related and primary psychiatric conditions.</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Use the timeline. The strongest differential clue is the consistent relationship between exposure and symptom remission.</w:t>
            </w:r>
          </w:p>
        </w:tc>
      </w:tr>
    </w:tbl>
    <w:p>
      <w:pPr>
        <w:widowControl/>
        <w:spacing w:after="0"/>
      </w:pPr>
    </w:p>
    <w:p>
      <w:pPr>
        <w:pStyle w:val="Heading2"/>
        <w:keepNext/>
        <w:widowControl/>
        <w:spacing w:before="0" w:after="80"/>
      </w:pPr>
      <w:r>
        <w:rPr>
          <w:rFonts w:ascii="Arial" w:hAnsi="Arial" w:eastAsia="Arial"/>
        </w:rPr>
        <w:t>Question 4 (LPCC-WB06-Q004)</w:t>
      </w:r>
    </w:p>
    <w:p>
      <w:pPr>
        <w:keepNext/>
        <w:widowControl/>
        <w:spacing w:before="0" w:after="40"/>
      </w:pPr>
      <w:r>
        <w:rPr>
          <w:rFonts w:ascii="Arial" w:hAnsi="Arial" w:eastAsia="Arial"/>
          <w:b/>
          <w:color w:val="17365D"/>
          <w:sz w:val="18"/>
        </w:rPr>
        <w:t>Correct Answer: D</w:t>
      </w:r>
    </w:p>
    <w:p>
      <w:pPr>
        <w:widowControl/>
        <w:spacing w:before="0" w:after="24"/>
      </w:pPr>
      <w:r>
        <w:rPr>
          <w:rFonts w:ascii="Arial" w:hAnsi="Arial" w:eastAsia="Arial"/>
          <w:color w:val="1F2937"/>
          <w:sz w:val="17"/>
        </w:rPr>
        <w:t>A. Incorrect. One breakup does not establish a pervasive, enduring personality pattern.</w:t>
      </w:r>
    </w:p>
    <w:p>
      <w:pPr>
        <w:widowControl/>
        <w:spacing w:before="0" w:after="24"/>
      </w:pPr>
      <w:r>
        <w:rPr>
          <w:rFonts w:ascii="Arial" w:hAnsi="Arial" w:eastAsia="Arial"/>
          <w:color w:val="1F2937"/>
          <w:sz w:val="17"/>
        </w:rPr>
        <w:t>B. Incorrect. Behavior confined to a mood episode may be state-dependent.</w:t>
      </w:r>
    </w:p>
    <w:p>
      <w:pPr>
        <w:widowControl/>
        <w:spacing w:before="0" w:after="24"/>
      </w:pPr>
      <w:r>
        <w:rPr>
          <w:rFonts w:ascii="Arial" w:hAnsi="Arial" w:eastAsia="Arial"/>
          <w:color w:val="1F2937"/>
          <w:sz w:val="17"/>
        </w:rPr>
        <w:t>C. Incorrect. Intoxication-linked conflict may be better explained by substance effects.</w:t>
      </w:r>
    </w:p>
    <w:p>
      <w:pPr>
        <w:widowControl/>
        <w:spacing w:before="0" w:after="24"/>
      </w:pPr>
      <w:r>
        <w:rPr>
          <w:rFonts w:ascii="Arial" w:hAnsi="Arial" w:eastAsia="Arial"/>
          <w:color w:val="1F2937"/>
          <w:sz w:val="17"/>
        </w:rPr>
        <w:t>D. Correct. Longstanding, inflexible, cross-setting impairment with exclusions considered is the appropriate personality-disorder pattern.</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Personality questions require years, settings, impairment, and exclusions—not severity alone.</w:t>
            </w:r>
          </w:p>
        </w:tc>
      </w:tr>
    </w:tbl>
    <w:p>
      <w:pPr>
        <w:widowControl/>
        <w:spacing w:after="0"/>
      </w:pPr>
    </w:p>
    <w:p>
      <w:pPr>
        <w:pStyle w:val="Heading2"/>
        <w:keepNext/>
        <w:widowControl/>
        <w:spacing w:before="0" w:after="80"/>
      </w:pPr>
      <w:r>
        <w:rPr>
          <w:rFonts w:ascii="Arial" w:hAnsi="Arial" w:eastAsia="Arial"/>
        </w:rPr>
        <w:t>Question 5 (LPCC-WB06-Q005)</w:t>
      </w:r>
    </w:p>
    <w:p>
      <w:pPr>
        <w:keepNext/>
        <w:widowControl/>
        <w:spacing w:before="0" w:after="40"/>
      </w:pPr>
      <w:r>
        <w:rPr>
          <w:rFonts w:ascii="Arial" w:hAnsi="Arial" w:eastAsia="Arial"/>
          <w:b/>
          <w:color w:val="17365D"/>
          <w:sz w:val="18"/>
        </w:rPr>
        <w:t>Correct Answer: B</w:t>
      </w:r>
    </w:p>
    <w:p>
      <w:pPr>
        <w:widowControl/>
        <w:spacing w:before="0" w:after="24"/>
      </w:pPr>
      <w:r>
        <w:rPr>
          <w:rFonts w:ascii="Arial" w:hAnsi="Arial" w:eastAsia="Arial"/>
          <w:color w:val="1F2937"/>
          <w:sz w:val="17"/>
        </w:rPr>
        <w:t>A. Incorrect. Severity does not replace longitudinal evidence.</w:t>
      </w:r>
    </w:p>
    <w:p>
      <w:pPr>
        <w:widowControl/>
        <w:spacing w:before="0" w:after="24"/>
      </w:pPr>
      <w:r>
        <w:rPr>
          <w:rFonts w:ascii="Arial" w:hAnsi="Arial" w:eastAsia="Arial"/>
          <w:color w:val="1F2937"/>
          <w:sz w:val="17"/>
        </w:rPr>
        <w:t>B. Correct. The current substance pattern and partner violence can create state-like behavior; baseline and sobriety evidence are needed.</w:t>
      </w:r>
    </w:p>
    <w:p>
      <w:pPr>
        <w:widowControl/>
        <w:spacing w:before="0" w:after="24"/>
      </w:pPr>
      <w:r>
        <w:rPr>
          <w:rFonts w:ascii="Arial" w:hAnsi="Arial" w:eastAsia="Arial"/>
          <w:color w:val="1F2937"/>
          <w:sz w:val="17"/>
        </w:rPr>
        <w:t>C. Incorrect. Alcohol may contribute but should not automatically explain all symptoms.</w:t>
      </w:r>
    </w:p>
    <w:p>
      <w:pPr>
        <w:widowControl/>
        <w:spacing w:before="0" w:after="24"/>
      </w:pPr>
      <w:r>
        <w:rPr>
          <w:rFonts w:ascii="Arial" w:hAnsi="Arial" w:eastAsia="Arial"/>
          <w:color w:val="1F2937"/>
          <w:sz w:val="17"/>
        </w:rPr>
        <w:t>D. Incorrect. Neutral documentation of clinically relevant behavior is appropriate and necessary.</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When behavior is recent and context-bound, assess the baseline before assigning a trait diagnosis.</w:t>
            </w:r>
          </w:p>
        </w:tc>
      </w:tr>
    </w:tbl>
    <w:p>
      <w:pPr>
        <w:widowControl/>
        <w:spacing w:after="0"/>
      </w:pPr>
    </w:p>
    <w:p>
      <w:pPr>
        <w:pStyle w:val="Heading2"/>
        <w:keepNext/>
        <w:widowControl/>
        <w:spacing w:before="0" w:after="80"/>
      </w:pPr>
      <w:r>
        <w:rPr>
          <w:rFonts w:ascii="Arial" w:hAnsi="Arial" w:eastAsia="Arial"/>
        </w:rPr>
        <w:t>Question 6 (LPCC-WB06-Q006)</w:t>
      </w:r>
    </w:p>
    <w:p>
      <w:pPr>
        <w:keepNext/>
        <w:widowControl/>
        <w:spacing w:before="0" w:after="40"/>
      </w:pPr>
      <w:r>
        <w:rPr>
          <w:rFonts w:ascii="Arial" w:hAnsi="Arial" w:eastAsia="Arial"/>
          <w:b/>
          <w:color w:val="17365D"/>
          <w:sz w:val="18"/>
        </w:rPr>
        <w:t>Correct Answer: C</w:t>
      </w:r>
    </w:p>
    <w:p>
      <w:pPr>
        <w:widowControl/>
        <w:spacing w:before="0" w:after="24"/>
      </w:pPr>
      <w:r>
        <w:rPr>
          <w:rFonts w:ascii="Arial" w:hAnsi="Arial" w:eastAsia="Arial"/>
          <w:color w:val="1F2937"/>
          <w:sz w:val="17"/>
        </w:rPr>
        <w:t>A. Incorrect. Current symptoms and one rating scale are insufficient.</w:t>
      </w:r>
    </w:p>
    <w:p>
      <w:pPr>
        <w:widowControl/>
        <w:spacing w:before="0" w:after="24"/>
      </w:pPr>
      <w:r>
        <w:rPr>
          <w:rFonts w:ascii="Arial" w:hAnsi="Arial" w:eastAsia="Arial"/>
          <w:color w:val="1F2937"/>
          <w:sz w:val="17"/>
        </w:rPr>
        <w:t>B. Incorrect. Concentration difficulty limited to depression may be secondary to the mood episode.</w:t>
      </w:r>
    </w:p>
    <w:p>
      <w:pPr>
        <w:widowControl/>
        <w:spacing w:before="0" w:after="24"/>
      </w:pPr>
      <w:r>
        <w:rPr>
          <w:rFonts w:ascii="Arial" w:hAnsi="Arial" w:eastAsia="Arial"/>
          <w:color w:val="1F2937"/>
          <w:sz w:val="17"/>
        </w:rPr>
        <w:t>C. Correct. Developmental onset, multiple settings, corroboration, impairment, and rule-outs provide the strongest ADHD evidence.</w:t>
      </w:r>
    </w:p>
    <w:p>
      <w:pPr>
        <w:widowControl/>
        <w:spacing w:before="0" w:after="24"/>
      </w:pPr>
      <w:r>
        <w:rPr>
          <w:rFonts w:ascii="Arial" w:hAnsi="Arial" w:eastAsia="Arial"/>
          <w:color w:val="1F2937"/>
          <w:sz w:val="17"/>
        </w:rPr>
        <w:t>D. Incorrect. Caffeine response is nonspecific and not diagnostic.</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For neurodevelopmental conditions, prioritize childhood onset and cross-setting evidence.</w:t>
            </w:r>
          </w:p>
        </w:tc>
      </w:tr>
    </w:tbl>
    <w:p>
      <w:pPr>
        <w:widowControl/>
        <w:spacing w:after="0"/>
      </w:pPr>
    </w:p>
    <w:p>
      <w:pPr>
        <w:pStyle w:val="Heading2"/>
        <w:keepNext/>
        <w:widowControl/>
        <w:spacing w:before="0" w:after="80"/>
      </w:pPr>
      <w:r>
        <w:rPr>
          <w:rFonts w:ascii="Arial" w:hAnsi="Arial" w:eastAsia="Arial"/>
        </w:rPr>
        <w:t>Question 7 (LPCC-WB06-Q007)</w:t>
      </w:r>
    </w:p>
    <w:p>
      <w:pPr>
        <w:keepNext/>
        <w:widowControl/>
        <w:spacing w:before="0" w:after="40"/>
      </w:pPr>
      <w:r>
        <w:rPr>
          <w:rFonts w:ascii="Arial" w:hAnsi="Arial" w:eastAsia="Arial"/>
          <w:b/>
          <w:color w:val="17365D"/>
          <w:sz w:val="18"/>
        </w:rPr>
        <w:t>Correct Answer: A</w:t>
      </w:r>
    </w:p>
    <w:p>
      <w:pPr>
        <w:widowControl/>
        <w:spacing w:before="0" w:after="24"/>
      </w:pPr>
      <w:r>
        <w:rPr>
          <w:rFonts w:ascii="Arial" w:hAnsi="Arial" w:eastAsia="Arial"/>
          <w:color w:val="1F2937"/>
          <w:sz w:val="17"/>
        </w:rPr>
        <w:t>A. Correct. Developmental history, collateral evidence, masking, function, and an experienced evaluator support accurate adult autism assessment.</w:t>
      </w:r>
    </w:p>
    <w:p>
      <w:pPr>
        <w:widowControl/>
        <w:spacing w:before="0" w:after="24"/>
      </w:pPr>
      <w:r>
        <w:rPr>
          <w:rFonts w:ascii="Arial" w:hAnsi="Arial" w:eastAsia="Arial"/>
          <w:color w:val="1F2937"/>
          <w:sz w:val="17"/>
        </w:rPr>
        <w:t>B. Incorrect. Social exhaustion and masking do not establish avoidant personality disorder.</w:t>
      </w:r>
    </w:p>
    <w:p>
      <w:pPr>
        <w:widowControl/>
        <w:spacing w:before="0" w:after="24"/>
      </w:pPr>
      <w:r>
        <w:rPr>
          <w:rFonts w:ascii="Arial" w:hAnsi="Arial" w:eastAsia="Arial"/>
          <w:color w:val="1F2937"/>
          <w:sz w:val="17"/>
        </w:rPr>
        <w:t>C. Incorrect. Employment does not rule out autism.</w:t>
      </w:r>
    </w:p>
    <w:p>
      <w:pPr>
        <w:widowControl/>
        <w:spacing w:before="0" w:after="24"/>
      </w:pPr>
      <w:r>
        <w:rPr>
          <w:rFonts w:ascii="Arial" w:hAnsi="Arial" w:eastAsia="Arial"/>
          <w:color w:val="1F2937"/>
          <w:sz w:val="17"/>
        </w:rPr>
        <w:t>D. Incorrect. California LPCC scope excludes individually administered intelligence testing, and IQ testing does not confirm autism by itself.</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Do not use functioning stereotypes to rule out developmental conditions. Choose scope-aware developmental assessment and referral.</w:t>
            </w:r>
          </w:p>
        </w:tc>
      </w:tr>
    </w:tbl>
    <w:p>
      <w:pPr>
        <w:widowControl/>
        <w:spacing w:after="0"/>
      </w:pPr>
    </w:p>
    <w:p>
      <w:pPr>
        <w:pStyle w:val="Heading2"/>
        <w:keepNext/>
        <w:widowControl/>
        <w:spacing w:before="0" w:after="80"/>
      </w:pPr>
      <w:r>
        <w:rPr>
          <w:rFonts w:ascii="Arial" w:hAnsi="Arial" w:eastAsia="Arial"/>
        </w:rPr>
        <w:t>Question 8 (LPCC-WB06-Q008)</w:t>
      </w:r>
    </w:p>
    <w:p>
      <w:pPr>
        <w:keepNext/>
        <w:widowControl/>
        <w:spacing w:before="0" w:after="40"/>
      </w:pPr>
      <w:r>
        <w:rPr>
          <w:rFonts w:ascii="Arial" w:hAnsi="Arial" w:eastAsia="Arial"/>
          <w:b/>
          <w:color w:val="17365D"/>
          <w:sz w:val="18"/>
        </w:rPr>
        <w:t>Correct Answer: D</w:t>
      </w:r>
    </w:p>
    <w:p>
      <w:pPr>
        <w:widowControl/>
        <w:spacing w:before="0" w:after="24"/>
      </w:pPr>
      <w:r>
        <w:rPr>
          <w:rFonts w:ascii="Arial" w:hAnsi="Arial" w:eastAsia="Arial"/>
          <w:color w:val="1F2937"/>
          <w:sz w:val="17"/>
        </w:rPr>
        <w:t>A. Incorrect. Origins can be explored after immediate medical risk is addressed.</w:t>
      </w:r>
    </w:p>
    <w:p>
      <w:pPr>
        <w:widowControl/>
        <w:spacing w:before="0" w:after="24"/>
      </w:pPr>
      <w:r>
        <w:rPr>
          <w:rFonts w:ascii="Arial" w:hAnsi="Arial" w:eastAsia="Arial"/>
          <w:color w:val="1F2937"/>
          <w:sz w:val="17"/>
        </w:rPr>
        <w:t>B. Incorrect. Precise subtype assignment is not the first priority in a potentially unstable presentation.</w:t>
      </w:r>
    </w:p>
    <w:p>
      <w:pPr>
        <w:widowControl/>
        <w:spacing w:before="0" w:after="24"/>
      </w:pPr>
      <w:r>
        <w:rPr>
          <w:rFonts w:ascii="Arial" w:hAnsi="Arial" w:eastAsia="Arial"/>
          <w:color w:val="1F2937"/>
          <w:sz w:val="17"/>
        </w:rPr>
        <w:t>C. Incorrect. Waiting may be unsafe.</w:t>
      </w:r>
    </w:p>
    <w:p>
      <w:pPr>
        <w:widowControl/>
        <w:spacing w:before="0" w:after="24"/>
      </w:pPr>
      <w:r>
        <w:rPr>
          <w:rFonts w:ascii="Arial" w:hAnsi="Arial" w:eastAsia="Arial"/>
          <w:color w:val="1F2937"/>
          <w:sz w:val="17"/>
        </w:rPr>
        <w:t>D. Correct. Vomiting, fainting, palpitations, and severe restriction can signal urgent medical complications and require coordinated specialty care.</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Medical instability outranks diagnostic precision. Look for fainting, cardiac symptoms, dehydration, and severe restriction.</w:t>
            </w:r>
          </w:p>
        </w:tc>
      </w:tr>
    </w:tbl>
    <w:p>
      <w:pPr>
        <w:widowControl/>
        <w:spacing w:after="0"/>
      </w:pPr>
    </w:p>
    <w:p>
      <w:pPr>
        <w:pStyle w:val="Heading2"/>
        <w:keepNext/>
        <w:widowControl/>
        <w:spacing w:before="0" w:after="80"/>
      </w:pPr>
      <w:r>
        <w:rPr>
          <w:rFonts w:ascii="Arial" w:hAnsi="Arial" w:eastAsia="Arial"/>
        </w:rPr>
        <w:t>Question 9 (LPCC-WB06-Q009)</w:t>
      </w:r>
    </w:p>
    <w:p>
      <w:pPr>
        <w:keepNext/>
        <w:widowControl/>
        <w:spacing w:before="0" w:after="40"/>
      </w:pPr>
      <w:r>
        <w:rPr>
          <w:rFonts w:ascii="Arial" w:hAnsi="Arial" w:eastAsia="Arial"/>
          <w:b/>
          <w:color w:val="17365D"/>
          <w:sz w:val="18"/>
        </w:rPr>
        <w:t>Correct Answer: B</w:t>
      </w:r>
    </w:p>
    <w:p>
      <w:pPr>
        <w:widowControl/>
        <w:spacing w:before="0" w:after="24"/>
      </w:pPr>
      <w:r>
        <w:rPr>
          <w:rFonts w:ascii="Arial" w:hAnsi="Arial" w:eastAsia="Arial"/>
          <w:color w:val="1F2937"/>
          <w:sz w:val="17"/>
        </w:rPr>
        <w:t>A. Incorrect. Anxiety may coexist, but snoring, gasping, headaches, and severe sleepiness point to a medical sleep differential.</w:t>
      </w:r>
    </w:p>
    <w:p>
      <w:pPr>
        <w:widowControl/>
        <w:spacing w:before="0" w:after="24"/>
      </w:pPr>
      <w:r>
        <w:rPr>
          <w:rFonts w:ascii="Arial" w:hAnsi="Arial" w:eastAsia="Arial"/>
          <w:color w:val="1F2937"/>
          <w:sz w:val="17"/>
        </w:rPr>
        <w:t>B. Correct. The pattern warrants medical or sleep evaluation for a possible breathing-related disorder.</w:t>
      </w:r>
    </w:p>
    <w:p>
      <w:pPr>
        <w:widowControl/>
        <w:spacing w:before="0" w:after="24"/>
      </w:pPr>
      <w:r>
        <w:rPr>
          <w:rFonts w:ascii="Arial" w:hAnsi="Arial" w:eastAsia="Arial"/>
          <w:color w:val="1F2937"/>
          <w:sz w:val="17"/>
        </w:rPr>
        <w:t>C. Incorrect. Behavioral sleep recommendations should not precede assessment of a potentially serious breathing disorder.</w:t>
      </w:r>
    </w:p>
    <w:p>
      <w:pPr>
        <w:widowControl/>
        <w:spacing w:before="0" w:after="24"/>
      </w:pPr>
      <w:r>
        <w:rPr>
          <w:rFonts w:ascii="Arial" w:hAnsi="Arial" w:eastAsia="Arial"/>
          <w:color w:val="1F2937"/>
          <w:sz w:val="17"/>
        </w:rPr>
        <w:t>D. Incorrect. Daytime sleepiness alone does not establish a hypersomnolence diagnosis.</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Sleep questions often test whether the counselor recognizes breathing, movement, or neurological referral signals.</w:t>
            </w:r>
          </w:p>
        </w:tc>
      </w:tr>
    </w:tbl>
    <w:p>
      <w:pPr>
        <w:widowControl/>
        <w:spacing w:after="0"/>
      </w:pPr>
    </w:p>
    <w:p>
      <w:pPr>
        <w:pStyle w:val="Heading2"/>
        <w:keepNext/>
        <w:widowControl/>
        <w:spacing w:before="0" w:after="80"/>
      </w:pPr>
      <w:r>
        <w:rPr>
          <w:rFonts w:ascii="Arial" w:hAnsi="Arial" w:eastAsia="Arial"/>
        </w:rPr>
        <w:t>Question 10 (LPCC-WB06-Q010)</w:t>
      </w:r>
    </w:p>
    <w:p>
      <w:pPr>
        <w:keepNext/>
        <w:widowControl/>
        <w:spacing w:before="0" w:after="40"/>
      </w:pPr>
      <w:r>
        <w:rPr>
          <w:rFonts w:ascii="Arial" w:hAnsi="Arial" w:eastAsia="Arial"/>
          <w:b/>
          <w:color w:val="17365D"/>
          <w:sz w:val="18"/>
        </w:rPr>
        <w:t>Correct Answer: C</w:t>
      </w:r>
    </w:p>
    <w:p>
      <w:pPr>
        <w:widowControl/>
        <w:spacing w:before="0" w:after="24"/>
      </w:pPr>
      <w:r>
        <w:rPr>
          <w:rFonts w:ascii="Arial" w:hAnsi="Arial" w:eastAsia="Arial"/>
          <w:color w:val="1F2937"/>
          <w:sz w:val="17"/>
        </w:rPr>
        <w:t>A. Incorrect. Delaying all depression care until abstinence can miss risk and reduce engagement.</w:t>
      </w:r>
    </w:p>
    <w:p>
      <w:pPr>
        <w:widowControl/>
        <w:spacing w:before="0" w:after="24"/>
      </w:pPr>
      <w:r>
        <w:rPr>
          <w:rFonts w:ascii="Arial" w:hAnsi="Arial" w:eastAsia="Arial"/>
          <w:color w:val="1F2937"/>
          <w:sz w:val="17"/>
        </w:rPr>
        <w:t>B. Incorrect. Treating only one condition ignores co-occurrence and medication/medical needs.</w:t>
      </w:r>
    </w:p>
    <w:p>
      <w:pPr>
        <w:widowControl/>
        <w:spacing w:before="0" w:after="24"/>
      </w:pPr>
      <w:r>
        <w:rPr>
          <w:rFonts w:ascii="Arial" w:hAnsi="Arial" w:eastAsia="Arial"/>
          <w:color w:val="1F2937"/>
          <w:sz w:val="17"/>
        </w:rPr>
        <w:t>C. Correct. Integrated assessment, safety prioritization, coordination, and monitoring address the whole presentation.</w:t>
      </w:r>
    </w:p>
    <w:p>
      <w:pPr>
        <w:widowControl/>
        <w:spacing w:before="0" w:after="24"/>
      </w:pPr>
      <w:r>
        <w:rPr>
          <w:rFonts w:ascii="Arial" w:hAnsi="Arial" w:eastAsia="Arial"/>
          <w:color w:val="1F2937"/>
          <w:sz w:val="17"/>
        </w:rPr>
        <w:t>D. Incorrect. Referral may be part of care, but co-occurrence does not automatically require abandoning the client.</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Choose “both/and” integrated care when the case supports multiple conditions, while keeping safety and role clarity first.</w:t>
            </w:r>
          </w:p>
        </w:tc>
      </w:tr>
    </w:tbl>
    <w:p>
      <w:pPr>
        <w:widowControl/>
        <w:spacing w:after="0"/>
      </w:pPr>
    </w:p>
    <w:p>
      <w:pPr>
        <w:widowControl/>
      </w:pPr>
      <w:r>
        <w:rPr>
          <w:rFonts w:ascii="Arial" w:hAnsi="Arial" w:eastAsia="Arial"/>
        </w:rPr>
        <w:br w:type="page"/>
      </w:r>
    </w:p>
    <w:p>
      <w:pPr>
        <w:pStyle w:val="Heading1"/>
        <w:keepNext/>
        <w:widowControl/>
        <w:spacing w:before="0" w:after="80"/>
      </w:pPr>
      <w:r>
        <w:rPr>
          <w:rFonts w:ascii="Arial" w:hAnsi="Arial" w:eastAsia="Arial"/>
        </w:rPr>
        <w:t>Study Planning and Remediation</w:t>
      </w:r>
    </w:p>
    <w:p>
      <w:pPr>
        <w:pStyle w:val="Heading2"/>
        <w:keepNext/>
        <w:widowControl/>
        <w:spacing w:before="0" w:after="80"/>
      </w:pPr>
      <w:r>
        <w:rPr>
          <w:rFonts w:ascii="Arial" w:hAnsi="Arial" w:eastAsia="Arial"/>
        </w:rPr>
        <w:t>My Workbook 6 Results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432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Measure</w:t>
            </w:r>
          </w:p>
        </w:tc>
        <w:tc>
          <w:tcPr>
            <w:tcW w:type="dxa" w:w="52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Result</w:t>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Knowledge Check Score</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____ / 10</w:t>
            </w:r>
          </w:p>
        </w:tc>
      </w:tr>
      <w:tr>
        <w:trPr/>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High-Confidence Errors</w:t>
            </w:r>
          </w:p>
        </w:tc>
        <w:tc>
          <w:tcPr>
            <w:tcW w:type="dxa" w:w="52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____</w:t>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Questions Requiring Review</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____</w:t>
            </w:r>
          </w:p>
        </w:tc>
      </w:tr>
      <w:tr>
        <w:trPr/>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Primary Error Pattern</w:t>
            </w:r>
          </w:p>
        </w:tc>
        <w:tc>
          <w:tcPr>
            <w:tcW w:type="dxa" w:w="52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Timeline / Urgency / Scope / Trait-State / Medical / Co-occurrence</w:t>
            </w:r>
          </w:p>
        </w:tc>
      </w:tr>
    </w:tbl>
    <w:p>
      <w:pPr>
        <w:widowControl/>
        <w:spacing w:after="0"/>
      </w:pPr>
    </w:p>
    <w:p>
      <w:pPr>
        <w:pStyle w:val="Heading2"/>
        <w:keepNext/>
        <w:widowControl/>
        <w:spacing w:before="0" w:after="80"/>
      </w:pPr>
      <w:r>
        <w:rPr>
          <w:rFonts w:ascii="Arial" w:hAnsi="Arial" w:eastAsia="Arial"/>
        </w:rPr>
        <w:t>My Corrected Diagnostic Rules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Error or Missed Clue</w:t>
            </w:r>
          </w:p>
        </w:tc>
        <w:tc>
          <w:tcPr>
            <w:tcW w:type="dxa" w:w="56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Corrected Rule I Will Apply Next Time</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p>
      <w:pPr>
        <w:pStyle w:val="Heading2"/>
        <w:keepNext/>
        <w:widowControl/>
        <w:spacing w:before="0" w:after="80"/>
      </w:pPr>
      <w:r>
        <w:rPr>
          <w:rFonts w:ascii="Arial" w:hAnsi="Arial" w:eastAsia="Arial"/>
        </w:rPr>
        <w:t>Workbook 6 Completion Check</w:t>
      </w:r>
    </w:p>
    <w:p>
      <w:pPr>
        <w:pStyle w:val="ListBullet"/>
        <w:keepLines/>
        <w:widowControl/>
        <w:spacing w:after="30"/>
      </w:pPr>
      <w:r>
        <w:rPr>
          <w:rFonts w:ascii="Arial" w:hAnsi="Arial" w:eastAsia="Arial"/>
          <w:color w:val="1F2937"/>
          <w:sz w:val="17"/>
        </w:rPr>
        <w:t>☐ I can distinguish a screening result from a substance use diagnosis.</w:t>
      </w:r>
    </w:p>
    <w:p>
      <w:pPr>
        <w:pStyle w:val="ListBullet"/>
        <w:keepLines/>
        <w:widowControl/>
        <w:spacing w:after="30"/>
      </w:pPr>
      <w:r>
        <w:rPr>
          <w:rFonts w:ascii="Arial" w:hAnsi="Arial" w:eastAsia="Arial"/>
          <w:color w:val="1F2937"/>
          <w:sz w:val="17"/>
        </w:rPr>
        <w:t>☐ I can use CLEAR to map intoxication, withdrawal, abstinence, and psychiatric symptoms.</w:t>
      </w:r>
    </w:p>
    <w:p>
      <w:pPr>
        <w:pStyle w:val="ListBullet"/>
        <w:keepLines/>
        <w:widowControl/>
        <w:spacing w:after="30"/>
      </w:pPr>
      <w:r>
        <w:rPr>
          <w:rFonts w:ascii="Arial" w:hAnsi="Arial" w:eastAsia="Arial"/>
          <w:color w:val="1F2937"/>
          <w:sz w:val="17"/>
        </w:rPr>
        <w:t>☐ I can recognize withdrawal and overdose clues that require urgent medical care.</w:t>
      </w:r>
    </w:p>
    <w:p>
      <w:pPr>
        <w:pStyle w:val="ListBullet"/>
        <w:keepLines/>
        <w:widowControl/>
        <w:spacing w:after="30"/>
      </w:pPr>
      <w:r>
        <w:rPr>
          <w:rFonts w:ascii="Arial" w:hAnsi="Arial" w:eastAsia="Arial"/>
          <w:color w:val="1F2937"/>
          <w:sz w:val="17"/>
        </w:rPr>
        <w:t>☐ I can use PATTERN to distinguish enduring personality traits from state-dependent behavior.</w:t>
      </w:r>
    </w:p>
    <w:p>
      <w:pPr>
        <w:pStyle w:val="ListBullet"/>
        <w:keepLines/>
        <w:widowControl/>
        <w:spacing w:after="30"/>
      </w:pPr>
      <w:r>
        <w:rPr>
          <w:rFonts w:ascii="Arial" w:hAnsi="Arial" w:eastAsia="Arial"/>
          <w:color w:val="1F2937"/>
          <w:sz w:val="17"/>
        </w:rPr>
        <w:t>☐ I can use DEVELOP to assess ADHD, autism, learning, intellectual, and cognitive concerns.</w:t>
      </w:r>
    </w:p>
    <w:p>
      <w:pPr>
        <w:pStyle w:val="ListBullet"/>
        <w:keepLines/>
        <w:widowControl/>
        <w:spacing w:after="30"/>
      </w:pPr>
      <w:r>
        <w:rPr>
          <w:rFonts w:ascii="Arial" w:hAnsi="Arial" w:eastAsia="Arial"/>
          <w:color w:val="1F2937"/>
          <w:sz w:val="17"/>
        </w:rPr>
        <w:t>☐ I can identify California LPCC assessment exclusions and competence-based referral needs.</w:t>
      </w:r>
    </w:p>
    <w:p>
      <w:pPr>
        <w:pStyle w:val="ListBullet"/>
        <w:keepLines/>
        <w:widowControl/>
        <w:spacing w:after="30"/>
      </w:pPr>
      <w:r>
        <w:rPr>
          <w:rFonts w:ascii="Arial" w:hAnsi="Arial" w:eastAsia="Arial"/>
          <w:color w:val="1F2937"/>
          <w:sz w:val="17"/>
        </w:rPr>
        <w:t>☐ I can recognize eating and sleep presentations that require medical or specialty evaluation.</w:t>
      </w:r>
    </w:p>
    <w:p>
      <w:pPr>
        <w:pStyle w:val="ListBullet"/>
        <w:keepLines/>
        <w:widowControl/>
        <w:spacing w:after="30"/>
      </w:pPr>
      <w:r>
        <w:rPr>
          <w:rFonts w:ascii="Arial" w:hAnsi="Arial" w:eastAsia="Arial"/>
          <w:color w:val="1F2937"/>
          <w:sz w:val="17"/>
        </w:rPr>
        <w:t>☐ I can distinguish dissociation from psychosis, substance effects, and neurological conditions.</w:t>
      </w:r>
    </w:p>
    <w:p>
      <w:pPr>
        <w:pStyle w:val="ListBullet"/>
        <w:keepLines/>
        <w:widowControl/>
        <w:spacing w:after="30"/>
      </w:pPr>
      <w:r>
        <w:rPr>
          <w:rFonts w:ascii="Arial" w:hAnsi="Arial" w:eastAsia="Arial"/>
          <w:color w:val="1F2937"/>
          <w:sz w:val="17"/>
        </w:rPr>
        <w:t>☐ I can use INTEGRATE to formulate co-occurring conditions and coordinate care.</w:t>
      </w:r>
    </w:p>
    <w:p>
      <w:pPr>
        <w:pStyle w:val="ListBullet"/>
        <w:keepLines/>
        <w:widowControl/>
        <w:spacing w:after="30"/>
      </w:pPr>
      <w:r>
        <w:rPr>
          <w:rFonts w:ascii="Arial" w:hAnsi="Arial" w:eastAsia="Arial"/>
          <w:color w:val="1F2937"/>
          <w:sz w:val="17"/>
        </w:rPr>
        <w:t>☐ I completed the Riley case lab and all five clinical resource tools.</w:t>
      </w:r>
    </w:p>
    <w:p>
      <w:pPr>
        <w:pStyle w:val="Heading2"/>
        <w:keepNext/>
        <w:widowControl/>
        <w:spacing w:before="0" w:after="80"/>
      </w:pPr>
      <w:r>
        <w:rPr>
          <w:rFonts w:ascii="Arial" w:hAnsi="Arial" w:eastAsia="Arial"/>
        </w:rPr>
        <w:t>Next Controlled Action</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PROCEED TO THE MATCHING PRACTICE BANK</w:t>
            </w:r>
          </w:p>
          <w:p>
            <w:pPr>
              <w:widowControl/>
              <w:spacing w:after="0"/>
            </w:pPr>
            <w:r>
              <w:rPr>
                <w:rFonts w:ascii="Arial" w:hAnsi="Arial" w:eastAsia="Arial"/>
                <w:color w:val="1F2937"/>
                <w:sz w:val="16"/>
              </w:rPr>
              <w:t>Complete the separate Workbook 6 candidate question form before opening its answer-and-rationale document. After remediation, continue to Workbook 7: Case Conceptualization, Treatment Planning, Measurement, Progress, and Termination.</w:t>
            </w:r>
          </w:p>
        </w:tc>
      </w:tr>
    </w:tbl>
    <w:p>
      <w:pPr>
        <w:widowControl/>
        <w:spacing w:after="0"/>
      </w:pPr>
    </w:p>
    <w:p>
      <w:pPr>
        <w:pStyle w:val="Heading2"/>
        <w:keepNext/>
        <w:widowControl/>
        <w:spacing w:before="0" w:after="80"/>
      </w:pPr>
      <w:r>
        <w:rPr>
          <w:rFonts w:ascii="Arial" w:hAnsi="Arial" w:eastAsia="Arial"/>
        </w:rPr>
        <w:t>Official Sources and Currency Note</w:t>
      </w:r>
    </w:p>
    <w:p>
      <w:pPr>
        <w:widowControl/>
        <w:spacing w:before="0" w:after="60"/>
      </w:pPr>
      <w:r>
        <w:rPr>
          <w:rFonts w:ascii="Arial" w:hAnsi="Arial" w:eastAsia="Arial"/>
          <w:color w:val="4B5563"/>
          <w:sz w:val="16"/>
        </w:rPr>
        <w:t>Verified July 26, 2026. These sources support examination structure, diagnostic currency, federal clinical guidance, and California scope. CTA materials paraphrase and synthesize; they do not reproduce protected diagnostic criteria.</w:t>
      </w:r>
    </w:p>
    <w:p>
      <w:pPr>
        <w:widowControl/>
        <w:spacing w:after="30"/>
      </w:pPr>
      <w:hyperlink r:id="rId25">
        <w:r>
          <w:rPr>
            <w:color w:val="159C9C"/>
            <w:u w:val="single"/>
            <w:rFonts w:ascii="Arial" w:hAnsi="Arial"/>
            <w:sz w:val="15"/>
          </w:rPr>
          <w:t>American Psychiatric Association - About DSM-5-TR</w:t>
        </w:r>
      </w:hyperlink>
      <w:r>
        <w:rPr>
          <w:rFonts w:ascii="Arial" w:hAnsi="Arial" w:eastAsia="Arial"/>
          <w:color w:val="1F2937"/>
          <w:sz w:val="15"/>
        </w:rPr>
        <w:t xml:space="preserve"> - Diagnostic classification, criteria sets, differential diagnosis, comorbidity, and clinical-judgment orientation.</w:t>
      </w:r>
    </w:p>
    <w:p>
      <w:pPr>
        <w:widowControl/>
        <w:spacing w:after="30"/>
      </w:pPr>
      <w:hyperlink r:id="rId26">
        <w:r>
          <w:rPr>
            <w:color w:val="159C9C"/>
            <w:u w:val="single"/>
            <w:rFonts w:ascii="Arial" w:hAnsi="Arial"/>
            <w:sz w:val="15"/>
          </w:rPr>
          <w:t>American Psychiatric Association - DSM-5-TR Criteria and Text Updates</w:t>
        </w:r>
      </w:hyperlink>
      <w:r>
        <w:rPr>
          <w:rFonts w:ascii="Arial" w:hAnsi="Arial" w:eastAsia="Arial"/>
          <w:color w:val="1F2937"/>
          <w:sz w:val="15"/>
        </w:rPr>
        <w:t xml:space="preserve"> - Approved updates, including the September 2025 supplement.</w:t>
      </w:r>
    </w:p>
    <w:p>
      <w:pPr>
        <w:widowControl/>
        <w:spacing w:after="30"/>
      </w:pPr>
      <w:hyperlink r:id="rId27">
        <w:r>
          <w:rPr>
            <w:color w:val="159C9C"/>
            <w:u w:val="single"/>
            <w:rFonts w:ascii="Arial" w:hAnsi="Arial"/>
            <w:sz w:val="15"/>
          </w:rPr>
          <w:t>NBCC - NCMHCE</w:t>
        </w:r>
      </w:hyperlink>
      <w:r>
        <w:rPr>
          <w:rFonts w:ascii="Arial" w:hAnsi="Arial" w:eastAsia="Arial"/>
          <w:color w:val="1F2937"/>
          <w:sz w:val="15"/>
        </w:rPr>
        <w:t xml:space="preserve"> - Current examination information and official links to the content outline and 2027 specifications.</w:t>
      </w:r>
    </w:p>
    <w:p>
      <w:pPr>
        <w:widowControl/>
        <w:spacing w:after="30"/>
      </w:pPr>
      <w:hyperlink r:id="rId28">
        <w:r>
          <w:rPr>
            <w:color w:val="159C9C"/>
            <w:u w:val="single"/>
            <w:rFonts w:ascii="Arial" w:hAnsi="Arial"/>
            <w:sz w:val="15"/>
          </w:rPr>
          <w:t>California Business and Professions Code § 4999.20</w:t>
        </w:r>
      </w:hyperlink>
      <w:r>
        <w:rPr>
          <w:rFonts w:ascii="Arial" w:hAnsi="Arial" w:eastAsia="Arial"/>
          <w:color w:val="1F2937"/>
          <w:sz w:val="15"/>
        </w:rPr>
        <w:t xml:space="preserve"> - LPCC scope, assessment definition, assessment exclusions, and competence-based referral.</w:t>
      </w:r>
    </w:p>
    <w:p>
      <w:pPr>
        <w:widowControl/>
        <w:spacing w:after="30"/>
      </w:pPr>
      <w:hyperlink r:id="rId29">
        <w:r>
          <w:rPr>
            <w:color w:val="159C9C"/>
            <w:u w:val="single"/>
            <w:rFonts w:ascii="Arial" w:hAnsi="Arial"/>
            <w:sz w:val="15"/>
          </w:rPr>
          <w:t>SAMHSA - Screening and Treatment of Co-Occurring Disorders</w:t>
        </w:r>
      </w:hyperlink>
      <w:r>
        <w:rPr>
          <w:rFonts w:ascii="Arial" w:hAnsi="Arial" w:eastAsia="Arial"/>
          <w:color w:val="1F2937"/>
          <w:sz w:val="15"/>
        </w:rPr>
        <w:t xml:space="preserve"> - Integrated care and no-wrong-door approach.</w:t>
      </w:r>
    </w:p>
    <w:p>
      <w:pPr>
        <w:widowControl/>
        <w:spacing w:after="30"/>
      </w:pPr>
      <w:hyperlink r:id="rId30">
        <w:r>
          <w:rPr>
            <w:color w:val="159C9C"/>
            <w:u w:val="single"/>
            <w:rFonts w:ascii="Arial" w:hAnsi="Arial"/>
            <w:sz w:val="15"/>
          </w:rPr>
          <w:t>SAMHSA - Advisory Based on TIP 42</w:t>
        </w:r>
      </w:hyperlink>
      <w:r>
        <w:rPr>
          <w:rFonts w:ascii="Arial" w:hAnsi="Arial" w:eastAsia="Arial"/>
          <w:color w:val="1F2937"/>
          <w:sz w:val="15"/>
        </w:rPr>
        <w:t xml:space="preserve"> - Screening, assessment, diagnosis, and management of co-occurring substance use and mental disorders.</w:t>
      </w:r>
    </w:p>
    <w:p>
      <w:pPr>
        <w:widowControl/>
        <w:spacing w:after="30"/>
      </w:pPr>
      <w:hyperlink r:id="rId31">
        <w:r>
          <w:rPr>
            <w:color w:val="159C9C"/>
            <w:u w:val="single"/>
            <w:rFonts w:ascii="Arial" w:hAnsi="Arial"/>
            <w:sz w:val="15"/>
          </w:rPr>
          <w:t>SAMHSA - Screening and Assessment Tools Chart</w:t>
        </w:r>
      </w:hyperlink>
      <w:r>
        <w:rPr>
          <w:rFonts w:ascii="Arial" w:hAnsi="Arial" w:eastAsia="Arial"/>
          <w:color w:val="1F2937"/>
          <w:sz w:val="15"/>
        </w:rPr>
        <w:t xml:space="preserve"> - Current federal resource for alcohol and drug screening tools.</w:t>
      </w:r>
    </w:p>
    <w:p>
      <w:pPr>
        <w:widowControl/>
        <w:spacing w:after="30"/>
      </w:pPr>
      <w:hyperlink r:id="rId32">
        <w:r>
          <w:rPr>
            <w:color w:val="159C9C"/>
            <w:u w:val="single"/>
            <w:rFonts w:ascii="Arial" w:hAnsi="Arial"/>
            <w:sz w:val="15"/>
          </w:rPr>
          <w:t>NIAAA - Symptoms of Alcohol Use Disorder</w:t>
        </w:r>
      </w:hyperlink>
      <w:r>
        <w:rPr>
          <w:rFonts w:ascii="Arial" w:hAnsi="Arial" w:eastAsia="Arial"/>
          <w:color w:val="1F2937"/>
          <w:sz w:val="15"/>
        </w:rPr>
        <w:t xml:space="preserve"> - AUD pattern and withdrawal symptom orientation.</w:t>
      </w:r>
    </w:p>
    <w:p>
      <w:pPr>
        <w:widowControl/>
        <w:spacing w:after="30"/>
      </w:pPr>
      <w:hyperlink r:id="rId33">
        <w:r>
          <w:rPr>
            <w:color w:val="159C9C"/>
            <w:u w:val="single"/>
            <w:rFonts w:ascii="Arial" w:hAnsi="Arial"/>
            <w:sz w:val="15"/>
          </w:rPr>
          <w:t>NIMH - ADHD: What You Need to Know</w:t>
        </w:r>
      </w:hyperlink>
      <w:r>
        <w:rPr>
          <w:rFonts w:ascii="Arial" w:hAnsi="Arial" w:eastAsia="Arial"/>
          <w:color w:val="1F2937"/>
          <w:sz w:val="15"/>
        </w:rPr>
        <w:t xml:space="preserve"> - Developmental onset, multiple settings, impairment, differential evaluation, and collateral information.</w:t>
      </w:r>
    </w:p>
    <w:p>
      <w:pPr>
        <w:widowControl/>
        <w:spacing w:after="30"/>
      </w:pPr>
      <w:hyperlink r:id="rId34">
        <w:r>
          <w:rPr>
            <w:color w:val="159C9C"/>
            <w:u w:val="single"/>
            <w:rFonts w:ascii="Arial" w:hAnsi="Arial"/>
            <w:sz w:val="15"/>
          </w:rPr>
          <w:t>NIMH - Autism Spectrum Disorder</w:t>
        </w:r>
      </w:hyperlink>
      <w:r>
        <w:rPr>
          <w:rFonts w:ascii="Arial" w:hAnsi="Arial" w:eastAsia="Arial"/>
          <w:color w:val="1F2937"/>
          <w:sz w:val="15"/>
        </w:rPr>
        <w:t xml:space="preserve"> - Adult developmental assessment and overlapping presentations.</w:t>
      </w:r>
    </w:p>
    <w:p>
      <w:pPr>
        <w:widowControl/>
        <w:spacing w:after="30"/>
      </w:pPr>
      <w:hyperlink r:id="rId35">
        <w:r>
          <w:rPr>
            <w:color w:val="159C9C"/>
            <w:u w:val="single"/>
            <w:rFonts w:ascii="Arial" w:hAnsi="Arial"/>
            <w:sz w:val="15"/>
          </w:rPr>
          <w:t>NIMH - Eating Disorders</w:t>
        </w:r>
      </w:hyperlink>
      <w:r>
        <w:rPr>
          <w:rFonts w:ascii="Arial" w:hAnsi="Arial" w:eastAsia="Arial"/>
          <w:color w:val="1F2937"/>
          <w:sz w:val="15"/>
        </w:rPr>
        <w:t xml:space="preserve"> - Serious medical risk, varied body size, co-occurrence, and treatment coordination.</w:t>
      </w:r>
    </w:p>
    <w:p>
      <w:pPr>
        <w:widowControl/>
        <w:spacing w:after="30"/>
      </w:pPr>
      <w:hyperlink r:id="rId36">
        <w:r>
          <w:rPr>
            <w:color w:val="159C9C"/>
            <w:u w:val="single"/>
            <w:rFonts w:ascii="Arial" w:hAnsi="Arial"/>
            <w:sz w:val="15"/>
          </w:rPr>
          <w:t>NHLBI - Sleep Deprivation Diagnosis and Sleep Studies</w:t>
        </w:r>
      </w:hyperlink>
      <w:r>
        <w:rPr>
          <w:rFonts w:ascii="Arial" w:hAnsi="Arial" w:eastAsia="Arial"/>
          <w:color w:val="1F2937"/>
          <w:sz w:val="15"/>
        </w:rPr>
        <w:t xml:space="preserve"> - Sleep history, medical differential, and indications for sleep testing.</w:t>
      </w:r>
    </w:p>
    <w:p>
      <w:pPr>
        <w:widowControl/>
        <w:spacing w:after="30"/>
      </w:pPr>
      <w:hyperlink r:id="rId37">
        <w:r>
          <w:rPr>
            <w:color w:val="159C9C"/>
            <w:u w:val="single"/>
            <w:rFonts w:ascii="Arial" w:hAnsi="Arial"/>
            <w:sz w:val="15"/>
          </w:rPr>
          <w:t>SAMHSA - Co-Occurring Substance Use and Eating Disorders Advisory</w:t>
        </w:r>
      </w:hyperlink>
      <w:r>
        <w:rPr>
          <w:rFonts w:ascii="Arial" w:hAnsi="Arial" w:eastAsia="Arial"/>
          <w:color w:val="1F2937"/>
          <w:sz w:val="15"/>
        </w:rPr>
        <w:t xml:space="preserve"> - January 2026 integrated, person-centered care guidance.</w:t>
      </w:r>
    </w:p>
    <w:p>
      <w:pPr>
        <w:widowControl/>
        <w:spacing w:after="0"/>
      </w:pPr>
    </w:p>
    <w:sectPr w:rsidR="00FC693F" w:rsidRPr="0006063C" w:rsidSect="00034616">
      <w:headerReference w:type="default" r:id="rId9"/>
      <w:footerReference w:type="default" r:id="rId10"/>
      <w:pgSz w:w="12240" w:h="15840"/>
      <w:pgMar w:top="936" w:right="979" w:bottom="893" w:left="979"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Student Workbook v1.0  |  Page </w:t>
    </w:r>
    <w:r>
      <w:rPr>
        <w:rFonts w:ascii="Arial" w:hAnsi="Arial" w:eastAsia="Arial"/>
        <w:color w:val="4E5B6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
            <w:rPr>
              <w:rFonts w:ascii="Arial" w:hAnsi="Arial" w:eastAsia="Arial"/>
              <w:b/>
              <w:color w:val="17365D"/>
              <w:sz w:val="16"/>
            </w:rPr>
            <w:t>CTA LPCC Workbook 6 - Diagnosis and Differential Diagnosis II</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www.bbs.ca.gov/exams/lpcc.html" TargetMode="External"/><Relationship Id="rId13" Type="http://schemas.openxmlformats.org/officeDocument/2006/relationships/hyperlink" Target="https://www.nbcc.org/assets/exam/ncmhce_content_outline.pdf" TargetMode="External"/><Relationship Id="rId14" Type="http://schemas.openxmlformats.org/officeDocument/2006/relationships/hyperlink" Target="https://www.nbcc.org/assets/exam/NCMHCE_exam_spec_2027.pdf" TargetMode="External"/><Relationship Id="rId15" Type="http://schemas.openxmlformats.org/officeDocument/2006/relationships/hyperlink" Target="https://www.psychiatry.org/psychiatrists/practice/dsm/updates-to-dsm" TargetMode="External"/><Relationship Id="rId16" Type="http://schemas.openxmlformats.org/officeDocument/2006/relationships/hyperlink" Target="https://www.nimh.nih.gov/health/topics/depression" TargetMode="External"/><Relationship Id="rId17" Type="http://schemas.openxmlformats.org/officeDocument/2006/relationships/hyperlink" Target="https://www.nimh.nih.gov/health/topics/bipolar-disorder" TargetMode="External"/><Relationship Id="rId18" Type="http://schemas.openxmlformats.org/officeDocument/2006/relationships/hyperlink" Target="https://www.nimh.nih.gov/health/topics/anxiety-disorders" TargetMode="External"/><Relationship Id="rId19" Type="http://schemas.openxmlformats.org/officeDocument/2006/relationships/hyperlink" Target="https://www.nimh.nih.gov/health/topics/obsessive-compulsive-disorder-ocd" TargetMode="External"/><Relationship Id="rId20" Type="http://schemas.openxmlformats.org/officeDocument/2006/relationships/hyperlink" Target="https://www.nimh.nih.gov/health/topics/post-traumatic-stress-disorder-ptsd" TargetMode="External"/><Relationship Id="rId21" Type="http://schemas.openxmlformats.org/officeDocument/2006/relationships/hyperlink" Target="https://www.healthquality.va.gov/HEALTHQUALITY/guidelines/MH/ptsd/" TargetMode="External"/><Relationship Id="rId22" Type="http://schemas.openxmlformats.org/officeDocument/2006/relationships/hyperlink" Target="https://www.nimh.nih.gov/health/topics/schizophrenia" TargetMode="External"/><Relationship Id="rId23" Type="http://schemas.openxmlformats.org/officeDocument/2006/relationships/hyperlink" Target="https://www.healthquality.va.gov/HEALTHQUALITY/guidelines/MH/scz/index.asp" TargetMode="External"/><Relationship Id="rId24" Type="http://schemas.openxmlformats.org/officeDocument/2006/relationships/hyperlink" Target="https://www.samhsa.gov/substance-use/treatment/co-occurring-disorders" TargetMode="External"/><Relationship Id="rId25" Type="http://schemas.openxmlformats.org/officeDocument/2006/relationships/hyperlink" Target="https://www.psychiatry.org/psychiatrists/practice/dsm/about-dsm" TargetMode="External"/><Relationship Id="rId26" Type="http://schemas.openxmlformats.org/officeDocument/2006/relationships/hyperlink" Target="https://www.psychiatry.org/psychiatrists/practice/dsm/updates-to-dsm/updates-to-dsm-5-tr-criteria-text" TargetMode="External"/><Relationship Id="rId27" Type="http://schemas.openxmlformats.org/officeDocument/2006/relationships/hyperlink" Target="https://www.nbcc.org/exams/ncmhce/" TargetMode="External"/><Relationship Id="rId28" Type="http://schemas.openxmlformats.org/officeDocument/2006/relationships/hyperlink" Target="https://leginfo.legislature.ca.gov/faces/codes_displaySection.xhtml?lawCode=BPC&amp;sectionNum=4999.20." TargetMode="External"/><Relationship Id="rId29" Type="http://schemas.openxmlformats.org/officeDocument/2006/relationships/hyperlink" Target="https://www.samhsa.gov/mental-health/serious-mental-illness/co-occurring-disorders" TargetMode="External"/><Relationship Id="rId30" Type="http://schemas.openxmlformats.org/officeDocument/2006/relationships/hyperlink" Target="https://www.samhsa.gov/resource/ebp/advisory-substance-use-disorder-treatment-people-co-occurring-disorders-based-tip-42" TargetMode="External"/><Relationship Id="rId31" Type="http://schemas.openxmlformats.org/officeDocument/2006/relationships/hyperlink" Target="https://www.samhsa.gov/resource/ebp/nida-modified-assist-nm-assist-clinicians-screening-tool-drug-use-general-medical" TargetMode="External"/><Relationship Id="rId32" Type="http://schemas.openxmlformats.org/officeDocument/2006/relationships/hyperlink" Target="https://rethinkingdrinking.niaaa.nih.gov/how-much-too-much/what-are-symptoms-alcohol-use-disorder-aud" TargetMode="External"/><Relationship Id="rId33" Type="http://schemas.openxmlformats.org/officeDocument/2006/relationships/hyperlink" Target="https://www.nimh.nih.gov/health/publications/attention-deficit-hyperactivity-disorder-what-you-need-to-know" TargetMode="External"/><Relationship Id="rId34" Type="http://schemas.openxmlformats.org/officeDocument/2006/relationships/hyperlink" Target="https://www.nimh.nih.gov/health/publications/autism-spectrum-disorder" TargetMode="External"/><Relationship Id="rId35" Type="http://schemas.openxmlformats.org/officeDocument/2006/relationships/hyperlink" Target="https://www.nimh.nih.gov/health/publications/eating-disorders" TargetMode="External"/><Relationship Id="rId36" Type="http://schemas.openxmlformats.org/officeDocument/2006/relationships/hyperlink" Target="https://www.nhlbi.nih.gov/health/sleep-deprivation/diagnosis-treatment" TargetMode="External"/><Relationship Id="rId37" Type="http://schemas.openxmlformats.org/officeDocument/2006/relationships/hyperlink" Target="https://library.samhsa.gov/product/advisory-evidence-based-care-clients-co-occurring-substance-use-disorders-eating-disorders/pep25-02-0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6: Diagnosis and Differential Diagnosis II</dc:title>
  <dc:subject>Substance Use, Personality, Neurodevelopmental, Eating, Sleep, Somatic, Medical, and Co-Occurring Conditions</dc:subject>
  <dc:creator>Clinical Training and Supervision Academy</dc:creator>
  <cp:keywords>LPCC, NCMHCE, diagnosis, differential diagnosis, substance use, personality, neurodevelopmental, eating disorders, sleep, co-occurring disorders</cp:keywords>
  <dc:description>Student-facing examination-preparation workbook. Version 1.0, July 2026.</dc:description>
  <cp:lastModifiedBy/>
  <cp:revision>1</cp:revision>
  <dcterms:created xsi:type="dcterms:W3CDTF">2013-12-23T23:15:00Z</dcterms:created>
  <dcterms:modified xsi:type="dcterms:W3CDTF">2013-12-23T23:15:00Z</dcterms:modified>
  <cp:category/>
</cp:coreProperties>
</file>